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and technical writer with about 13 years of personal programming. Builds AI workstations, evaluation tools, language tooling, and graphics systems. Began a career transition in June 2026 after eleven years of full-time production arboriculture; no professional programming experience.</w:t>
      </w:r>
    </w:p>
    <w:p>
      <w:pPr>
        <w:keepNext w:val="0"/>
        <w:keepLines/>
        <w:widowControl/>
        <w:spacing w:before="0" w:after="60" w:line="252" w:lineRule="exact"/>
      </w:pPr>
      <w:r>
        <w:t>Open to technical and nontechnical AI governance and evaluation roles. Willing to relocate to London; available for regular travel to San Francisco.</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Scope: tokenization, n-grams, data preparation, and agent orchestration.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 Both courses Intermediate. Lab work: SQL features, logistic regression, later-window evaluation, and predictions.</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 Topics: model-evaluation methods, YARA-L, SIEM processing/enrichment, and SOAR.</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