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Evaluation Tooling and Python Developer Tools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Evaluation Tooling and Python Developer Tools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Evaluation tooling and Python developer-tools candidate with accepted external fixes in</w:t>
      </w:r>
    </w:p>
    <w:p>
      <w:pPr>
        <w:spacing w:before="0" w:after="30" w:line="240" w:lineRule="auto"/>
      </w:pPr>
      <w:r>
        <w:t>correctness, parsing, and error-handling surfaces before owned evaluation infrastructure.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confident-ai/deepeval PR 2822: Corrected comparison behavior for unhashable tool outputs.</w:t>
      </w:r>
    </w:p>
    <w:p>
      <w:pPr>
        <w:spacing w:before="0" w:after="30" w:line="240" w:lineRule="auto"/>
      </w:pPr>
      <w:r>
        <w:t>python-poetry/tomlkit PR 549: Preserved the following dotted-key sibling during replacement.</w:t>
      </w:r>
    </w:p>
    <w:p>
      <w:pPr>
        <w:spacing w:before="0" w:after="30" w:line="240" w:lineRule="auto"/>
      </w:pPr>
      <w:r>
        <w:t>simonw/datasette PR 2815: Returned a client error for wrong-arity composite-key row URLs.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Python testing, parser edge cases, evaluation harnesses, terminal-state fixtures, payload</w:t>
      </w:r>
    </w:p>
    <w:p>
      <w:pPr>
        <w:spacing w:before="0" w:after="30" w:line="240" w:lineRule="auto"/>
      </w:pPr>
      <w:r>
        <w:t>canonicalization, and failure-mode analysis.</w:t>
      </w:r>
    </w:p>
    <w:p>
      <w:pPr>
        <w:spacing w:before="0" w:after="30" w:line="240" w:lineRule="auto"/>
      </w:pPr>
      <w:r>
        <w:t>Evidence-backed issue reproduction, minimal patches, deterministic fixtures, and verification</w:t>
      </w:r>
    </w:p>
    <w:p>
      <w:pPr>
        <w:spacing w:before="0" w:after="30" w:line="240" w:lineRule="auto"/>
      </w:pPr>
      <w:r>
        <w:t>receipts.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 v1.0.1: primary-platform; public route flywheel.html</w:t>
      </w:r>
    </w:p>
    <w:p>
      <w:pPr>
        <w:spacing w:before="0" w:after="30" w:line="240" w:lineRule="auto"/>
      </w:pPr>
      <w:r>
        <w:t>Crucible: measured-judgment-layer; public route crucible.html</w:t>
      </w:r>
    </w:p>
    <w:p>
      <w:pPr>
        <w:spacing w:before="0" w:after="30" w:line="240" w:lineRule="auto"/>
      </w:pPr>
      <w:r>
        <w:t>Index: workspace-map-and-context-layer; public route index-graph.html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