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Technical Support, Developer Operations, and Quality Assurance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Technical Support, Developer Operations, and Quality Assurance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Technical support and quality-assurance candidate with accepted external documentation,</w:t>
      </w:r>
    </w:p>
    <w:p>
      <w:pPr>
        <w:spacing w:before="0" w:after="30" w:line="240" w:lineRule="auto"/>
      </w:pPr>
      <w:r>
        <w:t>reproducibility, and regression-test contributions before owned project evidence.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spacing w:before="0" w:after="30" w:line="240" w:lineRule="auto"/>
      </w:pPr>
      <w:r>
        <w:t>freelawproject/litigant-portal PR 820: Documented the runnable database-free fast-test workflow.</w:t>
      </w:r>
    </w:p>
    <w:p>
      <w:pPr>
        <w:spacing w:before="0" w:after="30" w:line="240" w:lineRule="auto"/>
      </w:pPr>
      <w:r>
        <w:t>Hebbian-Robotics/hflow PR 157: Added focused drift-test coverage for reserved columns.</w:t>
      </w:r>
    </w:p>
    <w:p>
      <w:pPr>
        <w:spacing w:before="0" w:after="30" w:line="240" w:lineRule="auto"/>
      </w:pPr>
      <w:r>
        <w:t>vectorvoyager358/voxwire PR 44: Added offline recording-and-replay regression coverage.</w:t>
      </w:r>
    </w:p>
    <w:p>
      <w:pPr>
        <w:pStyle w:val="Heading2"/>
        <w:spacing w:before="0" w:after="30" w:line="240" w:lineRule="auto"/>
      </w:pPr>
      <w:r>
        <w:t>Relevant skills</w:t>
      </w:r>
    </w:p>
    <w:p>
      <w:pPr>
        <w:spacing w:before="0" w:after="30" w:line="240" w:lineRule="auto"/>
      </w:pPr>
      <w:r>
        <w:t>Regression design, reproducible setup notes, developer support, bug isolation, release checks,</w:t>
      </w:r>
    </w:p>
    <w:p>
      <w:pPr>
        <w:spacing w:before="0" w:after="30" w:line="240" w:lineRule="auto"/>
      </w:pPr>
      <w:r>
        <w:t>documentation, and user-facing troubleshooting.</w:t>
      </w:r>
    </w:p>
    <w:p>
      <w:pPr>
        <w:spacing w:before="0" w:after="30" w:line="240" w:lineRule="auto"/>
      </w:pPr>
      <w:r>
        <w:t>Local-first tooling, GitHub collaboration, CI evidence, browser-safe validation, and concise</w:t>
      </w:r>
    </w:p>
    <w:p>
      <w:pPr>
        <w:spacing w:before="0" w:after="30" w:line="240" w:lineRule="auto"/>
      </w:pPr>
      <w:r>
        <w:t>issue/PR communication.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Full-time operations and commercial arboriculture | Legendary Tree (organization label) | April 25, 2015 to June 2, 2026</w:t>
      </w:r>
    </w:p>
    <w:p>
      <w:pPr>
        <w:spacing w:before="0" w:after="30" w:line="240" w:lineRule="auto"/>
      </w:pPr>
      <w:r>
        <w:t>Legendary Tree is the applicant-provided organization label; no conventional job title or legal employer of record is asserted.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 2017 and 2023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Selected owned work</w:t>
      </w:r>
    </w:p>
    <w:p>
      <w:pPr>
        <w:spacing w:before="0" w:after="30" w:line="240" w:lineRule="auto"/>
      </w:pPr>
      <w:r>
        <w:t>Flywheel v1.0.1: primary-platform; public route flywheel.html</w:t>
      </w:r>
    </w:p>
    <w:p>
      <w:pPr>
        <w:spacing w:before="0" w:after="30" w:line="240" w:lineRule="auto"/>
      </w:pPr>
      <w:r>
        <w:t>BuildLang: compiler-toolchain; public route buildlang.html</w:t>
      </w:r>
    </w:p>
    <w:p>
      <w:pPr>
        <w:spacing w:before="0" w:after="30" w:line="240" w:lineRule="auto"/>
      </w:pPr>
      <w:r>
        <w:t>Gather: research-intake-layer; public route gather.html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Technical Support, Developer Operations, and Quality Assurance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