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Technical Support, Developer Operations, and Quality Assurance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Technical Support, Developer Operations, and Quality Assurance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Technical support and quality-assurance candidate with accepted external documentation,</w:t>
      </w:r>
    </w:p>
    <w:p>
      <w:pPr>
        <w:spacing w:before="0" w:after="30" w:line="240" w:lineRule="auto"/>
      </w:pPr>
      <w:r>
        <w:t>reproducibility, and regression-test contributions before owned project evidence.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freelawproject/litigant-portal PR 820: Documented the runnable database-free fast-test workflow.</w:t>
      </w:r>
    </w:p>
    <w:p>
      <w:pPr>
        <w:spacing w:before="0" w:after="30" w:line="240" w:lineRule="auto"/>
      </w:pPr>
      <w:r>
        <w:t>Hebbian-Robotics/hflow PR 157: Added focused drift-test coverage for reserved columns.</w:t>
      </w:r>
    </w:p>
    <w:p>
      <w:pPr>
        <w:spacing w:before="0" w:after="30" w:line="240" w:lineRule="auto"/>
      </w:pPr>
      <w:r>
        <w:t>vectorvoyager358/voxwire PR 44: Added offline recording-and-replay regression coverage.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Regression design, reproducible setup notes, developer support, bug isolation, release checks,</w:t>
      </w:r>
    </w:p>
    <w:p>
      <w:pPr>
        <w:spacing w:before="0" w:after="30" w:line="240" w:lineRule="auto"/>
      </w:pPr>
      <w:r>
        <w:t>documentation, and user-facing troubleshooting.</w:t>
      </w:r>
    </w:p>
    <w:p>
      <w:pPr>
        <w:spacing w:before="0" w:after="30" w:line="240" w:lineRule="auto"/>
      </w:pPr>
      <w:r>
        <w:t>Local-first tooling, GitHub collaboration, CI evidence, browser-safe validation, and concise</w:t>
      </w:r>
    </w:p>
    <w:p>
      <w:pPr>
        <w:spacing w:before="0" w:after="30" w:line="240" w:lineRule="auto"/>
      </w:pPr>
      <w:r>
        <w:t>issue/PR communication.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2013 to 2014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Flywheel: primary-platform; public route flywheel.html</w:t>
      </w:r>
    </w:p>
    <w:p>
      <w:pPr>
        <w:spacing w:before="0" w:after="30" w:line="240" w:lineRule="auto"/>
      </w:pPr>
      <w:r>
        <w:t>BuildLang: compiler-toolchain; public route buildlang.html</w:t>
      </w:r>
    </w:p>
    <w:p>
      <w:pPr>
        <w:spacing w:before="0" w:after="30" w:line="240" w:lineRule="auto"/>
      </w:pPr>
      <w:r>
        <w:t>Gather: research-intake-layer; public route gather.html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