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Advanced and Strategy Coursework</w:t>
      </w:r>
    </w:p>
    <w:p>
      <w:pPr>
        <w:keepNext w:val="0"/>
        <w:keepLines/>
        <w:widowControl/>
        <w:spacing w:before="0" w:after="60" w:line="252" w:lineRule="exact"/>
      </w:pPr>
      <w:r>
        <w:t>Anthropic Claude Academy completion badges: Model Context Protocol: Advanced topics; Claude Code in action; Building with the Claude API | Issued September 30, 2026</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knowledge: Qualys compliance, cloud/container security, vulnerability prioritization, EDR investigation/response, and script approvals; Claude API grading, tool use, workflows and verification hooks. Coursework: MCRA/MCSB, Zero Trust, OWASP web Top 10, CRA. Research references: NIST AI RMF/GenAI Profile, ISO/IEC 42001/23894, ISO 37002. Editions: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