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Public-safe CV.</w:t>
      </w:r>
    </w:p>
    <w:p>
      <w:pPr>
        <w:spacing w:before="0" w:after="30" w:line="240" w:lineRule="auto"/>
      </w:pPr>
      <w:r>
        <w:t>Seattle, Washington | zaindharper@gmail.com | LinkedIn | GitHub</w:t>
      </w:r>
    </w:p>
    <w:p>
      <w:pPr>
        <w:pStyle w:val="Heading2"/>
        <w:spacing w:before="0" w:after="30" w:line="240" w:lineRule="auto"/>
      </w:pPr>
      <w:r>
        <w:t>Current employment targets</w:t>
      </w:r>
    </w:p>
    <w:p>
      <w:pPr>
        <w:spacing w:before="0" w:after="30" w:line="240" w:lineRule="auto"/>
      </w:pPr>
      <w:r>
        <w:t>Technical support, developer operations, QA, evaluation tooling, Python developer tools, public operations, grounds, parks, facilities, ports, utilities, fire-support, and field-safety roles. Field routes are measured separately from the technical cohort.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pStyle w:val="ListBullet"/>
        <w:spacing w:before="0" w:after="30" w:line="240" w:lineRule="auto"/>
      </w:pPr>
      <w:r>
        <w:t>Free Law Project litigant-portal PR 820: runnable database-free fast-test documentation.</w:t>
      </w:r>
    </w:p>
    <w:p>
      <w:pPr>
        <w:pStyle w:val="ListBullet"/>
        <w:spacing w:before="0" w:after="30" w:line="240" w:lineRule="auto"/>
      </w:pPr>
      <w:r>
        <w:t>Hebbian Robotics hflow PR 157: reserved-column drift test coverage.</w:t>
      </w:r>
    </w:p>
    <w:p>
      <w:pPr>
        <w:pStyle w:val="ListBullet"/>
        <w:spacing w:before="0" w:after="30" w:line="240" w:lineRule="auto"/>
      </w:pPr>
      <w:r>
        <w:t>Voxwire PR 44: offline websocket recording and replay coverage.</w:t>
      </w:r>
    </w:p>
    <w:p>
      <w:pPr>
        <w:pStyle w:val="ListBullet"/>
        <w:spacing w:before="0" w:after="30" w:line="240" w:lineRule="auto"/>
      </w:pPr>
      <w:r>
        <w:t>DeepEval PR 2822: unhashable tool-output correctness fix.</w:t>
      </w:r>
    </w:p>
    <w:p>
      <w:pPr>
        <w:pStyle w:val="ListBullet"/>
        <w:spacing w:before="0" w:after="30" w:line="240" w:lineRule="auto"/>
      </w:pPr>
      <w:r>
        <w:t>TOMLKit PR 549: dotted-key sibling preservation fix.</w:t>
      </w:r>
    </w:p>
    <w:p>
      <w:pPr>
        <w:pStyle w:val="ListBullet"/>
        <w:spacing w:before="0" w:after="30" w:line="240" w:lineRule="auto"/>
      </w:pPr>
      <w:r>
        <w:t>Datasette PR 2815: wrong-arity composite-primary-key URL error handling.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2014 to 2015</w:t>
      </w:r>
    </w:p>
    <w:p>
      <w:pPr>
        <w:spacing w:before="0" w:after="30" w:line="240" w:lineRule="auto"/>
      </w:pPr>
      <w:r>
        <w:t>Full-time operations and commercial arboriculture | Legendary Tree (organization label) | April 25, 2015 to June 2, 2026</w:t>
      </w:r>
    </w:p>
    <w:p>
      <w:pPr>
        <w:spacing w:before="0" w:after="30" w:line="240" w:lineRule="auto"/>
      </w:pPr>
      <w:r>
        <w:t>Legendary Tree is the applicant-provided organization label; no conventional job title or legal employer of record is asserted.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 2017 and 2023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Owned systems and public research</w:t>
      </w:r>
    </w:p>
    <w:p>
      <w:pPr>
        <w:spacing w:before="0" w:after="30" w:line="240" w:lineRule="auto"/>
      </w:pPr>
      <w:r>
        <w:t>Flywheel is a shipped agent-workflow platform. Separate public work includes Terminal State Fixtures, BuildLang, Gather, Index, Crucible, BRender Archival, Engine Revival, retro-system pages, and public-safe security and evaluation documentation.</w:t>
      </w:r>
    </w:p>
    <w:p>
      <w:pPr>
        <w:spacing w:before="0" w:after="30" w:line="240" w:lineRule="auto"/>
      </w:pPr>
      <w:r>
        <w:t>Eight public research records are indexed on Publications, including DOI records such as doi.org/10.5281/zenodo.21230267. They are not peer reviewed unless a page later records an explicit peer-review status.</w:t>
      </w:r>
    </w:p>
    <w:p>
      <w:pPr>
        <w:spacing w:before="0" w:after="30" w:line="240" w:lineRule="auto"/>
      </w:pPr>
      <w:r>
        <w:t>Accepted external work is separated from open work, closed without merge work, and owned project evidence. Open is not accepted, and this CV does not upgrade either status.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2013.</w:t>
      </w:r>
    </w:p>
    <w:p>
      <w:pPr>
        <w:spacing w:before="0" w:after="30" w:line="240" w:lineRule="auto"/>
      </w:pPr>
      <w:r>
        <w:t>Updated 2026-08-28. Public dates preserve unknown months. Phone and legal-name attestation are omitted.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