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 - Technical Support, Developer Operations, and Quality Assurance</w:t>
      </w:r>
    </w:p>
    <w:p>
      <w:pPr>
        <w:pStyle w:val="Heading2"/>
        <w:spacing w:before="0" w:after="30" w:line="240" w:lineRule="auto"/>
      </w:pPr>
      <w:r>
        <w:t>Contact</w:t>
      </w:r>
    </w:p>
    <w:p>
      <w:pPr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Seattle, Washington | zaindharper@gmail.com</w:t>
      </w:r>
    </w:p>
    <w:p>
      <w:pPr>
        <w:spacing w:before="0" w:after="30" w:line="240" w:lineRule="auto"/>
      </w:pPr>
      <w:r>
        <w:t>https://www.linkedin.com/in/zaindanaharper/</w:t>
      </w:r>
    </w:p>
    <w:p>
      <w:pPr>
        <w:spacing w:before="0" w:after="30" w:line="240" w:lineRule="auto"/>
      </w:pPr>
      <w:r>
        <w:t>https://github.com/HarperZ9</w:t>
      </w:r>
    </w:p>
    <w:p>
      <w:pPr>
        <w:spacing w:before="0" w:after="30" w:line="240" w:lineRule="auto"/>
      </w:pPr>
      <w:r>
        <w:t>https://harperz9.github.io</w:t>
      </w:r>
    </w:p>
    <w:p>
      <w:pPr>
        <w:pStyle w:val="Heading2"/>
        <w:spacing w:before="0" w:after="30" w:line="240" w:lineRule="auto"/>
      </w:pPr>
      <w:r>
        <w:t>Target</w:t>
      </w:r>
    </w:p>
    <w:p>
      <w:pPr>
        <w:spacing w:before="0" w:after="30" w:line="240" w:lineRule="auto"/>
      </w:pPr>
      <w:r>
        <w:t>Technical Support, Developer Operations, and Quality Assurance</w:t>
      </w:r>
    </w:p>
    <w:p>
      <w:pPr>
        <w:pStyle w:val="Heading2"/>
        <w:spacing w:before="0" w:after="30" w:line="240" w:lineRule="auto"/>
      </w:pPr>
      <w:r>
        <w:t>Summary</w:t>
      </w:r>
    </w:p>
    <w:p>
      <w:pPr>
        <w:spacing w:before="0" w:after="30" w:line="240" w:lineRule="auto"/>
      </w:pPr>
      <w:r>
        <w:t>Technical support and quality-assurance candidate with accepted external documentation,</w:t>
      </w:r>
    </w:p>
    <w:p>
      <w:pPr>
        <w:spacing w:before="0" w:after="30" w:line="240" w:lineRule="auto"/>
      </w:pPr>
      <w:r>
        <w:t>reproducibility, and regression-test contributions before owned project evidence.</w:t>
      </w:r>
    </w:p>
    <w:p>
      <w:pPr>
        <w:pStyle w:val="Heading2"/>
        <w:spacing w:before="0" w:after="30" w:line="240" w:lineRule="auto"/>
      </w:pPr>
      <w:r>
        <w:t>Accepted external work</w:t>
      </w:r>
    </w:p>
    <w:p>
      <w:pPr>
        <w:spacing w:before="0" w:after="30" w:line="240" w:lineRule="auto"/>
      </w:pPr>
      <w:r>
        <w:t>freelawproject/litigant-portal PR 820: Documented the runnable database-free fast-test workflow.</w:t>
      </w:r>
    </w:p>
    <w:p>
      <w:pPr>
        <w:spacing w:before="0" w:after="30" w:line="240" w:lineRule="auto"/>
      </w:pPr>
      <w:r>
        <w:t>Hebbian-Robotics/hflow PR 157: Added focused drift-test coverage for reserved columns.</w:t>
      </w:r>
    </w:p>
    <w:p>
      <w:pPr>
        <w:spacing w:before="0" w:after="30" w:line="240" w:lineRule="auto"/>
      </w:pPr>
      <w:r>
        <w:t>vectorvoyager358/voxwire PR 44: Added offline recording-and-replay regression coverage.</w:t>
      </w:r>
    </w:p>
    <w:p>
      <w:pPr>
        <w:pStyle w:val="Heading2"/>
        <w:spacing w:before="0" w:after="30" w:line="240" w:lineRule="auto"/>
      </w:pPr>
      <w:r>
        <w:t>Relevant skills</w:t>
      </w:r>
    </w:p>
    <w:p>
      <w:pPr>
        <w:spacing w:before="0" w:after="30" w:line="240" w:lineRule="auto"/>
      </w:pPr>
      <w:r>
        <w:t>Regression design, reproducible setup notes, developer support, bug isolation, release checks,</w:t>
      </w:r>
    </w:p>
    <w:p>
      <w:pPr>
        <w:spacing w:before="0" w:after="30" w:line="240" w:lineRule="auto"/>
      </w:pPr>
      <w:r>
        <w:t>documentation, and user-facing troubleshooting.</w:t>
      </w:r>
    </w:p>
    <w:p>
      <w:pPr>
        <w:spacing w:before="0" w:after="30" w:line="240" w:lineRule="auto"/>
      </w:pPr>
      <w:r>
        <w:t>Local-first tooling, GitHub collaboration, CI evidence, browser-safe validation, and concise</w:t>
      </w:r>
    </w:p>
    <w:p>
      <w:pPr>
        <w:spacing w:before="0" w:after="30" w:line="240" w:lineRule="auto"/>
      </w:pPr>
      <w:r>
        <w:t>issue/PR communication.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2014 to 2015</w:t>
      </w:r>
    </w:p>
    <w:p>
      <w:pPr>
        <w:spacing w:before="0" w:after="30" w:line="240" w:lineRule="auto"/>
      </w:pPr>
      <w:r>
        <w:t>Full-time operations and commercial arboriculture | Legendary Tree (organization label) | April 25, 2015 to June 2, 2026</w:t>
      </w:r>
    </w:p>
    <w:p>
      <w:pPr>
        <w:spacing w:before="0" w:after="30" w:line="240" w:lineRule="auto"/>
      </w:pPr>
      <w:r>
        <w:t>Legendary Tree is the applicant-provided organization label; no conventional job title or legal employer of record is asserted.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 2017 and 2023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Selected owned work</w:t>
      </w:r>
    </w:p>
    <w:p>
      <w:pPr>
        <w:spacing w:before="0" w:after="30" w:line="240" w:lineRule="auto"/>
      </w:pPr>
      <w:r>
        <w:t>Flywheel: primary-platform; public route flywheel.html</w:t>
      </w:r>
    </w:p>
    <w:p>
      <w:pPr>
        <w:spacing w:before="0" w:after="30" w:line="240" w:lineRule="auto"/>
      </w:pPr>
      <w:r>
        <w:t>BuildLang: compiler-toolchain; public route buildlang.html</w:t>
      </w:r>
    </w:p>
    <w:p>
      <w:pPr>
        <w:spacing w:before="0" w:after="30" w:line="240" w:lineRule="auto"/>
      </w:pPr>
      <w:r>
        <w:t>Gather: research-intake-layer; public route gather.html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Technical Support, Developer Operations, and Quality Assurance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