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Summary</w:t>
      </w:r>
    </w:p>
    <w:p>
      <w:pPr>
        <w:keepNext w:val="0"/>
        <w:keepLines/>
        <w:widowControl/>
        <w:spacing w:before="0" w:after="60" w:line="252" w:lineRule="exact"/>
      </w:pPr>
      <w:r>
        <w:t>Independent systems engineer building AI evaluation tools, reproducible tests, and releases; contributes maintainer-merged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Experience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Independent Systems Engineer | Independent practice | 2023 to Present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Sole proprietor since September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Flywheel, a Python/Flutter workstation with Rowan orchestration, model routing,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synthetic component cases with 5,058 frozen expectations, distinguishing failed outputs from valid results within defined schemas.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analysis, Accountable Surface approval interfaces, BuildLang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Executed a pinned METR count_odds task-image check with three deterministic controls, retaining logs and score provenance through the Inspect-to-Flywheel handoff.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or incorrect HTTP 200 to HTTP 400, with regression coverage.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Custom Assessment and Remediation, VMDR, KCS, TotalCloud, EDR. Microsoft Applied Skills: cloud AI security, Entra identity/access, Azure storage security, Azure DevOps pipeline security (95% assessment). Google skill badges: advanced small-language-model coding; multi-agent systems. Cisco Ethical Hacker course certificate. Coursework: Google MLOps model evaluation; LFD121 secure software; advanced SC-100 security architecture; Claude API, Claude Code, advanced MCP; BlueDot AGI Strategy; UNESCO AI ethics course certificate.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