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Evaluation Tooling and Python Developer Tools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Evaluation Tooling and Python Developer Tools</w:t>
      </w:r>
    </w:p>
    <w:p>
      <w:pPr>
        <w:pStyle w:val="Heading2"/>
      </w:pPr>
      <w:r>
        <w:t>Summary</w:t>
      </w:r>
    </w:p>
    <w:p>
      <w:r>
        <w:t>Evaluation tooling and Python developer-tools candidate with accepted external fixes in</w:t>
      </w:r>
    </w:p>
    <w:p>
      <w:r>
        <w:t>correctness, parsing, and error-handling surfaces before owned evaluation infrastructure.</w:t>
      </w:r>
    </w:p>
    <w:p>
      <w:pPr>
        <w:pStyle w:val="Heading2"/>
      </w:pPr>
      <w:r>
        <w:t>Accepted external work</w:t>
      </w:r>
    </w:p>
    <w:p>
      <w:r>
        <w:t>confident-ai/deepeval PR 2822: Corrected comparison behavior for unhashable tool outputs.</w:t>
      </w:r>
    </w:p>
    <w:p>
      <w:r>
        <w:t>python-poetry/tomlkit PR 549: Preserved the following dotted-key sibling during replacement.</w:t>
      </w:r>
    </w:p>
    <w:p>
      <w:r>
        <w:t>simonw/datasette PR 2815: Returned a client error for wrong-arity composite-key row URLs.</w:t>
      </w:r>
    </w:p>
    <w:p>
      <w:pPr>
        <w:pStyle w:val="Heading2"/>
      </w:pPr>
      <w:r>
        <w:t>Relevant skills</w:t>
      </w:r>
    </w:p>
    <w:p>
      <w:r>
        <w:t>Python testing, parser edge cases, evaluation harnesses, terminal-state fixtures, payload</w:t>
      </w:r>
    </w:p>
    <w:p>
      <w:r>
        <w:t>canonicalization, and failure-mode analysis.</w:t>
      </w:r>
    </w:p>
    <w:p>
      <w:r>
        <w:t>Evidence-backed issue reproduction, minimal patches, deterministic fixtures, and verification</w:t>
      </w:r>
    </w:p>
    <w:p>
      <w:r>
        <w:t>receipts.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Selected owned work</w:t>
      </w:r>
    </w:p>
    <w:p>
      <w:r>
        <w:t>Flywheel: primary-platform; public route flywheel.html</w:t>
      </w:r>
    </w:p>
    <w:p>
      <w:r>
        <w:t>Crucible: measured-judgment-layer; public route crucible.html</w:t>
      </w:r>
    </w:p>
    <w:p>
      <w:r>
        <w:t>Index: workspace-map-and-context-layer; public route index-graph.html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