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6"/>
        </w:rPr>
        <w:t>Descriptor-Based Screening of Transition Metal Catalysts for</w:t>
        <w:br/>
        <w:t>Dry Reforming of Methane:</w:t>
        <w:br/>
        <w:t>A Microkinetic Approach to Carbon Resistance</w:t>
      </w:r>
    </w:p>
    <w:p/>
    <w:p>
      <w:pPr>
        <w:jc w:val="center"/>
      </w:pPr>
      <w:r>
        <w:rPr>
          <w:b/>
          <w:sz w:val="28"/>
        </w:rPr>
        <w:t>Harpreet Thappa  2024BCHE034</w:t>
      </w:r>
    </w:p>
    <w:p>
      <w:pPr>
        <w:jc w:val="center"/>
      </w:pPr>
      <w:r>
        <w:rPr>
          <w:sz w:val="22"/>
        </w:rPr>
        <w:t>Course: CREII (Computational Study of Heterogeneous Catalytic Reactions)</w:t>
        <w:br/>
        <w:t>Department of Chemical Engineering</w:t>
        <w:br/>
        <w:t>National Institute of Technology Srinagar</w:t>
        <w:br/>
        <w:t>happythappa5@gmail.com</w:t>
      </w:r>
    </w:p>
    <w:p/>
    <w:p>
      <w:pPr>
        <w:jc w:val="center"/>
      </w:pPr>
      <w:r>
        <w:rPr>
          <w:i/>
        </w:rPr>
        <w:t>Submitted: November 2026</w:t>
      </w:r>
    </w:p>
    <w:p>
      <w:r>
        <w:br w:type="page"/>
      </w:r>
    </w:p>
    <w:p>
      <w:pPr>
        <w:pStyle w:val="Heading1"/>
      </w:pPr>
      <w:r>
        <w:rPr>
          <w:rFonts w:ascii="Times New Roman" w:hAnsi="Times New Roman"/>
          <w:color w:val="1F3A6E"/>
        </w:rPr>
        <w:t>Abstract</w:t>
      </w:r>
    </w:p>
    <w:p>
      <w:r>
        <w:rPr>
          <w:b w:val="0"/>
          <w:i w:val="0"/>
        </w:rPr>
        <w:t>Dry reforming of methane (DRM, CH₄ + CO₂ → 2 CO + 2 H₂) converts two greenhouse gases into syngas, a valuable feedstock for Fischer-Tropsch synthesis and methanol production. The main obstacle to industrial DRM is carbon deposition, which rapidly deactivates nickel-based catalysts. In this work, a descriptor-based microkinetic screening model was developed to investigate the activity and carbon resistance of six transition metal catalysts: Ni, Co, Ru, Rh, Pt, and Ir. A 14-step elementary reaction mechanism following the sequential methane dehydrogenation and CO₂ dissociation pathways was constructed from published DFT data. The carbon binding energy (E_C) was used as the primary descriptor. The model correctly reproduces the literature-established ordering of carbon resistance (Ir &gt; Pt &gt; Rh &gt; Ru &gt; Co &gt; Ni), which emerges naturally from the difference in C binding strength. A quantitative design rule was derived: catalysts with a carbon binding energy weaker than −5.9 eV (ΔE_C ≥ +0.5 eV relative to Ni) resist coke formation at DRM conditions. A Sabatier volcano plot identified the optimum binding energy for maximum activity at ΔE_C = +0.73 eV, explaining why Pt and Rh lie close to the volcano peak while Ni sits on the over-binding (poisoned) side. A plug-flow reactor model based on Cantera confirmed that syngas yields approach the equilibrium limit at practical conditions and that the H₂/CO ratio approaches unity at high temperature. The results provide a quantitative design framework for developing carbon-resistant DRM catalysts.</w:t>
      </w:r>
    </w:p>
    <w:p>
      <w:r>
        <w:rPr>
          <w:b/>
        </w:rPr>
        <w:t xml:space="preserve">Keywords: </w:t>
      </w:r>
      <w:r>
        <w:t>Dry reforming of methane, carbon deposition, microkinetic modeling, descriptor-based screening, Sabatier principle, syngas, transition metal catalysts</w:t>
      </w:r>
    </w:p>
    <w:p>
      <w:r>
        <w:br w:type="page"/>
      </w:r>
    </w:p>
    <w:p>
      <w:pPr>
        <w:pStyle w:val="Heading1"/>
      </w:pPr>
      <w:r>
        <w:rPr>
          <w:rFonts w:ascii="Times New Roman" w:hAnsi="Times New Roman"/>
          <w:color w:val="1F3A6E"/>
        </w:rPr>
        <w:t>1. Introduction and Significance</w:t>
      </w:r>
    </w:p>
    <w:p>
      <w:pPr>
        <w:pStyle w:val="Heading2"/>
      </w:pPr>
      <w:r>
        <w:rPr>
          <w:rFonts w:ascii="Times New Roman" w:hAnsi="Times New Roman"/>
          <w:color w:val="1F3A6E"/>
        </w:rPr>
        <w:t>1.1 Motivation</w:t>
      </w:r>
    </w:p>
    <w:p>
      <w:r>
        <w:rPr>
          <w:b w:val="0"/>
          <w:i w:val="0"/>
        </w:rPr>
        <w:t>Global carbon dioxide and methane emissions are the two largest contributors to anthropogenic climate change. Methane has a global warming potential approximately 28 times that of CO₂ over a 100-year horizon, making its capture and utilization a high-priority target. Dry reforming of methane (DRM) simultaneously consumes both greenhouse gases in a single reaction (Eq. 1):</w:t>
      </w:r>
    </w:p>
    <w:p>
      <w:pPr>
        <w:jc w:val="center"/>
      </w:pPr>
      <w:r>
        <w:rPr>
          <w:i/>
        </w:rPr>
        <w:t>CH₄ + CO₂ → 2 CO + 2 H₂      ΔH°₂₉₈ = +247 kJ/mol      (Eq. 1)</w:t>
      </w:r>
    </w:p>
    <w:p>
      <w:r>
        <w:rPr>
          <w:b w:val="0"/>
          <w:i w:val="0"/>
        </w:rPr>
        <w:t>The reaction produces syngas (a mixture of CO and H₂) with a H₂/CO ratio close to unity, which is ideal for downstream Fischer-Tropsch synthesis and for the production of oxygenated chemicals such as methanol. Because the reaction is strongly endothermic, DRM operates at high temperatures (700–1000 °C) where thermodynamic conversion is favorable.</w:t>
      </w:r>
    </w:p>
    <w:p>
      <w:r>
        <w:rPr>
          <w:b w:val="0"/>
          <w:i w:val="0"/>
        </w:rPr>
        <w:t>The most widely used DRM catalysts are nickel-based because nickel is inexpensive and highly active. However, nickel also binds carbon very strongly, which leads to the formation of solid carbon (coke) on the surface and rapid deactivation. The industrial use of Ni therefore requires promoters such as potassium, manganese, or molybdenum to modify the surface chemistry and reduce carbon deposition. The central scientific challenge in DRM catalyst design is to achieve high activity while resisting carbon deposition.</w:t>
      </w:r>
    </w:p>
    <w:p>
      <w:pPr>
        <w:pStyle w:val="Heading2"/>
      </w:pPr>
      <w:r>
        <w:rPr>
          <w:rFonts w:ascii="Times New Roman" w:hAnsi="Times New Roman"/>
          <w:color w:val="1F3A6E"/>
        </w:rPr>
        <w:t>1.2 Objectives</w:t>
      </w:r>
    </w:p>
    <w:p>
      <w:r>
        <w:rPr>
          <w:b w:val="0"/>
          <w:i w:val="0"/>
        </w:rPr>
        <w:t>This study has the following specific objectives:</w:t>
      </w:r>
    </w:p>
    <w:p>
      <w:pPr>
        <w:pStyle w:val="ListBullet"/>
      </w:pPr>
      <w:r>
        <w:t>To construct a complete elementary reaction mechanism for DRM based on published DFT data.</w:t>
      </w:r>
    </w:p>
    <w:p>
      <w:pPr>
        <w:pStyle w:val="ListBullet"/>
      </w:pPr>
      <w:r>
        <w:t>To build a descriptor-based microkinetic model that captures both activity and carbon resistance.</w:t>
      </w:r>
    </w:p>
    <w:p>
      <w:pPr>
        <w:pStyle w:val="ListBullet"/>
      </w:pPr>
      <w:r>
        <w:t>To generate a Sabatier volcano plot and identify the optimal catalyst binding energies.</w:t>
      </w:r>
    </w:p>
    <w:p>
      <w:pPr>
        <w:pStyle w:val="ListBullet"/>
      </w:pPr>
      <w:r>
        <w:t>To screen six transition metals (Ni, Co, Ru, Rh, Pt, Ir) and explain why some resist carbon deposition while others do not.</w:t>
      </w:r>
    </w:p>
    <w:p>
      <w:pPr>
        <w:pStyle w:val="ListBullet"/>
      </w:pPr>
      <w:r>
        <w:t>To derive a quantitative design rule for carbon-resistant DRM catalysts.</w:t>
      </w:r>
    </w:p>
    <w:p>
      <w:pPr>
        <w:pStyle w:val="ListBullet"/>
      </w:pPr>
      <w:r>
        <w:t>To couple the model to a plug-flow reactor and predict industrial-scale syngas production.</w:t>
      </w:r>
    </w:p>
    <w:p>
      <w:pPr>
        <w:pStyle w:val="Heading2"/>
      </w:pPr>
      <w:r>
        <w:rPr>
          <w:rFonts w:ascii="Times New Roman" w:hAnsi="Times New Roman"/>
          <w:color w:val="1F3A6E"/>
        </w:rPr>
        <w:t>1.3 Significance</w:t>
      </w:r>
    </w:p>
    <w:p>
      <w:r>
        <w:rPr>
          <w:b w:val="0"/>
          <w:i w:val="0"/>
        </w:rPr>
        <w:t>This work demonstrates that the widely observed ordering of carbon resistance among transition metal catalysts can be captured by a single descriptor: the carbon binding energy. The resulting design rule is quantitative and can be used to guide catalyst selection or promoter development. The combination of descriptor-based microkinetics with reactor-scale modeling is the standard approach in modern computational catalysis and provides an efficient alternative to exhaustive experimental testing.</w:t>
      </w:r>
    </w:p>
    <w:p>
      <w:pPr>
        <w:pStyle w:val="Heading1"/>
      </w:pPr>
      <w:r>
        <w:rPr>
          <w:rFonts w:ascii="Times New Roman" w:hAnsi="Times New Roman"/>
          <w:color w:val="1F3A6E"/>
        </w:rPr>
        <w:t>2. Proposed Elementary Reaction Mechanism</w:t>
      </w:r>
    </w:p>
    <w:p>
      <w:r>
        <w:rPr>
          <w:b w:val="0"/>
          <w:i w:val="0"/>
        </w:rPr>
        <w:t>DRM proceeds through two coupled reaction networks on the catalyst surface: (i) sequential dehydrogenation of adsorbed methane to CHₓ fragments and eventually to atomic carbon, and (ii) dissociative activation of CO₂ to CO and atomic oxygen. The atomic oxygen then removes surface carbon through oxidation or through the Boudouard reaction. Carbon deposition occurs when the rate of carbon formation exceeds the rate of carbon removal. The 14 elementary steps used in this study are listed below; the asterisk (*) denotes an empty surface site.</w:t>
      </w:r>
    </w:p>
    <w:p>
      <w:pPr>
        <w:ind w:left="576"/>
      </w:pPr>
      <w:r>
        <w:rPr>
          <w:b/>
        </w:rPr>
        <w:t xml:space="preserve">1. CH₄ dissociative adsorption:  </w:t>
      </w:r>
      <w:r>
        <w:rPr>
          <w:i/>
        </w:rPr>
        <w:t>CH₄(g) + 2* ⇌ CH₃* + H*</w:t>
      </w:r>
    </w:p>
    <w:p>
      <w:pPr>
        <w:ind w:left="576"/>
      </w:pPr>
      <w:r>
        <w:rPr>
          <w:b/>
        </w:rPr>
        <w:t xml:space="preserve">2. CH₃ dehydrogenation:  </w:t>
      </w:r>
      <w:r>
        <w:rPr>
          <w:i/>
        </w:rPr>
        <w:t>CH₃* + * ⇌ CH₂* + H*</w:t>
      </w:r>
    </w:p>
    <w:p>
      <w:pPr>
        <w:ind w:left="576"/>
      </w:pPr>
      <w:r>
        <w:rPr>
          <w:b/>
        </w:rPr>
        <w:t xml:space="preserve">3. CH₂ dehydrogenation:  </w:t>
      </w:r>
      <w:r>
        <w:rPr>
          <w:i/>
        </w:rPr>
        <w:t>CH₂* + * ⇌ CH* + H*</w:t>
      </w:r>
    </w:p>
    <w:p>
      <w:pPr>
        <w:ind w:left="576"/>
      </w:pPr>
      <w:r>
        <w:rPr>
          <w:b/>
        </w:rPr>
        <w:t xml:space="preserve">4. CH dehydrogenation:  </w:t>
      </w:r>
      <w:r>
        <w:rPr>
          <w:i/>
        </w:rPr>
        <w:t>CH* + * ⇌ C* + H*</w:t>
      </w:r>
    </w:p>
    <w:p>
      <w:pPr>
        <w:ind w:left="576"/>
      </w:pPr>
      <w:r>
        <w:rPr>
          <w:b/>
        </w:rPr>
        <w:t xml:space="preserve">5. CO₂ adsorption:  </w:t>
      </w:r>
      <w:r>
        <w:rPr>
          <w:i/>
        </w:rPr>
        <w:t>CO₂(g) + * ⇌ CO₂*</w:t>
      </w:r>
    </w:p>
    <w:p>
      <w:pPr>
        <w:ind w:left="576"/>
      </w:pPr>
      <w:r>
        <w:rPr>
          <w:b/>
        </w:rPr>
        <w:t xml:space="preserve">6. CO₂ dissociation:  </w:t>
      </w:r>
      <w:r>
        <w:rPr>
          <w:i/>
        </w:rPr>
        <w:t>CO₂* + * ⇌ CO* + O*</w:t>
      </w:r>
    </w:p>
    <w:p>
      <w:pPr>
        <w:ind w:left="576"/>
      </w:pPr>
      <w:r>
        <w:rPr>
          <w:b/>
        </w:rPr>
        <w:t xml:space="preserve">7. Carbon oxidation:  </w:t>
      </w:r>
      <w:r>
        <w:rPr>
          <w:i/>
        </w:rPr>
        <w:t>C* + O* ⇌ CO* + *</w:t>
      </w:r>
    </w:p>
    <w:p>
      <w:pPr>
        <w:ind w:left="576"/>
      </w:pPr>
      <w:r>
        <w:rPr>
          <w:b/>
        </w:rPr>
        <w:t xml:space="preserve">8. Boudouard reaction:  </w:t>
      </w:r>
      <w:r>
        <w:rPr>
          <w:i/>
        </w:rPr>
        <w:t>C* + CO₂* ⇌ 2 CO*</w:t>
      </w:r>
    </w:p>
    <w:p>
      <w:pPr>
        <w:ind w:left="576"/>
      </w:pPr>
      <w:r>
        <w:rPr>
          <w:b/>
        </w:rPr>
        <w:t xml:space="preserve">9. CO desorption:  </w:t>
      </w:r>
      <w:r>
        <w:rPr>
          <w:i/>
        </w:rPr>
        <w:t>CO* ⇌ CO(g) + *</w:t>
      </w:r>
    </w:p>
    <w:p>
      <w:pPr>
        <w:ind w:left="576"/>
      </w:pPr>
      <w:r>
        <w:rPr>
          <w:b/>
        </w:rPr>
        <w:t xml:space="preserve">10. H recombination:  </w:t>
      </w:r>
      <w:r>
        <w:rPr>
          <w:i/>
        </w:rPr>
        <w:t>2 H* ⇌ H₂(g) + 2*</w:t>
      </w:r>
    </w:p>
    <w:p>
      <w:pPr>
        <w:ind w:left="576"/>
      </w:pPr>
      <w:r>
        <w:rPr>
          <w:b/>
        </w:rPr>
        <w:t xml:space="preserve">11. OH formation:  </w:t>
      </w:r>
      <w:r>
        <w:rPr>
          <w:i/>
        </w:rPr>
        <w:t>O* + H* ⇌ OH* + *</w:t>
      </w:r>
    </w:p>
    <w:p>
      <w:pPr>
        <w:ind w:left="576"/>
      </w:pPr>
      <w:r>
        <w:rPr>
          <w:b/>
        </w:rPr>
        <w:t xml:space="preserve">12. H₂O formation:  </w:t>
      </w:r>
      <w:r>
        <w:rPr>
          <w:i/>
        </w:rPr>
        <w:t>OH* + H* ⇌ H₂O* + *</w:t>
      </w:r>
    </w:p>
    <w:p>
      <w:pPr>
        <w:ind w:left="576"/>
      </w:pPr>
      <w:r>
        <w:rPr>
          <w:b/>
        </w:rPr>
        <w:t xml:space="preserve">13. H₂O desorption:  </w:t>
      </w:r>
      <w:r>
        <w:rPr>
          <w:i/>
        </w:rPr>
        <w:t>H₂O* ⇌ H₂O(g) + *</w:t>
      </w:r>
    </w:p>
    <w:p>
      <w:pPr>
        <w:ind w:left="576"/>
      </w:pPr>
      <w:r>
        <w:rPr>
          <w:b/>
        </w:rPr>
        <w:t xml:space="preserve">14. CH oxidation:  </w:t>
      </w:r>
      <w:r>
        <w:rPr>
          <w:i/>
        </w:rPr>
        <w:t>CH* + O* ⇌ CO* + H*</w:t>
      </w:r>
    </w:p>
    <w:p/>
    <w:p>
      <w:r>
        <w:rPr>
          <w:b w:val="0"/>
          <w:i w:val="0"/>
        </w:rPr>
        <w:t>Step 1 (CH₄ dissociative adsorption) is generally reported as the rate-determining step for DRM on most transition metals. Steps 7 and 8 are the carbon removal pathways that determine whether a catalyst will resist coke formation. The competition between steps 4 (which forms carbon) and steps 7–8 (which remove carbon) determines the net surface carbon coverage and therefore the catalyst lifetime.</w:t>
      </w:r>
    </w:p>
    <w:p>
      <w:pPr>
        <w:pStyle w:val="Heading1"/>
      </w:pPr>
      <w:r>
        <w:rPr>
          <w:rFonts w:ascii="Times New Roman" w:hAnsi="Times New Roman"/>
          <w:color w:val="1F3A6E"/>
        </w:rPr>
        <w:t>3. Computational Methodology</w:t>
      </w:r>
    </w:p>
    <w:p>
      <w:pPr>
        <w:pStyle w:val="Heading2"/>
      </w:pPr>
      <w:r>
        <w:rPr>
          <w:rFonts w:ascii="Times New Roman" w:hAnsi="Times New Roman"/>
          <w:color w:val="1F3A6E"/>
        </w:rPr>
        <w:t>3.1 Software and Tools</w:t>
      </w:r>
    </w:p>
    <w:p>
      <w:pPr>
        <w:pStyle w:val="ListBullet"/>
      </w:pPr>
      <w:r>
        <w:t>Python 3.13 — primary programming environment.</w:t>
      </w:r>
    </w:p>
    <w:p>
      <w:pPr>
        <w:pStyle w:val="ListBullet"/>
      </w:pPr>
      <w:r>
        <w:t>NumPy — numerical computation.</w:t>
      </w:r>
    </w:p>
    <w:p>
      <w:pPr>
        <w:pStyle w:val="ListBullet"/>
      </w:pPr>
      <w:r>
        <w:t>Cantera 3.2 — gas-phase equilibrium and reactor modeling.</w:t>
      </w:r>
    </w:p>
    <w:p>
      <w:pPr>
        <w:pStyle w:val="ListBullet"/>
      </w:pPr>
      <w:r>
        <w:t>Matplotlib — generation of publication-quality figures.</w:t>
      </w:r>
    </w:p>
    <w:p>
      <w:pPr>
        <w:pStyle w:val="Heading2"/>
      </w:pPr>
      <w:r>
        <w:rPr>
          <w:rFonts w:ascii="Times New Roman" w:hAnsi="Times New Roman"/>
          <w:color w:val="1F3A6E"/>
        </w:rPr>
        <w:t>3.2 Descriptor-Based Screening Method</w:t>
      </w:r>
    </w:p>
    <w:p>
      <w:r>
        <w:rPr>
          <w:b w:val="0"/>
          <w:i w:val="0"/>
        </w:rPr>
        <w:t>The computational approach follows the descriptor-based screening methodology introduced by Bligaard, Nørskov, and co-workers. The carbon binding energy E_C is chosen as the primary descriptor, with the oxygen binding energy E_O and the methane adsorption energy E_CH4 as secondary descriptors. All other intermediate binding energies are obtained from the primary descriptors through published scaling relations. The catalysts are characterized by their shift in E_C relative to Ni(111), denoted ΔE_C. Values of ΔE_C were taken from published DFT studies for each metal surface.</w:t>
      </w:r>
    </w:p>
    <w:p>
      <w:r>
        <w:rPr>
          <w:b w:val="0"/>
          <w:i w:val="0"/>
        </w:rPr>
        <w:t>The turnover frequency (TOF) for DRM is computed using a two-factor model. The first factor accounts for methane activation and follows a Brønsted-Evans-Polanyi (BEP) relation:</w:t>
      </w:r>
    </w:p>
    <w:p>
      <w:pPr>
        <w:jc w:val="center"/>
      </w:pPr>
      <w:r>
        <w:rPr>
          <w:i/>
        </w:rPr>
        <w:t>Ea_CH₄ = Ea_ref − α · ΔE_C      (Eq. 2)</w:t>
      </w:r>
    </w:p>
    <w:p>
      <w:r>
        <w:rPr>
          <w:b w:val="0"/>
          <w:i w:val="0"/>
        </w:rPr>
        <w:t>with Ea_ref = 0.85 eV and α = 0.60 for Ni(111). The second factor accounts for carbon poisoning and is described by a Langmuir-type sigmoid function centered at the threshold carbon binding energy:</w:t>
      </w:r>
    </w:p>
    <w:p>
      <w:pPr>
        <w:jc w:val="center"/>
      </w:pPr>
      <w:r>
        <w:rPr>
          <w:i/>
        </w:rPr>
        <w:t>f_poison = 1 / (1 + exp((E_C − E_C,thresh) / k_B T))      (Eq. 3)</w:t>
      </w:r>
    </w:p>
    <w:p>
      <w:r>
        <w:rPr>
          <w:b w:val="0"/>
          <w:i w:val="0"/>
        </w:rPr>
        <w:t>with E_C,thresh = −5.70 eV. This sigmoid form captures the sharp onset of carbon deposition observed experimentally when the carbon binding energy is sufficiently strong. The overall turnover frequency is the product of the two factors, divided by a mild oxygen availability term.</w:t>
      </w:r>
    </w:p>
    <w:p>
      <w:pPr>
        <w:pStyle w:val="Heading2"/>
      </w:pPr>
      <w:r>
        <w:rPr>
          <w:rFonts w:ascii="Times New Roman" w:hAnsi="Times New Roman"/>
          <w:color w:val="1F3A6E"/>
        </w:rPr>
        <w:t>3.3 Carbon Resistance Index</w:t>
      </w:r>
    </w:p>
    <w:p>
      <w:r>
        <w:rPr>
          <w:b w:val="0"/>
          <w:i w:val="0"/>
        </w:rPr>
        <w:t>A carbon resistance index is defined on a scale from 0 (worst, Ni-like carbon accumulation) to 1 (best, minimal carbon accumulation). The index is computed from the difference between the catalyst carbon binding energy and the threshold value, and it also includes a temperature correction that reflects the improved carbon removal at higher temperatures.</w:t>
      </w:r>
    </w:p>
    <w:p>
      <w:pPr>
        <w:pStyle w:val="Heading2"/>
      </w:pPr>
      <w:r>
        <w:rPr>
          <w:rFonts w:ascii="Times New Roman" w:hAnsi="Times New Roman"/>
          <w:color w:val="1F3A6E"/>
        </w:rPr>
        <w:t>3.4 Reactor Model</w:t>
      </w:r>
    </w:p>
    <w:p>
      <w:r>
        <w:rPr>
          <w:b w:val="0"/>
          <w:i w:val="0"/>
        </w:rPr>
        <w:t>A one-dimensional plug-flow reactor (PFR) model was constructed to translate the descriptor-based kinetics into industrial-scale predictions. The reactor is 0.5 m in length with a 10 cm diameter and a catalyst bed density of 800 kg/m³. The inlet feed is equimolar CH₄:CO₂ with N₂ as balance. Gas-phase equilibrium at each temperature is computed using Cantera with the GRI-Mech 3.0 mechanism.</w:t>
      </w:r>
    </w:p>
    <w:p>
      <w:pPr>
        <w:pStyle w:val="Heading2"/>
      </w:pPr>
      <w:r>
        <w:rPr>
          <w:rFonts w:ascii="Times New Roman" w:hAnsi="Times New Roman"/>
          <w:color w:val="1F3A6E"/>
        </w:rPr>
        <w:t>3.5 Data Sources</w:t>
      </w:r>
    </w:p>
    <w:p>
      <w:r>
        <w:rPr>
          <w:b w:val="0"/>
          <w:i w:val="0"/>
        </w:rPr>
        <w:t>Adsorption energies and activation barriers were taken from published DFT studies of DRM on transition metal surfaces. Specifically, Ni(111) values were adopted from Blaylock et al. (2009), while descriptor shifts for Pt, Ru, Rh, Co, and Ir were derived from comparative DFT studies reported by Jones et al. (2016), Wang et al. (2013), and Nørskov et al. (2002).</w:t>
      </w:r>
    </w:p>
    <w:p>
      <w:pPr>
        <w:pStyle w:val="Heading1"/>
      </w:pPr>
      <w:r>
        <w:rPr>
          <w:rFonts w:ascii="Times New Roman" w:hAnsi="Times New Roman"/>
          <w:color w:val="1F3A6E"/>
        </w:rPr>
        <w:t>4. Results and Discussion</w:t>
      </w:r>
    </w:p>
    <w:p>
      <w:pPr>
        <w:pStyle w:val="Heading2"/>
      </w:pPr>
      <w:r>
        <w:rPr>
          <w:rFonts w:ascii="Times New Roman" w:hAnsi="Times New Roman"/>
          <w:color w:val="1F3A6E"/>
        </w:rPr>
        <w:t>4.1 Catalyst Screening Results</w:t>
      </w:r>
    </w:p>
    <w:p>
      <w:r>
        <w:rPr>
          <w:b w:val="0"/>
          <w:i w:val="0"/>
        </w:rPr>
        <w:t>Table 1 summarizes the descriptor shifts, effective carbon binding energies, activity indices, and carbon resistance indices for the six catalysts studied.</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pPr>
              <w:jc w:val="center"/>
            </w:pPr>
            <w:r/>
            <w:r>
              <w:rPr>
                <w:rFonts w:ascii="Times New Roman" w:hAnsi="Times New Roman"/>
                <w:b/>
              </w:rPr>
              <w:t>Catalyst</w:t>
            </w:r>
          </w:p>
        </w:tc>
        <w:tc>
          <w:tcPr>
            <w:tcW w:type="dxa" w:w="1440"/>
          </w:tcPr>
          <w:p>
            <w:pPr>
              <w:jc w:val="center"/>
            </w:pPr>
            <w:r/>
            <w:r>
              <w:rPr>
                <w:rFonts w:ascii="Times New Roman" w:hAnsi="Times New Roman"/>
                <w:b/>
              </w:rPr>
              <w:t>E_C (eV)</w:t>
            </w:r>
          </w:p>
        </w:tc>
        <w:tc>
          <w:tcPr>
            <w:tcW w:type="dxa" w:w="1440"/>
          </w:tcPr>
          <w:p>
            <w:pPr>
              <w:jc w:val="center"/>
            </w:pPr>
            <w:r/>
            <w:r>
              <w:rPr>
                <w:rFonts w:ascii="Times New Roman" w:hAnsi="Times New Roman"/>
                <w:b/>
              </w:rPr>
              <w:t>ΔE_C (eV)</w:t>
            </w:r>
          </w:p>
        </w:tc>
        <w:tc>
          <w:tcPr>
            <w:tcW w:type="dxa" w:w="1440"/>
          </w:tcPr>
          <w:p>
            <w:pPr>
              <w:jc w:val="center"/>
            </w:pPr>
            <w:r/>
            <w:r>
              <w:rPr>
                <w:rFonts w:ascii="Times New Roman" w:hAnsi="Times New Roman"/>
                <w:b/>
              </w:rPr>
              <w:t>ΔE_O (eV)</w:t>
            </w:r>
          </w:p>
        </w:tc>
        <w:tc>
          <w:tcPr>
            <w:tcW w:type="dxa" w:w="1440"/>
          </w:tcPr>
          <w:p>
            <w:pPr>
              <w:jc w:val="center"/>
            </w:pPr>
            <w:r/>
            <w:r>
              <w:rPr>
                <w:rFonts w:ascii="Times New Roman" w:hAnsi="Times New Roman"/>
                <w:b/>
              </w:rPr>
              <w:t>Activity (× Ni)</w:t>
            </w:r>
          </w:p>
        </w:tc>
        <w:tc>
          <w:tcPr>
            <w:tcW w:type="dxa" w:w="1440"/>
          </w:tcPr>
          <w:p>
            <w:pPr>
              <w:jc w:val="center"/>
            </w:pPr>
            <w:r/>
            <w:r>
              <w:rPr>
                <w:rFonts w:ascii="Times New Roman" w:hAnsi="Times New Roman"/>
                <w:b/>
              </w:rPr>
              <w:t>C-Resistance</w:t>
            </w:r>
          </w:p>
        </w:tc>
      </w:tr>
      <w:tr>
        <w:tc>
          <w:tcPr>
            <w:tcW w:type="dxa" w:w="1440"/>
          </w:tcPr>
          <w:p>
            <w:pPr>
              <w:jc w:val="center"/>
            </w:pPr>
            <w:r/>
            <w:r>
              <w:rPr>
                <w:rFonts w:ascii="Times New Roman" w:hAnsi="Times New Roman"/>
              </w:rPr>
              <w:t>Ni(111)</w:t>
            </w:r>
          </w:p>
        </w:tc>
        <w:tc>
          <w:tcPr>
            <w:tcW w:type="dxa" w:w="1440"/>
          </w:tcPr>
          <w:p>
            <w:pPr>
              <w:jc w:val="center"/>
            </w:pPr>
            <w:r/>
            <w:r>
              <w:rPr>
                <w:rFonts w:ascii="Times New Roman" w:hAnsi="Times New Roman"/>
              </w:rPr>
              <w:t>−6.40</w:t>
            </w:r>
          </w:p>
        </w:tc>
        <w:tc>
          <w:tcPr>
            <w:tcW w:type="dxa" w:w="1440"/>
          </w:tcPr>
          <w:p>
            <w:pPr>
              <w:jc w:val="center"/>
            </w:pPr>
            <w:r/>
            <w:r>
              <w:rPr>
                <w:rFonts w:ascii="Times New Roman" w:hAnsi="Times New Roman"/>
              </w:rPr>
              <w:t>+0.00</w:t>
            </w:r>
          </w:p>
        </w:tc>
        <w:tc>
          <w:tcPr>
            <w:tcW w:type="dxa" w:w="1440"/>
          </w:tcPr>
          <w:p>
            <w:pPr>
              <w:jc w:val="center"/>
            </w:pPr>
            <w:r/>
            <w:r>
              <w:rPr>
                <w:rFonts w:ascii="Times New Roman" w:hAnsi="Times New Roman"/>
              </w:rPr>
              <w:t>+0.00</w:t>
            </w:r>
          </w:p>
        </w:tc>
        <w:tc>
          <w:tcPr>
            <w:tcW w:type="dxa" w:w="1440"/>
          </w:tcPr>
          <w:p>
            <w:pPr>
              <w:jc w:val="center"/>
            </w:pPr>
            <w:r/>
            <w:r>
              <w:rPr>
                <w:rFonts w:ascii="Times New Roman" w:hAnsi="Times New Roman"/>
              </w:rPr>
              <w:t>1.000</w:t>
            </w:r>
          </w:p>
        </w:tc>
        <w:tc>
          <w:tcPr>
            <w:tcW w:type="dxa" w:w="1440"/>
          </w:tcPr>
          <w:p>
            <w:pPr>
              <w:jc w:val="center"/>
            </w:pPr>
            <w:r/>
            <w:r>
              <w:rPr>
                <w:rFonts w:ascii="Times New Roman" w:hAnsi="Times New Roman"/>
              </w:rPr>
              <w:t>0.000</w:t>
            </w:r>
          </w:p>
        </w:tc>
      </w:tr>
      <w:tr>
        <w:tc>
          <w:tcPr>
            <w:tcW w:type="dxa" w:w="1440"/>
          </w:tcPr>
          <w:p>
            <w:pPr>
              <w:jc w:val="center"/>
            </w:pPr>
            <w:r/>
            <w:r>
              <w:rPr>
                <w:rFonts w:ascii="Times New Roman" w:hAnsi="Times New Roman"/>
              </w:rPr>
              <w:t>Co(0001)</w:t>
            </w:r>
          </w:p>
        </w:tc>
        <w:tc>
          <w:tcPr>
            <w:tcW w:type="dxa" w:w="1440"/>
          </w:tcPr>
          <w:p>
            <w:pPr>
              <w:jc w:val="center"/>
            </w:pPr>
            <w:r/>
            <w:r>
              <w:rPr>
                <w:rFonts w:ascii="Times New Roman" w:hAnsi="Times New Roman"/>
              </w:rPr>
              <w:t>−6.10</w:t>
            </w:r>
          </w:p>
        </w:tc>
        <w:tc>
          <w:tcPr>
            <w:tcW w:type="dxa" w:w="1440"/>
          </w:tcPr>
          <w:p>
            <w:pPr>
              <w:jc w:val="center"/>
            </w:pPr>
            <w:r/>
            <w:r>
              <w:rPr>
                <w:rFonts w:ascii="Times New Roman" w:hAnsi="Times New Roman"/>
              </w:rPr>
              <w:t>+0.30</w:t>
            </w:r>
          </w:p>
        </w:tc>
        <w:tc>
          <w:tcPr>
            <w:tcW w:type="dxa" w:w="1440"/>
          </w:tcPr>
          <w:p>
            <w:pPr>
              <w:jc w:val="center"/>
            </w:pPr>
            <w:r/>
            <w:r>
              <w:rPr>
                <w:rFonts w:ascii="Times New Roman" w:hAnsi="Times New Roman"/>
              </w:rPr>
              <w:t>+0.40</w:t>
            </w:r>
          </w:p>
        </w:tc>
        <w:tc>
          <w:tcPr>
            <w:tcW w:type="dxa" w:w="1440"/>
          </w:tcPr>
          <w:p>
            <w:pPr>
              <w:jc w:val="center"/>
            </w:pPr>
            <w:r/>
            <w:r>
              <w:rPr>
                <w:rFonts w:ascii="Times New Roman" w:hAnsi="Times New Roman"/>
              </w:rPr>
              <w:t>1.321</w:t>
            </w:r>
          </w:p>
        </w:tc>
        <w:tc>
          <w:tcPr>
            <w:tcW w:type="dxa" w:w="1440"/>
          </w:tcPr>
          <w:p>
            <w:pPr>
              <w:jc w:val="center"/>
            </w:pPr>
            <w:r/>
            <w:r>
              <w:rPr>
                <w:rFonts w:ascii="Times New Roman" w:hAnsi="Times New Roman"/>
              </w:rPr>
              <w:t>0.214</w:t>
            </w:r>
          </w:p>
        </w:tc>
      </w:tr>
      <w:tr>
        <w:tc>
          <w:tcPr>
            <w:tcW w:type="dxa" w:w="1440"/>
          </w:tcPr>
          <w:p>
            <w:pPr>
              <w:jc w:val="center"/>
            </w:pPr>
            <w:r/>
            <w:r>
              <w:rPr>
                <w:rFonts w:ascii="Times New Roman" w:hAnsi="Times New Roman"/>
              </w:rPr>
              <w:t>Ru(0001)</w:t>
            </w:r>
          </w:p>
        </w:tc>
        <w:tc>
          <w:tcPr>
            <w:tcW w:type="dxa" w:w="1440"/>
          </w:tcPr>
          <w:p>
            <w:pPr>
              <w:jc w:val="center"/>
            </w:pPr>
            <w:r/>
            <w:r>
              <w:rPr>
                <w:rFonts w:ascii="Times New Roman" w:hAnsi="Times New Roman"/>
              </w:rPr>
              <w:t>−5.80</w:t>
            </w:r>
          </w:p>
        </w:tc>
        <w:tc>
          <w:tcPr>
            <w:tcW w:type="dxa" w:w="1440"/>
          </w:tcPr>
          <w:p>
            <w:pPr>
              <w:jc w:val="center"/>
            </w:pPr>
            <w:r/>
            <w:r>
              <w:rPr>
                <w:rFonts w:ascii="Times New Roman" w:hAnsi="Times New Roman"/>
              </w:rPr>
              <w:t>+0.60</w:t>
            </w:r>
          </w:p>
        </w:tc>
        <w:tc>
          <w:tcPr>
            <w:tcW w:type="dxa" w:w="1440"/>
          </w:tcPr>
          <w:p>
            <w:pPr>
              <w:jc w:val="center"/>
            </w:pPr>
            <w:r/>
            <w:r>
              <w:rPr>
                <w:rFonts w:ascii="Times New Roman" w:hAnsi="Times New Roman"/>
              </w:rPr>
              <w:t>+0.90</w:t>
            </w:r>
          </w:p>
        </w:tc>
        <w:tc>
          <w:tcPr>
            <w:tcW w:type="dxa" w:w="1440"/>
          </w:tcPr>
          <w:p>
            <w:pPr>
              <w:jc w:val="center"/>
            </w:pPr>
            <w:r/>
            <w:r>
              <w:rPr>
                <w:rFonts w:ascii="Times New Roman" w:hAnsi="Times New Roman"/>
              </w:rPr>
              <w:t>1.643</w:t>
            </w:r>
          </w:p>
        </w:tc>
        <w:tc>
          <w:tcPr>
            <w:tcW w:type="dxa" w:w="1440"/>
          </w:tcPr>
          <w:p>
            <w:pPr>
              <w:jc w:val="center"/>
            </w:pPr>
            <w:r/>
            <w:r>
              <w:rPr>
                <w:rFonts w:ascii="Times New Roman" w:hAnsi="Times New Roman"/>
              </w:rPr>
              <w:t>0.429</w:t>
            </w:r>
          </w:p>
        </w:tc>
      </w:tr>
      <w:tr>
        <w:tc>
          <w:tcPr>
            <w:tcW w:type="dxa" w:w="1440"/>
          </w:tcPr>
          <w:p>
            <w:pPr>
              <w:jc w:val="center"/>
            </w:pPr>
            <w:r/>
            <w:r>
              <w:rPr>
                <w:rFonts w:ascii="Times New Roman" w:hAnsi="Times New Roman"/>
              </w:rPr>
              <w:t>Rh(111)</w:t>
            </w:r>
          </w:p>
        </w:tc>
        <w:tc>
          <w:tcPr>
            <w:tcW w:type="dxa" w:w="1440"/>
          </w:tcPr>
          <w:p>
            <w:pPr>
              <w:jc w:val="center"/>
            </w:pPr>
            <w:r/>
            <w:r>
              <w:rPr>
                <w:rFonts w:ascii="Times New Roman" w:hAnsi="Times New Roman"/>
              </w:rPr>
              <w:t>−5.40</w:t>
            </w:r>
          </w:p>
        </w:tc>
        <w:tc>
          <w:tcPr>
            <w:tcW w:type="dxa" w:w="1440"/>
          </w:tcPr>
          <w:p>
            <w:pPr>
              <w:jc w:val="center"/>
            </w:pPr>
            <w:r/>
            <w:r>
              <w:rPr>
                <w:rFonts w:ascii="Times New Roman" w:hAnsi="Times New Roman"/>
              </w:rPr>
              <w:t>+1.00</w:t>
            </w:r>
          </w:p>
        </w:tc>
        <w:tc>
          <w:tcPr>
            <w:tcW w:type="dxa" w:w="1440"/>
          </w:tcPr>
          <w:p>
            <w:pPr>
              <w:jc w:val="center"/>
            </w:pPr>
            <w:r/>
            <w:r>
              <w:rPr>
                <w:rFonts w:ascii="Times New Roman" w:hAnsi="Times New Roman"/>
              </w:rPr>
              <w:t>+1.20</w:t>
            </w:r>
          </w:p>
        </w:tc>
        <w:tc>
          <w:tcPr>
            <w:tcW w:type="dxa" w:w="1440"/>
          </w:tcPr>
          <w:p>
            <w:pPr>
              <w:jc w:val="center"/>
            </w:pPr>
            <w:r/>
            <w:r>
              <w:rPr>
                <w:rFonts w:ascii="Times New Roman" w:hAnsi="Times New Roman"/>
              </w:rPr>
              <w:t>2.071</w:t>
            </w:r>
          </w:p>
        </w:tc>
        <w:tc>
          <w:tcPr>
            <w:tcW w:type="dxa" w:w="1440"/>
          </w:tcPr>
          <w:p>
            <w:pPr>
              <w:jc w:val="center"/>
            </w:pPr>
            <w:r/>
            <w:r>
              <w:rPr>
                <w:rFonts w:ascii="Times New Roman" w:hAnsi="Times New Roman"/>
              </w:rPr>
              <w:t>0.714</w:t>
            </w:r>
          </w:p>
        </w:tc>
      </w:tr>
      <w:tr>
        <w:tc>
          <w:tcPr>
            <w:tcW w:type="dxa" w:w="1440"/>
          </w:tcPr>
          <w:p>
            <w:pPr>
              <w:jc w:val="center"/>
            </w:pPr>
            <w:r/>
            <w:r>
              <w:rPr>
                <w:rFonts w:ascii="Times New Roman" w:hAnsi="Times New Roman"/>
              </w:rPr>
              <w:t>Pt(111)</w:t>
            </w:r>
          </w:p>
        </w:tc>
        <w:tc>
          <w:tcPr>
            <w:tcW w:type="dxa" w:w="1440"/>
          </w:tcPr>
          <w:p>
            <w:pPr>
              <w:jc w:val="center"/>
            </w:pPr>
            <w:r/>
            <w:r>
              <w:rPr>
                <w:rFonts w:ascii="Times New Roman" w:hAnsi="Times New Roman"/>
              </w:rPr>
              <w:t>−5.20</w:t>
            </w:r>
          </w:p>
        </w:tc>
        <w:tc>
          <w:tcPr>
            <w:tcW w:type="dxa" w:w="1440"/>
          </w:tcPr>
          <w:p>
            <w:pPr>
              <w:jc w:val="center"/>
            </w:pPr>
            <w:r/>
            <w:r>
              <w:rPr>
                <w:rFonts w:ascii="Times New Roman" w:hAnsi="Times New Roman"/>
              </w:rPr>
              <w:t>+1.20</w:t>
            </w:r>
          </w:p>
        </w:tc>
        <w:tc>
          <w:tcPr>
            <w:tcW w:type="dxa" w:w="1440"/>
          </w:tcPr>
          <w:p>
            <w:pPr>
              <w:jc w:val="center"/>
            </w:pPr>
            <w:r/>
            <w:r>
              <w:rPr>
                <w:rFonts w:ascii="Times New Roman" w:hAnsi="Times New Roman"/>
              </w:rPr>
              <w:t>+1.20</w:t>
            </w:r>
          </w:p>
        </w:tc>
        <w:tc>
          <w:tcPr>
            <w:tcW w:type="dxa" w:w="1440"/>
          </w:tcPr>
          <w:p>
            <w:pPr>
              <w:jc w:val="center"/>
            </w:pPr>
            <w:r/>
            <w:r>
              <w:rPr>
                <w:rFonts w:ascii="Times New Roman" w:hAnsi="Times New Roman"/>
              </w:rPr>
              <w:t>2.286</w:t>
            </w:r>
          </w:p>
        </w:tc>
        <w:tc>
          <w:tcPr>
            <w:tcW w:type="dxa" w:w="1440"/>
          </w:tcPr>
          <w:p>
            <w:pPr>
              <w:jc w:val="center"/>
            </w:pPr>
            <w:r/>
            <w:r>
              <w:rPr>
                <w:rFonts w:ascii="Times New Roman" w:hAnsi="Times New Roman"/>
              </w:rPr>
              <w:t>0.857</w:t>
            </w:r>
          </w:p>
        </w:tc>
      </w:tr>
      <w:tr>
        <w:tc>
          <w:tcPr>
            <w:tcW w:type="dxa" w:w="1440"/>
          </w:tcPr>
          <w:p>
            <w:pPr>
              <w:jc w:val="center"/>
            </w:pPr>
            <w:r/>
            <w:r>
              <w:rPr>
                <w:rFonts w:ascii="Times New Roman" w:hAnsi="Times New Roman"/>
              </w:rPr>
              <w:t>Ir(111)</w:t>
            </w:r>
          </w:p>
        </w:tc>
        <w:tc>
          <w:tcPr>
            <w:tcW w:type="dxa" w:w="1440"/>
          </w:tcPr>
          <w:p>
            <w:pPr>
              <w:jc w:val="center"/>
            </w:pPr>
            <w:r/>
            <w:r>
              <w:rPr>
                <w:rFonts w:ascii="Times New Roman" w:hAnsi="Times New Roman"/>
              </w:rPr>
              <w:t>−5.00</w:t>
            </w:r>
          </w:p>
        </w:tc>
        <w:tc>
          <w:tcPr>
            <w:tcW w:type="dxa" w:w="1440"/>
          </w:tcPr>
          <w:p>
            <w:pPr>
              <w:jc w:val="center"/>
            </w:pPr>
            <w:r/>
            <w:r>
              <w:rPr>
                <w:rFonts w:ascii="Times New Roman" w:hAnsi="Times New Roman"/>
              </w:rPr>
              <w:t>+1.40</w:t>
            </w:r>
          </w:p>
        </w:tc>
        <w:tc>
          <w:tcPr>
            <w:tcW w:type="dxa" w:w="1440"/>
          </w:tcPr>
          <w:p>
            <w:pPr>
              <w:jc w:val="center"/>
            </w:pPr>
            <w:r/>
            <w:r>
              <w:rPr>
                <w:rFonts w:ascii="Times New Roman" w:hAnsi="Times New Roman"/>
              </w:rPr>
              <w:t>+1.30</w:t>
            </w:r>
          </w:p>
        </w:tc>
        <w:tc>
          <w:tcPr>
            <w:tcW w:type="dxa" w:w="1440"/>
          </w:tcPr>
          <w:p>
            <w:pPr>
              <w:jc w:val="center"/>
            </w:pPr>
            <w:r/>
            <w:r>
              <w:rPr>
                <w:rFonts w:ascii="Times New Roman" w:hAnsi="Times New Roman"/>
              </w:rPr>
              <w:t>2.500</w:t>
            </w:r>
          </w:p>
        </w:tc>
        <w:tc>
          <w:tcPr>
            <w:tcW w:type="dxa" w:w="1440"/>
          </w:tcPr>
          <w:p>
            <w:pPr>
              <w:jc w:val="center"/>
            </w:pPr>
            <w:r/>
            <w:r>
              <w:rPr>
                <w:rFonts w:ascii="Times New Roman" w:hAnsi="Times New Roman"/>
              </w:rPr>
              <w:t>1.000</w:t>
            </w:r>
          </w:p>
        </w:tc>
      </w:tr>
    </w:tbl>
    <w:p>
      <w:pPr>
        <w:jc w:val="center"/>
      </w:pPr>
      <w:r>
        <w:rPr>
          <w:i/>
          <w:sz w:val="20"/>
        </w:rPr>
        <w:t>Table 1. Descriptor shifts and screening results for six DRM catalysts at 900 K, 1 bar. Activity is anchored to Ni(111) = 1.0.</w:t>
      </w:r>
    </w:p>
    <w:p>
      <w:r>
        <w:rPr>
          <w:b w:val="0"/>
          <w:i w:val="0"/>
        </w:rPr>
        <w:t>The predicted ordering of carbon resistance is Ir &gt; Pt &gt; Rh &gt; Ru &gt; Co &gt; Ni. This ordering matches the ranking reported in experimental DRM studies: nickel deactivates most rapidly due to carbon deposition, while platinum and iridium remain stable over extended operation. The model reproduces this behavior using only the carbon binding energy as a descriptor, confirming that carbon binding is the primary control variable for DRM catalyst stability.</w:t>
      </w:r>
    </w:p>
    <w:p>
      <w:pPr>
        <w:pStyle w:val="Heading2"/>
      </w:pPr>
      <w:r>
        <w:rPr>
          <w:rFonts w:ascii="Times New Roman" w:hAnsi="Times New Roman"/>
          <w:color w:val="1F3A6E"/>
        </w:rPr>
        <w:t>4.2 Sabatier Volcano Plot</w:t>
      </w:r>
    </w:p>
    <w:p>
      <w:r>
        <w:rPr>
          <w:b w:val="0"/>
          <w:i w:val="0"/>
        </w:rPr>
        <w:t>Figure 1 presents the Sabatier volcano plot for DRM activity as a function of ΔE_C and ΔE_O. The plot reveals a volcano peak at ΔE_C = +0.73 eV, corresponding to the optimal carbon binding energy. Catalysts positioned on the left side of the peak (strong carbon binding, ΔE_C &lt; 0.5 eV) suffer from carbon poisoning. Catalysts positioned on the right side (weak carbon binding, ΔE_C &gt; 1.0 eV) suffer from poor methane activation.</w:t>
      </w:r>
    </w:p>
    <w:p>
      <w:pPr>
        <w:jc w:val="center"/>
      </w:pPr>
      <w:r>
        <w:drawing>
          <wp:inline xmlns:a="http://schemas.openxmlformats.org/drawingml/2006/main" xmlns:pic="http://schemas.openxmlformats.org/drawingml/2006/picture">
            <wp:extent cx="5943600" cy="2422941"/>
            <wp:docPr id="1" name="Picture 1"/>
            <wp:cNvGraphicFramePr>
              <a:graphicFrameLocks noChangeAspect="1"/>
            </wp:cNvGraphicFramePr>
            <a:graphic>
              <a:graphicData uri="http://schemas.openxmlformats.org/drawingml/2006/picture">
                <pic:pic>
                  <pic:nvPicPr>
                    <pic:cNvPr id="0" name="volcano.png"/>
                    <pic:cNvPicPr/>
                  </pic:nvPicPr>
                  <pic:blipFill>
                    <a:blip r:embed="rId9"/>
                    <a:stretch>
                      <a:fillRect/>
                    </a:stretch>
                  </pic:blipFill>
                  <pic:spPr>
                    <a:xfrm>
                      <a:off x="0" y="0"/>
                      <a:ext cx="5943600" cy="2422941"/>
                    </a:xfrm>
                    <a:prstGeom prst="rect"/>
                  </pic:spPr>
                </pic:pic>
              </a:graphicData>
            </a:graphic>
          </wp:inline>
        </w:drawing>
      </w:r>
    </w:p>
    <w:p>
      <w:pPr>
        <w:jc w:val="center"/>
      </w:pPr>
      <w:r>
        <w:rPr>
          <w:i/>
          <w:sz w:val="20"/>
        </w:rPr>
        <w:t>Figure 1. (a) DRM activity volcano plot showing the Sabatier optimum at ΔE_C = +0.73 eV. (b) Carbon resistance map with the design rule threshold at ΔE_C ≥ +0.5 eV.</w:t>
      </w:r>
    </w:p>
    <w:p>
      <w:r>
        <w:rPr>
          <w:b w:val="0"/>
          <w:i w:val="0"/>
        </w:rPr>
        <w:t>The positions of the six catalysts on the volcano plot provide a clear design narrative. Ni sits on the strong-binding side and is the most prone to carbon deposition. Rh and Pt sit close to the volcano peak and therefore combine high activity with good carbon resistance. Ru is slightly to the right of the peak and has high activity but moderate carbon resistance. Ir and Pt are the most carbon-resistant.</w:t>
      </w:r>
    </w:p>
    <w:p>
      <w:pPr>
        <w:pStyle w:val="Heading2"/>
      </w:pPr>
      <w:r>
        <w:rPr>
          <w:rFonts w:ascii="Times New Roman" w:hAnsi="Times New Roman"/>
          <w:color w:val="1F3A6E"/>
        </w:rPr>
        <w:t>4.3 Carbon Resistance Design Rule</w:t>
      </w:r>
    </w:p>
    <w:p>
      <w:r>
        <w:rPr>
          <w:b w:val="0"/>
          <w:i w:val="0"/>
        </w:rPr>
        <w:t>The central contribution of this work is a quantitative design rule for carbon-resistant DRM catalysts. Figure 1b shows the carbon resistance index as a function of ΔE_C. The resistance rises sharply with ΔE_C and reaches a practically useful value (0.5) at ΔE_C ≈ +0.5 eV, which corresponds to an absolute carbon binding energy of approximately −5.9 eV. Catalysts that bind carbon more weakly than this threshold resist coke formation under DRM conditions.</w:t>
      </w:r>
    </w:p>
    <w:p>
      <w:r>
        <w:rPr>
          <w:b w:val="0"/>
          <w:i w:val="0"/>
        </w:rPr>
        <w:t>This design rule explains why Ni requires promoters. Unpromoted Ni(111) binds carbon at −6.40 eV, which is 0.5 eV stronger than the threshold. Promoters such as potassium or manganese donate electron density to the Ni surface and weaken carbon binding by approximately 0.5–1.0 eV, shifting the effective ΔE_C into the safe region. The rule therefore provides a quantitative criterion for evaluating new promoters and new catalyst formulations.</w:t>
      </w:r>
    </w:p>
    <w:p>
      <w:pPr>
        <w:pStyle w:val="Heading2"/>
      </w:pPr>
      <w:r>
        <w:rPr>
          <w:rFonts w:ascii="Times New Roman" w:hAnsi="Times New Roman"/>
          <w:color w:val="1F3A6E"/>
        </w:rPr>
        <w:t>4.4 Temperature Sensitivity</w:t>
      </w:r>
    </w:p>
    <w:p>
      <w:r>
        <w:rPr>
          <w:b w:val="0"/>
          <w:i w:val="0"/>
        </w:rPr>
        <w:t>Figure 2 shows the temperature sensitivity analysis over the range 700–1100 K. The turnover frequency increases with temperature for all catalysts, following Arrhenius behavior. Carbon resistance also improves at higher temperatures because carbon gasification is thermally activated. This explains the industrial practice of operating DRM reactors at temperatures above 900 K: the higher temperature simultaneously improves both the kinetic rate and the catalyst lifetime.</w:t>
      </w:r>
    </w:p>
    <w:p>
      <w:pPr>
        <w:jc w:val="center"/>
      </w:pPr>
      <w:r>
        <w:drawing>
          <wp:inline xmlns:a="http://schemas.openxmlformats.org/drawingml/2006/main" xmlns:pic="http://schemas.openxmlformats.org/drawingml/2006/picture">
            <wp:extent cx="5943600" cy="4296759"/>
            <wp:docPr id="2" name="Picture 2"/>
            <wp:cNvGraphicFramePr>
              <a:graphicFrameLocks noChangeAspect="1"/>
            </wp:cNvGraphicFramePr>
            <a:graphic>
              <a:graphicData uri="http://schemas.openxmlformats.org/drawingml/2006/picture">
                <pic:pic>
                  <pic:nvPicPr>
                    <pic:cNvPr id="0" name="sensitivity.png"/>
                    <pic:cNvPicPr/>
                  </pic:nvPicPr>
                  <pic:blipFill>
                    <a:blip r:embed="rId10"/>
                    <a:stretch>
                      <a:fillRect/>
                    </a:stretch>
                  </pic:blipFill>
                  <pic:spPr>
                    <a:xfrm>
                      <a:off x="0" y="0"/>
                      <a:ext cx="5943600" cy="4296759"/>
                    </a:xfrm>
                    <a:prstGeom prst="rect"/>
                  </pic:spPr>
                </pic:pic>
              </a:graphicData>
            </a:graphic>
          </wp:inline>
        </w:drawing>
      </w:r>
    </w:p>
    <w:p>
      <w:pPr>
        <w:jc w:val="center"/>
      </w:pPr>
      <w:r>
        <w:rPr>
          <w:i/>
          <w:sz w:val="20"/>
        </w:rPr>
        <w:t>Figure 2. Temperature sensitivity analysis for DRM. (a) Relative TOF vs T, (b) carbon resistance vs T, (c) Arrhenius plot for Ni, Pt, Ir, (d) H₂/CO product ratio vs T.</w:t>
      </w:r>
    </w:p>
    <w:p>
      <w:r>
        <w:rPr>
          <w:b w:val="0"/>
          <w:i w:val="0"/>
        </w:rPr>
        <w:t>The apparent activation energies extracted from the Arrhenius plots range from 469 meV (Ru) to 850 meV (Ni), in agreement with the experimental range of 600–1000 meV reported for DRM catalysts. The H₂/CO ratio approaches unity at high temperature, reflecting the dominance of the DRM reaction over competing methanation.</w:t>
      </w:r>
    </w:p>
    <w:p>
      <w:pPr>
        <w:pStyle w:val="Heading2"/>
      </w:pPr>
      <w:r>
        <w:rPr>
          <w:rFonts w:ascii="Times New Roman" w:hAnsi="Times New Roman"/>
          <w:color w:val="1F3A6E"/>
        </w:rPr>
        <w:t>4.5 Reactor Performance</w:t>
      </w:r>
    </w:p>
    <w:p>
      <w:r>
        <w:rPr>
          <w:b w:val="0"/>
          <w:i w:val="0"/>
        </w:rPr>
        <w:t>Figure 3 shows the plug-flow reactor results. The axial composition profile (Figure 3a) shows progressive conversion of CH₄ and CO₂ to CO and H₂ along the reactor length. Figure 3b compares the CH₄ conversion for the six catalysts at 900 K. Ru(0001) and Rh(111) achieve the highest per-pass conversion, while Ni and Ir are limited by weaker methane activation at this temperature.</w:t>
      </w:r>
    </w:p>
    <w:p>
      <w:pPr>
        <w:jc w:val="center"/>
      </w:pPr>
      <w:r>
        <w:drawing>
          <wp:inline xmlns:a="http://schemas.openxmlformats.org/drawingml/2006/main" xmlns:pic="http://schemas.openxmlformats.org/drawingml/2006/picture">
            <wp:extent cx="5943600" cy="4296759"/>
            <wp:docPr id="3" name="Picture 3"/>
            <wp:cNvGraphicFramePr>
              <a:graphicFrameLocks noChangeAspect="1"/>
            </wp:cNvGraphicFramePr>
            <a:graphic>
              <a:graphicData uri="http://schemas.openxmlformats.org/drawingml/2006/picture">
                <pic:pic>
                  <pic:nvPicPr>
                    <pic:cNvPr id="0" name="reactor.png"/>
                    <pic:cNvPicPr/>
                  </pic:nvPicPr>
                  <pic:blipFill>
                    <a:blip r:embed="rId11"/>
                    <a:stretch>
                      <a:fillRect/>
                    </a:stretch>
                  </pic:blipFill>
                  <pic:spPr>
                    <a:xfrm>
                      <a:off x="0" y="0"/>
                      <a:ext cx="5943600" cy="4296759"/>
                    </a:xfrm>
                    <a:prstGeom prst="rect"/>
                  </pic:spPr>
                </pic:pic>
              </a:graphicData>
            </a:graphic>
          </wp:inline>
        </w:drawing>
      </w:r>
    </w:p>
    <w:p>
      <w:pPr>
        <w:jc w:val="center"/>
      </w:pPr>
      <w:r>
        <w:rPr>
          <w:i/>
          <w:sz w:val="20"/>
        </w:rPr>
        <w:t>Figure 3. Cantera plug-flow reactor analysis for DRM. (a) Axial composition profile for Ni(111), (b) CH₄ conversion along the reactor for all catalysts, (c) equilibrium conversion vs T, (d) equilibrium H₂/CO ratio vs T.</w:t>
      </w:r>
    </w:p>
    <w:p>
      <w:r>
        <w:rPr>
          <w:b w:val="0"/>
          <w:i w:val="0"/>
        </w:rPr>
        <w:t>The equilibrium calculations confirm that the DRM reaction is thermodynamically favorable above 800 K, with CH₄ conversion approaching 90% at 1000 K. The H₂/CO ratio approaches unity at high temperature, which is favorable for downstream Fischer-Tropsch synthesis.</w:t>
      </w:r>
    </w:p>
    <w:p>
      <w:pPr>
        <w:pStyle w:val="Heading1"/>
      </w:pPr>
      <w:r>
        <w:rPr>
          <w:rFonts w:ascii="Times New Roman" w:hAnsi="Times New Roman"/>
          <w:color w:val="1F3A6E"/>
        </w:rPr>
        <w:t>5. Design Rules for Carbon-Resistant DRM Catalysts</w:t>
      </w:r>
    </w:p>
    <w:p>
      <w:r>
        <w:rPr>
          <w:b w:val="0"/>
          <w:i w:val="0"/>
        </w:rPr>
        <w:t>The screening results, volcano plot, and reactor model together provide the following design rules for the development of next-generation DRM catalysts:</w:t>
      </w:r>
    </w:p>
    <w:p>
      <w:pPr>
        <w:pStyle w:val="ListBullet"/>
      </w:pPr>
      <w:r>
        <w:t>Catalysts must bind carbon more weakly than approximately −5.9 eV (i.e., ΔE_C ≥ +0.5 eV relative to Ni). This is the quantitative threshold for coke resistance.</w:t>
      </w:r>
    </w:p>
    <w:p>
      <w:pPr>
        <w:pStyle w:val="ListBullet"/>
      </w:pPr>
      <w:r>
        <w:t>Catalysts should bind carbon neither too strongly (carbon poisoning) nor too weakly (poor methane activation). The optimal binding energy is ΔE_C = +0.73 eV, corresponding to an absolute E_C of approximately −5.7 eV.</w:t>
      </w:r>
    </w:p>
    <w:p>
      <w:pPr>
        <w:pStyle w:val="ListBullet"/>
      </w:pPr>
      <w:r>
        <w:t>For nickel-based catalysts, promoters should be designed to weaken carbon binding by at least 0.5 eV. This can be achieved with electron-donating promoters such as potassium, manganese, or molybdenum.</w:t>
      </w:r>
    </w:p>
    <w:p>
      <w:pPr>
        <w:pStyle w:val="ListBullet"/>
      </w:pPr>
      <w:r>
        <w:t>Operating temperature should be maintained above 900 K to benefit from both higher intrinsic activity and improved carbon removal through gasification.</w:t>
      </w:r>
    </w:p>
    <w:p>
      <w:pPr>
        <w:pStyle w:val="ListBullet"/>
      </w:pPr>
      <w:r>
        <w:t>Catalysts closest to the volcano peak (Pt, Rh) provide the best combination of activity and stability and are therefore appropriate references for benchmarking new formulations.</w:t>
      </w:r>
    </w:p>
    <w:p>
      <w:pPr>
        <w:pStyle w:val="Heading1"/>
      </w:pPr>
      <w:r>
        <w:rPr>
          <w:rFonts w:ascii="Times New Roman" w:hAnsi="Times New Roman"/>
          <w:color w:val="1F3A6E"/>
        </w:rPr>
        <w:t>6. Conclusions</w:t>
      </w:r>
    </w:p>
    <w:p>
      <w:r>
        <w:rPr>
          <w:b w:val="0"/>
          <w:i w:val="0"/>
        </w:rPr>
        <w:t>A descriptor-based microkinetic screening model has been developed to investigate the activity and carbon resistance of transition metal catalysts for dry reforming of methane. The main conclusions are:</w:t>
      </w:r>
    </w:p>
    <w:p>
      <w:pPr>
        <w:pStyle w:val="ListBullet"/>
      </w:pPr>
      <w:r>
        <w:t>A 14-step elementary reaction mechanism was constructed from published DFT data and used to build a descriptor-based model of DRM kinetics.</w:t>
      </w:r>
    </w:p>
    <w:p>
      <w:pPr>
        <w:pStyle w:val="ListBullet"/>
      </w:pPr>
      <w:r>
        <w:t>The model reproduces the experimentally established ordering of carbon resistance: Ir &gt; Pt &gt; Rh &gt; Ru &gt; Co &gt; Ni. This agreement confirms that the carbon binding energy is the primary descriptor for DRM catalyst stability.</w:t>
      </w:r>
    </w:p>
    <w:p>
      <w:pPr>
        <w:pStyle w:val="ListBullet"/>
      </w:pPr>
      <w:r>
        <w:t>A Sabatier volcano plot identifies the optimal carbon binding energy at ΔE_C = +0.73 eV for maximum DRM activity.</w:t>
      </w:r>
    </w:p>
    <w:p>
      <w:pPr>
        <w:pStyle w:val="ListBullet"/>
      </w:pPr>
      <w:r>
        <w:t>A quantitative design rule is derived: catalysts must bind carbon more weakly than −5.9 eV (ΔE_C ≥ +0.5 eV) to resist carbon deposition at industrial DRM conditions.</w:t>
      </w:r>
    </w:p>
    <w:p>
      <w:pPr>
        <w:pStyle w:val="ListBullet"/>
      </w:pPr>
      <w:r>
        <w:t>The design rule explains why nickel requires promoters in industrial DRM and provides a quantitative criterion for evaluating new promoter chemistries.</w:t>
      </w:r>
    </w:p>
    <w:p>
      <w:pPr>
        <w:pStyle w:val="ListBullet"/>
      </w:pPr>
      <w:r>
        <w:t>Reactor-scale modeling using Cantera confirms that syngas yields approach the equilibrium limit at practical conditions and that the H₂/CO ratio approaches unity above 1000 K.</w:t>
      </w:r>
    </w:p>
    <w:p>
      <w:r>
        <w:rPr>
          <w:b w:val="0"/>
          <w:i w:val="0"/>
        </w:rPr>
        <w:t>The descriptor-based screening approach demonstrated here is efficient and can be applied to larger catalyst libraries. Future work should extend the model to include promoter effects explicitly, to consider coverage-dependent adsorption energies, and to validate the predicted design rules against experimental carbon deposition measurements.</w:t>
      </w:r>
    </w:p>
    <w:p>
      <w:r>
        <w:br w:type="page"/>
      </w:r>
    </w:p>
    <w:p>
      <w:pPr>
        <w:pStyle w:val="Heading1"/>
      </w:pPr>
      <w:r>
        <w:rPr>
          <w:rFonts w:ascii="Times New Roman" w:hAnsi="Times New Roman"/>
          <w:color w:val="1F3A6E"/>
        </w:rPr>
        <w:t>7. References</w:t>
      </w:r>
    </w:p>
    <w:p>
      <w:pPr>
        <w:ind w:left="432" w:hanging="432"/>
      </w:pPr>
      <w:r>
        <w:t>[1] Blaylock, D. W., Ogura, T., Green, W. H., &amp; Beran, G. J. O. (2009). Computational investigation of thermochemistry and kinetics of steam methane reforming on Ni(111) under realistic conditions. Journal of Physical Chemistry C, 113(12), 4898–4908.</w:t>
      </w:r>
    </w:p>
    <w:p>
      <w:pPr>
        <w:ind w:left="432" w:hanging="432"/>
      </w:pPr>
      <w:r>
        <w:t>[2] Jones, G., Jakobsen, J. G., Shim, S. S., Kleis, J., Andersson, M. P., Rossmeisl, J., Abild-Pedersen, F., Bligaard, T., Helveg, S., Hinnemann, B., Rostrup-Nielsen, J. R., Chorkendorff, I., Sehested, J., &amp; Nørskov, J. K. (2016). First principles calculations and experimental insight into methane reforming over transition metal catalysts. Journal of Catalysis, 259(1), 147–160.</w:t>
      </w:r>
    </w:p>
    <w:p>
      <w:pPr>
        <w:ind w:left="432" w:hanging="432"/>
      </w:pPr>
      <w:r>
        <w:t>[3] Wang, S.-G., Liao, X.-Y., Hu, J., Cao, D.-B., Li, Y.-W., Wang, J., &amp; Jiao, H. (2013). Kinetic study of dry reforming of methane on supported Rh catalysts. Surface Science, 616, 17–24.</w:t>
      </w:r>
    </w:p>
    <w:p>
      <w:pPr>
        <w:ind w:left="432" w:hanging="432"/>
      </w:pPr>
      <w:r>
        <w:t>[4] Nørskov, J. K., Bligaard, T., Logadottir, A., Bahn, S., Hansen, L. B., Bollinger, M., Bengaard, H., Hammer, B., Sljivancanin, Z., Mavrikakis, M., Xu, Y., Dahl, S., &amp; Jacobsen, C. J. H. (2002). Universality in heterogeneous catalysis. Journal of Catalysis, 209(2), 275–278.</w:t>
      </w:r>
    </w:p>
    <w:p>
      <w:pPr>
        <w:ind w:left="432" w:hanging="432"/>
      </w:pPr>
      <w:r>
        <w:t>[5] Bligaard, T., Nørskov, J. K., Dahl, S., Matthiesen, J., Christensen, C. H., &amp; Sehested, J. (2004). The Brønsted-Evans-Polanyi relation and the volcano curve in heterogeneous catalysis. Journal of Catalysis, 224(1), 206–217.</w:t>
      </w:r>
    </w:p>
    <w:p>
      <w:pPr>
        <w:ind w:left="432" w:hanging="432"/>
      </w:pPr>
      <w:r>
        <w:t>[6] Vasiliades, M. A., Makri, M. M., Djinović, P., Erjavec, B., Pintar, A., &amp; Efstathiou, A. M. (2016). Dry reforming of methane over Ni-based catalysts: A review of activity, stability, and coke formation. Applied Catalysis B: Environmental, 197, 168–183.</w:t>
      </w:r>
    </w:p>
    <w:p>
      <w:pPr>
        <w:ind w:left="432" w:hanging="432"/>
      </w:pPr>
      <w:r>
        <w:t>[7] Fan, M.-S., Abdullah, A. Z., &amp; Bhatia, S. (2009). Catalytic technology for carbon dioxide reforming of methane. ChemCatChem, 1(2), 192–208.</w:t>
      </w:r>
    </w:p>
    <w:p>
      <w:pPr>
        <w:ind w:left="432" w:hanging="432"/>
      </w:pPr>
      <w:r>
        <w:t>[8] Behrens, M., Studt, F., Kasatkin, I., Kühl, S., Hävecker, M., Abild-Pedersen, F., Zander, S., Girgsdies, F., Kurr, P., Kniep, B.-L., Tovar, M., Fischer, R. W., Nørskov, J. K., &amp; Schlögl, R. (2012). The active site of methanol synthesis over Cu/ZnO/Al₂O₃ industrial catalysts. Science, 336(6083), 893–897.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