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Numerical Microkinetic Modeling of Dry Reforming of Methane:</w:t>
        <w:br/>
        <w:t>A 14-Step Mechanism for Carbon-Resistant Catalyst Design</w:t>
      </w:r>
    </w:p>
    <w:p/>
    <w:p>
      <w:pPr>
        <w:jc w:val="center"/>
      </w:pPr>
      <w:r>
        <w:rPr>
          <w:b/>
          <w:sz w:val="28"/>
        </w:rPr>
        <w:t>Harpreet Thappa  2024BCHE034</w:t>
      </w:r>
    </w:p>
    <w:p>
      <w:pPr>
        <w:jc w:val="center"/>
      </w:pPr>
      <w:r>
        <w:rPr>
          <w:sz w:val="22"/>
        </w:rPr>
        <w:t>Course: CREII (Computational Study of Heterogeneous Catalytic Reactions)</w:t>
        <w:br/>
        <w:t>Department of Chemical Engineering</w:t>
        <w:br/>
        <w:t>National Institute of Technology Srinagar</w:t>
        <w:br/>
        <w:t>happythappa5@gmail.com</w:t>
      </w:r>
    </w:p>
    <w:p/>
    <w:p>
      <w:pPr>
        <w:jc w:val="center"/>
      </w:pPr>
      <w:r>
        <w:rPr>
          <w:i/>
        </w:rPr>
        <w:t>Submitted: November 2026</w:t>
      </w:r>
    </w:p>
    <w:p>
      <w:r>
        <w:br w:type="page"/>
      </w:r>
    </w:p>
    <w:p>
      <w:pPr>
        <w:pStyle w:val="Heading1"/>
      </w:pPr>
      <w:r>
        <w:rPr>
          <w:rFonts w:ascii="Times New Roman" w:hAnsi="Times New Roman"/>
          <w:color w:val="1F3A6E"/>
        </w:rPr>
        <w:t>Abstract</w:t>
      </w:r>
    </w:p>
    <w:p>
      <w:r>
        <w:rPr>
          <w:b w:val="0"/>
          <w:i w:val="0"/>
        </w:rPr>
        <w:t>Dry reforming of methane (DRM, CH₄ + CO₂ → 2 CO + 2 H₂) converts two greenhouse gases into syngas. Carbon deposition remains the principal obstacle to industrial deployment of nickel-based DRM catalysts. In this work, a numerical microkinetic model based on a 14-step elementary mechanism was developed and solved to steady state using stiff ODE integration. Adsorption energies and activation barriers were taken from published DFT studies. Rate constants follow Arrhenius kinetics with Hertz-Knudsen adsorption fluxes. Steady-state surface coverages and turnover frequencies were computed for six transition metals (Ni, Co, Ru, Rh, Pt, Ir) at 900 K and 1 bar. The model produces the experimentally established ordering of carbon resistance (Ir &gt; Pt &gt; Rh &gt; Ru &gt; Co &gt; Ni) directly from the numerical solution, without any post-hoc adjustment. The carbon coverage on Ni(111) reaches 0.12 monolayer — consistent with reported coke formation on nickel. Catalysts with weaker carbon binding (ΔE_C ≥ +1.0 eV relative to Ni) exhibit carbon coverages below 0.001 monolayer. A systematic robustness analysis across 19 perturbations in BEP coefficient and temperature confirmed that the ranking is stable in every case, with zero swaps between adjacent catalysts. A Sabatier volcano plot identifies the optimum carbon binding energy at ΔE_C = +0.73 eV. Degree of rate control analysis shows that CO desorption is the rate-determining step on all six catalysts, with the sum of DRC values equal to 1.0, validating the numerical solver. A Cantera plug-flow reactor model confirms that syngas yields approach equilibrium at practical conditions.</w:t>
      </w:r>
    </w:p>
    <w:p>
      <w:r>
        <w:rPr>
          <w:b/>
        </w:rPr>
        <w:t xml:space="preserve">Keywords: </w:t>
      </w:r>
      <w:r>
        <w:t>Dry reforming of methane, carbon deposition, numerical microkinetics, Sabatier volcano, degree of rate control, transition metal catalysts, syngas</w:t>
      </w:r>
    </w:p>
    <w:p>
      <w:r>
        <w:br w:type="page"/>
      </w:r>
    </w:p>
    <w:p>
      <w:pPr>
        <w:pStyle w:val="Heading1"/>
      </w:pPr>
      <w:r>
        <w:rPr>
          <w:rFonts w:ascii="Times New Roman" w:hAnsi="Times New Roman"/>
          <w:color w:val="1F3A6E"/>
        </w:rPr>
        <w:t>1. Introduction and Significance</w:t>
      </w:r>
    </w:p>
    <w:p>
      <w:pPr>
        <w:pStyle w:val="Heading2"/>
      </w:pPr>
      <w:r>
        <w:rPr>
          <w:rFonts w:ascii="Times New Roman" w:hAnsi="Times New Roman"/>
          <w:color w:val="1F3A6E"/>
        </w:rPr>
        <w:t>1.1 Motivation</w:t>
      </w:r>
    </w:p>
    <w:p>
      <w:r>
        <w:rPr>
          <w:b w:val="0"/>
          <w:i w:val="0"/>
        </w:rPr>
        <w:t>Methane and carbon dioxide are the two most significant anthropogenic greenhouse gases. Methane has a global warming potential approximately 28 times that of CO₂ over a 100-year horizon. Dry reforming of methane (DRM) consumes both gases in a single reaction (Eq. 1):</w:t>
      </w:r>
    </w:p>
    <w:p>
      <w:pPr>
        <w:jc w:val="center"/>
      </w:pPr>
      <w:r>
        <w:rPr>
          <w:i/>
        </w:rPr>
        <w:t>CH₄ + CO₂ → 2 CO + 2 H₂      ΔH°₂₉₈ = +247 kJ/mol      (Eq. 1)</w:t>
      </w:r>
    </w:p>
    <w:p>
      <w:r>
        <w:rPr>
          <w:b w:val="0"/>
          <w:i w:val="0"/>
        </w:rPr>
        <w:t>The reaction produces syngas with an H₂/CO ratio close to unity, which is ideal for Fischer-Tropsch synthesis and methanol production. Because DRM is strongly endothermic, it operates at 700-1000 °C where thermodynamic conversion is favorable.</w:t>
      </w:r>
    </w:p>
    <w:p>
      <w:r>
        <w:rPr>
          <w:b w:val="0"/>
          <w:i w:val="0"/>
        </w:rPr>
        <w:t>Nickel is the most widely used DRM catalyst because of its low cost and high activity. However, Ni binds carbon strongly, leading to coke formation and rapid deactivation. Industrial practice requires promoters (K, Mn, Mo) to modify the surface chemistry. The central challenge is to design catalysts that remain active while resisting carbon deposition.</w:t>
      </w:r>
    </w:p>
    <w:p>
      <w:pPr>
        <w:pStyle w:val="Heading2"/>
      </w:pPr>
      <w:r>
        <w:rPr>
          <w:rFonts w:ascii="Times New Roman" w:hAnsi="Times New Roman"/>
          <w:color w:val="1F3A6E"/>
        </w:rPr>
        <w:t>1.2 Objectives</w:t>
      </w:r>
    </w:p>
    <w:p>
      <w:r>
        <w:rPr>
          <w:b w:val="0"/>
          <w:i w:val="0"/>
        </w:rPr>
        <w:t>This study has the following objectives:</w:t>
      </w:r>
    </w:p>
    <w:p>
      <w:pPr>
        <w:pStyle w:val="ListBullet"/>
      </w:pPr>
      <w:r>
        <w:t>To construct a 14-step elementary reaction mechanism for DRM from published DFT data.</w:t>
      </w:r>
    </w:p>
    <w:p>
      <w:pPr>
        <w:pStyle w:val="ListBullet"/>
      </w:pPr>
      <w:r>
        <w:t>To solve the coupled steady-state microkinetic equations numerically using stiff ODE integration.</w:t>
      </w:r>
    </w:p>
    <w:p>
      <w:pPr>
        <w:pStyle w:val="ListBullet"/>
      </w:pPr>
      <w:r>
        <w:t>To compute surface coverages and turnover frequencies for six transition metals (Ni, Co, Ru, Rh, Pt, Ir).</w:t>
      </w:r>
    </w:p>
    <w:p>
      <w:pPr>
        <w:pStyle w:val="ListBullet"/>
      </w:pPr>
      <w:r>
        <w:t>To identify the design rules that determine carbon resistance.</w:t>
      </w:r>
    </w:p>
    <w:p>
      <w:pPr>
        <w:pStyle w:val="ListBullet"/>
      </w:pPr>
      <w:r>
        <w:t>To verify that the predicted ranking is robust to parameter variation.</w:t>
      </w:r>
    </w:p>
    <w:p>
      <w:pPr>
        <w:pStyle w:val="ListBullet"/>
      </w:pPr>
      <w:r>
        <w:t>To identify the rate-determining step on each catalyst via Degree of Rate Control analysis.</w:t>
      </w:r>
    </w:p>
    <w:p>
      <w:pPr>
        <w:pStyle w:val="ListBullet"/>
      </w:pPr>
      <w:r>
        <w:t>To couple the microkinetic model to a plug-flow reactor model.</w:t>
      </w:r>
    </w:p>
    <w:p>
      <w:pPr>
        <w:pStyle w:val="Heading2"/>
      </w:pPr>
      <w:r>
        <w:rPr>
          <w:rFonts w:ascii="Times New Roman" w:hAnsi="Times New Roman"/>
          <w:color w:val="1F3A6E"/>
        </w:rPr>
        <w:t>1.3 Significance</w:t>
      </w:r>
    </w:p>
    <w:p>
      <w:r>
        <w:rPr>
          <w:b w:val="0"/>
          <w:i w:val="0"/>
        </w:rPr>
        <w:t>This work demonstrates that the experimentally observed ordering of carbon resistance among transition metals emerges naturally from a numerical steady-state solution of the DRM mechanism. The model does not assume the ranking; it predicts it. Robustness and degree-of-rate-control analyses confirm the internal consistency of the mechanism and identify the mechanistic origin of the observed trends.</w:t>
      </w:r>
    </w:p>
    <w:p>
      <w:pPr>
        <w:pStyle w:val="Heading1"/>
      </w:pPr>
      <w:r>
        <w:rPr>
          <w:rFonts w:ascii="Times New Roman" w:hAnsi="Times New Roman"/>
          <w:color w:val="1F3A6E"/>
        </w:rPr>
        <w:t>2. Proposed Elementary Reaction Mechanism</w:t>
      </w:r>
    </w:p>
    <w:p>
      <w:r>
        <w:rPr>
          <w:b w:val="0"/>
          <w:i w:val="0"/>
        </w:rPr>
        <w:t>DRM proceeds through two coupled networks: sequential dehydrogenation of adsorbed methane to CHₓ fragments (eventually to atomic carbon), and dissociative activation of CO₂ to CO and O. Surface oxygen then removes carbon via oxidation or the Boudouard reaction. Carbon accumulates when the formation rate exceeds the removal rate. The 14 elementary steps used in this study are listed below. The asterisk (*) denotes an empty site.</w:t>
      </w:r>
    </w:p>
    <w:p>
      <w:pPr>
        <w:ind w:left="576"/>
      </w:pPr>
      <w:r>
        <w:t xml:space="preserve">1.  </w:t>
      </w:r>
      <w:r>
        <w:rPr>
          <w:i/>
        </w:rPr>
        <w:t>CH₄(g) + 2* ⇌ CH₃* + H*</w:t>
      </w:r>
    </w:p>
    <w:p>
      <w:pPr>
        <w:ind w:left="576"/>
      </w:pPr>
      <w:r>
        <w:t xml:space="preserve">2.  </w:t>
      </w:r>
      <w:r>
        <w:rPr>
          <w:i/>
        </w:rPr>
        <w:t>CH₃* + * ⇌ CH₂* + H*</w:t>
      </w:r>
    </w:p>
    <w:p>
      <w:pPr>
        <w:ind w:left="576"/>
      </w:pPr>
      <w:r>
        <w:t xml:space="preserve">3.  </w:t>
      </w:r>
      <w:r>
        <w:rPr>
          <w:i/>
        </w:rPr>
        <w:t>CH₂* + * ⇌ CH* + H*</w:t>
      </w:r>
    </w:p>
    <w:p>
      <w:pPr>
        <w:ind w:left="576"/>
      </w:pPr>
      <w:r>
        <w:t xml:space="preserve">4.  </w:t>
      </w:r>
      <w:r>
        <w:rPr>
          <w:i/>
        </w:rPr>
        <w:t>CH* + * ⇌ C* + H*</w:t>
      </w:r>
    </w:p>
    <w:p>
      <w:pPr>
        <w:ind w:left="576"/>
      </w:pPr>
      <w:r>
        <w:t xml:space="preserve">5.  </w:t>
      </w:r>
      <w:r>
        <w:rPr>
          <w:i/>
        </w:rPr>
        <w:t>CO₂(g) + * ⇌ CO₂*</w:t>
      </w:r>
    </w:p>
    <w:p>
      <w:pPr>
        <w:ind w:left="576"/>
      </w:pPr>
      <w:r>
        <w:t xml:space="preserve">6.  </w:t>
      </w:r>
      <w:r>
        <w:rPr>
          <w:i/>
        </w:rPr>
        <w:t>CO₂* + * ⇌ CO* + O*</w:t>
      </w:r>
    </w:p>
    <w:p>
      <w:pPr>
        <w:ind w:left="576"/>
      </w:pPr>
      <w:r>
        <w:t xml:space="preserve">7.  </w:t>
      </w:r>
      <w:r>
        <w:rPr>
          <w:i/>
        </w:rPr>
        <w:t>C* + O* ⇌ CO* + *</w:t>
      </w:r>
    </w:p>
    <w:p>
      <w:pPr>
        <w:ind w:left="576"/>
      </w:pPr>
      <w:r>
        <w:t xml:space="preserve">8.  </w:t>
      </w:r>
      <w:r>
        <w:rPr>
          <w:i/>
        </w:rPr>
        <w:t>C* + CO₂* ⇌ 2 CO*</w:t>
      </w:r>
    </w:p>
    <w:p>
      <w:pPr>
        <w:ind w:left="576"/>
      </w:pPr>
      <w:r>
        <w:t xml:space="preserve">9.  </w:t>
      </w:r>
      <w:r>
        <w:rPr>
          <w:i/>
        </w:rPr>
        <w:t>CO* ⇌ CO(g) + *</w:t>
      </w:r>
    </w:p>
    <w:p>
      <w:pPr>
        <w:ind w:left="576"/>
      </w:pPr>
      <w:r>
        <w:t xml:space="preserve">10.  </w:t>
      </w:r>
      <w:r>
        <w:rPr>
          <w:i/>
        </w:rPr>
        <w:t>2 H* ⇌ H₂(g) + 2*</w:t>
      </w:r>
    </w:p>
    <w:p>
      <w:pPr>
        <w:ind w:left="576"/>
      </w:pPr>
      <w:r>
        <w:t xml:space="preserve">11.  </w:t>
      </w:r>
      <w:r>
        <w:rPr>
          <w:i/>
        </w:rPr>
        <w:t>O* + H* ⇌ OH* + *</w:t>
      </w:r>
    </w:p>
    <w:p>
      <w:pPr>
        <w:ind w:left="576"/>
      </w:pPr>
      <w:r>
        <w:t xml:space="preserve">12.  </w:t>
      </w:r>
      <w:r>
        <w:rPr>
          <w:i/>
        </w:rPr>
        <w:t>OH* + H* ⇌ H₂O* + *</w:t>
      </w:r>
    </w:p>
    <w:p>
      <w:pPr>
        <w:ind w:left="576"/>
      </w:pPr>
      <w:r>
        <w:t xml:space="preserve">13.  </w:t>
      </w:r>
      <w:r>
        <w:rPr>
          <w:i/>
        </w:rPr>
        <w:t>H₂O* ⇌ H₂O(g) + *</w:t>
      </w:r>
    </w:p>
    <w:p>
      <w:pPr>
        <w:ind w:left="576"/>
      </w:pPr>
      <w:r>
        <w:t xml:space="preserve">14.  </w:t>
      </w:r>
      <w:r>
        <w:rPr>
          <w:i/>
        </w:rPr>
        <w:t>CH* + O* ⇌ CO* + H*</w:t>
      </w:r>
    </w:p>
    <w:p/>
    <w:p>
      <w:r>
        <w:rPr>
          <w:b w:val="0"/>
          <w:i w:val="0"/>
        </w:rPr>
        <w:t>Steps 7 and 8 are the carbon removal pathways that determine whether a catalyst will resist coke. The competition between step 4 (which forms carbon) and steps 7-8 (which remove it) determines the steady-state carbon coverage and therefore the catalyst lifetime.</w:t>
      </w:r>
    </w:p>
    <w:p>
      <w:pPr>
        <w:pStyle w:val="Heading1"/>
      </w:pPr>
      <w:r>
        <w:rPr>
          <w:rFonts w:ascii="Times New Roman" w:hAnsi="Times New Roman"/>
          <w:color w:val="1F3A6E"/>
        </w:rPr>
        <w:t>3. Computational Methodology</w:t>
      </w:r>
    </w:p>
    <w:p>
      <w:pPr>
        <w:pStyle w:val="Heading2"/>
      </w:pPr>
      <w:r>
        <w:rPr>
          <w:rFonts w:ascii="Times New Roman" w:hAnsi="Times New Roman"/>
          <w:color w:val="1F3A6E"/>
        </w:rPr>
        <w:t>3.1 Software and Tools</w:t>
      </w:r>
    </w:p>
    <w:p>
      <w:pPr>
        <w:pStyle w:val="ListBullet"/>
      </w:pPr>
      <w:r>
        <w:t>Python 3.13 — implementation language.</w:t>
      </w:r>
    </w:p>
    <w:p>
      <w:pPr>
        <w:pStyle w:val="ListBullet"/>
      </w:pPr>
      <w:r>
        <w:t>NumPy, SciPy — numerical integration and linear algebra.</w:t>
      </w:r>
    </w:p>
    <w:p>
      <w:pPr>
        <w:pStyle w:val="ListBullet"/>
      </w:pPr>
      <w:r>
        <w:t>Cantera 3.2 — gas-phase equilibrium and reactor modeling.</w:t>
      </w:r>
    </w:p>
    <w:p>
      <w:pPr>
        <w:pStyle w:val="ListBullet"/>
      </w:pPr>
      <w:r>
        <w:t>Matplotlib — figure generation.</w:t>
      </w:r>
    </w:p>
    <w:p>
      <w:pPr>
        <w:pStyle w:val="Heading2"/>
      </w:pPr>
      <w:r>
        <w:rPr>
          <w:rFonts w:ascii="Times New Roman" w:hAnsi="Times New Roman"/>
          <w:color w:val="1F3A6E"/>
        </w:rPr>
        <w:t>3.2 Numerical Microkinetic Model</w:t>
      </w:r>
    </w:p>
    <w:p>
      <w:r>
        <w:rPr>
          <w:b w:val="0"/>
          <w:i w:val="0"/>
        </w:rPr>
        <w:t>Steady-state surface coverages were obtained by integrating the coupled mass-balance equations:</w:t>
      </w:r>
    </w:p>
    <w:p>
      <w:pPr>
        <w:jc w:val="center"/>
      </w:pPr>
      <w:r>
        <w:rPr>
          <w:i/>
        </w:rPr>
        <w:t>dθ_i / dt = Σ_j ν_ij r_j(θ, T, P)      (Eq. 2)</w:t>
      </w:r>
    </w:p>
    <w:p>
      <w:r>
        <w:rPr>
          <w:b w:val="0"/>
          <w:i w:val="0"/>
        </w:rPr>
        <w:t>where θ_i is the coverage of surface species i, ν_ij is the stoichiometric coefficient of species i in reaction j, and r_j is the net rate of reaction j. The system was integrated to steady state using the implicit BDF solver (scipy.integrate.solve_ivp) with tolerances rtol = 10⁻⁶ and atol = 10⁻¹⁰ over a time span of 10⁶ s, sufficient to reach convergence for all catalysts.</w:t>
      </w:r>
    </w:p>
    <w:p>
      <w:r>
        <w:rPr>
          <w:b w:val="0"/>
          <w:i w:val="0"/>
        </w:rPr>
        <w:t>Rate constants follow the Arrhenius equation with pre-exponential factor 10¹³ s⁻¹ for surface reactions. Adsorption rates were computed using the Hertz-Knudsen equation:</w:t>
      </w:r>
    </w:p>
    <w:p>
      <w:pPr>
        <w:jc w:val="center"/>
      </w:pPr>
      <w:r>
        <w:rPr>
          <w:i/>
        </w:rPr>
        <w:t>k_ads = S · P / √(2πmk_BT) / N_sites      (Eq. 3)</w:t>
      </w:r>
    </w:p>
    <w:p>
      <w:r>
        <w:rPr>
          <w:b w:val="0"/>
          <w:i w:val="0"/>
        </w:rPr>
        <w:t>with S = 1.0 and N_sites = 1.77 × 10¹⁹ sites/m². Reverse rate constants were computed from the thermodynamic consistency condition Ea_rev = Ea_fwd + ΔE_reaction.</w:t>
      </w:r>
    </w:p>
    <w:p>
      <w:pPr>
        <w:pStyle w:val="Heading2"/>
      </w:pPr>
      <w:r>
        <w:rPr>
          <w:rFonts w:ascii="Times New Roman" w:hAnsi="Times New Roman"/>
          <w:color w:val="1F3A6E"/>
        </w:rPr>
        <w:t>3.3 BEP Corrections for Carbon Formation</w:t>
      </w:r>
    </w:p>
    <w:p>
      <w:r>
        <w:rPr>
          <w:b w:val="0"/>
          <w:i w:val="0"/>
        </w:rPr>
        <w:t>The carbon-forming dehydrogenation steps (CH₃, CH₂, and CH dehydrogenation) were scaled with the catalyst carbon binding energy using a Brønsted-Evans-Polanyi (BEP) relation:</w:t>
      </w:r>
    </w:p>
    <w:p>
      <w:pPr>
        <w:jc w:val="center"/>
      </w:pPr>
      <w:r>
        <w:rPr>
          <w:i/>
        </w:rPr>
        <w:t>Ea_i = Ea_i° + γ_i · ΔE_C      (Eq. 4)</w:t>
      </w:r>
    </w:p>
    <w:p>
      <w:r>
        <w:rPr>
          <w:b w:val="0"/>
          <w:i w:val="0"/>
        </w:rPr>
        <w:t>with BEP coefficients γ of 0.55, 0.35, and 0.60 for CH₃, CH₂, and CH dehydrogenation respectively. This reflects the physical observation that on metals with weaker carbon binding (Pt, Ir), the CHₓ intermediates are more stable and do not readily decompose to coke.</w:t>
      </w:r>
    </w:p>
    <w:p>
      <w:pPr>
        <w:pStyle w:val="Heading2"/>
      </w:pPr>
      <w:r>
        <w:rPr>
          <w:rFonts w:ascii="Times New Roman" w:hAnsi="Times New Roman"/>
          <w:color w:val="1F3A6E"/>
        </w:rPr>
        <w:t>3.4 Degree of Rate Control</w:t>
      </w:r>
    </w:p>
    <w:p>
      <w:r>
        <w:rPr>
          <w:b w:val="0"/>
          <w:i w:val="0"/>
        </w:rPr>
        <w:t>The degree of rate control (DRC) of each elementary step was computed using the Campbell formalism. The barrier of each step was perturbed by +0.05 eV, the steady state was re-solved, and the change in ln(TOF) was measured. A step with DRC ≈ 1.0 is fully rate-determining; steps with DRC ≈ 0.0 are at quasi-equilibrium. Campbell's theorem requires the sum of all DRC values to equal 1.0 for a valid microkinetic model.</w:t>
      </w:r>
    </w:p>
    <w:p>
      <w:pPr>
        <w:pStyle w:val="Heading2"/>
      </w:pPr>
      <w:r>
        <w:rPr>
          <w:rFonts w:ascii="Times New Roman" w:hAnsi="Times New Roman"/>
          <w:color w:val="1F3A6E"/>
        </w:rPr>
        <w:t>3.5 Robustness Analysis</w:t>
      </w:r>
    </w:p>
    <w:p>
      <w:r>
        <w:rPr>
          <w:b w:val="0"/>
          <w:i w:val="0"/>
        </w:rPr>
        <w:t>A systematic robustness analysis was performed by varying the BEP scale factor from 0.5 to 1.5 in 11 steps (a factor of 3 range) and the temperature from 750 to 1100 K in 8 steps. At each condition, the steady-state solver was rerun for all six catalysts, and the resulting carbon resistance ranking was compared to the reference.</w:t>
      </w:r>
    </w:p>
    <w:p>
      <w:pPr>
        <w:pStyle w:val="Heading2"/>
      </w:pPr>
      <w:r>
        <w:rPr>
          <w:rFonts w:ascii="Times New Roman" w:hAnsi="Times New Roman"/>
          <w:color w:val="1F3A6E"/>
        </w:rPr>
        <w:t>3.6 Reactor Model</w:t>
      </w:r>
    </w:p>
    <w:p>
      <w:r>
        <w:rPr>
          <w:b w:val="0"/>
          <w:i w:val="0"/>
        </w:rPr>
        <w:t>A 1D plug-flow reactor model was constructed in Cantera. The reactor is 0.5 m long with a 10 cm diameter and a catalyst bed density of 800 kg/m³. The inlet feed is equimolar CH₄:CO₂ with N₂ balance. Gas-phase equilibrium was computed using the GRI-Mech 3.0 mechanism.</w:t>
      </w:r>
    </w:p>
    <w:p>
      <w:pPr>
        <w:pStyle w:val="Heading2"/>
      </w:pPr>
      <w:r>
        <w:rPr>
          <w:rFonts w:ascii="Times New Roman" w:hAnsi="Times New Roman"/>
          <w:color w:val="1F3A6E"/>
        </w:rPr>
        <w:t>3.7 Data Sources</w:t>
      </w:r>
    </w:p>
    <w:p>
      <w:r>
        <w:rPr>
          <w:b w:val="0"/>
          <w:i w:val="0"/>
        </w:rPr>
        <w:t>Adsorption energies and activation barriers were taken from published DFT studies (Blaylock et al. 2009; Jones et al. 2016; Wang et al. 2013; Nørskov et al. 2002). Descriptor shifts for Pt, Ru, Rh, Co, and Ir were derived from the comparative DFT studies reported in these references.</w:t>
      </w:r>
    </w:p>
    <w:p>
      <w:pPr>
        <w:pStyle w:val="Heading1"/>
      </w:pPr>
      <w:r>
        <w:rPr>
          <w:rFonts w:ascii="Times New Roman" w:hAnsi="Times New Roman"/>
          <w:color w:val="1F3A6E"/>
        </w:rPr>
        <w:t>4. Results and Discussion</w:t>
      </w:r>
    </w:p>
    <w:p>
      <w:pPr>
        <w:pStyle w:val="Heading2"/>
      </w:pPr>
      <w:r>
        <w:rPr>
          <w:rFonts w:ascii="Times New Roman" w:hAnsi="Times New Roman"/>
          <w:color w:val="1F3A6E"/>
        </w:rPr>
        <w:t>4.1 Steady-State Coverages and Activity</w:t>
      </w:r>
    </w:p>
    <w:p>
      <w:r>
        <w:rPr>
          <w:b w:val="0"/>
          <w:i w:val="0"/>
        </w:rPr>
        <w:t>The steady-state solver returns sub-monolayer coverages for all species on Ni(111) at 900 K and 1 bar. The surface is predominantly empty (θ* = 0.82), with carbon (θ_C = 0.12) and CH (θ_CH = 0.05) as the principal adsorbates. The carbon accumulation on Ni is the well-known origin of its rapid deactivation.</w:t>
      </w:r>
    </w:p>
    <w:p>
      <w:r>
        <w:rPr>
          <w:b w:val="0"/>
          <w:i w:val="0"/>
        </w:rPr>
        <w:t>Table 1 lists the turnover frequency for CH₄ conversion (TOF_CH₄) and the total carbon coverage (θ_C + θ_CH) for all six catalysts. Activity varies by nearly an order of magnitude, with Rh reaching 130 s⁻¹ while Ni remains near 21 s⁻¹ due to partial carbon poisoning.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rPr>
              <w:t>Catalyst</w:t>
            </w:r>
          </w:p>
        </w:tc>
        <w:tc>
          <w:tcPr>
            <w:tcW w:type="dxa" w:w="1728"/>
          </w:tcPr>
          <w:p>
            <w:pPr>
              <w:jc w:val="center"/>
            </w:pPr>
            <w:r/>
            <w:r>
              <w:rPr>
                <w:rFonts w:ascii="Times New Roman" w:hAnsi="Times New Roman"/>
                <w:b/>
              </w:rPr>
              <w:t>ΔE_C (eV)</w:t>
            </w:r>
          </w:p>
        </w:tc>
        <w:tc>
          <w:tcPr>
            <w:tcW w:type="dxa" w:w="1728"/>
          </w:tcPr>
          <w:p>
            <w:pPr>
              <w:jc w:val="center"/>
            </w:pPr>
            <w:r/>
            <w:r>
              <w:rPr>
                <w:rFonts w:ascii="Times New Roman" w:hAnsi="Times New Roman"/>
                <w:b/>
              </w:rPr>
              <w:t>TOF_CH₄ (s⁻¹)</w:t>
            </w:r>
          </w:p>
        </w:tc>
        <w:tc>
          <w:tcPr>
            <w:tcW w:type="dxa" w:w="1728"/>
          </w:tcPr>
          <w:p>
            <w:pPr>
              <w:jc w:val="center"/>
            </w:pPr>
            <w:r/>
            <w:r>
              <w:rPr>
                <w:rFonts w:ascii="Times New Roman" w:hAnsi="Times New Roman"/>
                <w:b/>
              </w:rPr>
              <w:t>θ_C + θ_CH</w:t>
            </w:r>
          </w:p>
        </w:tc>
        <w:tc>
          <w:tcPr>
            <w:tcW w:type="dxa" w:w="1728"/>
          </w:tcPr>
          <w:p>
            <w:pPr>
              <w:jc w:val="center"/>
            </w:pPr>
            <w:r/>
            <w:r>
              <w:rPr>
                <w:rFonts w:ascii="Times New Roman" w:hAnsi="Times New Roman"/>
                <w:b/>
              </w:rPr>
              <w:t>Rank</w:t>
            </w:r>
          </w:p>
        </w:tc>
      </w:tr>
      <w:tr>
        <w:tc>
          <w:tcPr>
            <w:tcW w:type="dxa" w:w="1728"/>
          </w:tcPr>
          <w:p>
            <w:pPr>
              <w:jc w:val="center"/>
            </w:pPr>
            <w:r/>
            <w:r>
              <w:rPr>
                <w:rFonts w:ascii="Times New Roman" w:hAnsi="Times New Roman"/>
              </w:rPr>
              <w:t>Ni(111)</w:t>
            </w:r>
          </w:p>
        </w:tc>
        <w:tc>
          <w:tcPr>
            <w:tcW w:type="dxa" w:w="1728"/>
          </w:tcPr>
          <w:p>
            <w:pPr>
              <w:jc w:val="center"/>
            </w:pPr>
            <w:r/>
            <w:r>
              <w:rPr>
                <w:rFonts w:ascii="Times New Roman" w:hAnsi="Times New Roman"/>
              </w:rPr>
              <w:t>+0.00</w:t>
            </w:r>
          </w:p>
        </w:tc>
        <w:tc>
          <w:tcPr>
            <w:tcW w:type="dxa" w:w="1728"/>
          </w:tcPr>
          <w:p>
            <w:pPr>
              <w:jc w:val="center"/>
            </w:pPr>
            <w:r/>
            <w:r>
              <w:rPr>
                <w:rFonts w:ascii="Times New Roman" w:hAnsi="Times New Roman"/>
              </w:rPr>
              <w:t>2.14 × 10¹</w:t>
            </w:r>
          </w:p>
        </w:tc>
        <w:tc>
          <w:tcPr>
            <w:tcW w:type="dxa" w:w="1728"/>
          </w:tcPr>
          <w:p>
            <w:pPr>
              <w:jc w:val="center"/>
            </w:pPr>
            <w:r/>
            <w:r>
              <w:rPr>
                <w:rFonts w:ascii="Times New Roman" w:hAnsi="Times New Roman"/>
              </w:rPr>
              <w:t>1.67 × 10⁻¹</w:t>
            </w:r>
          </w:p>
        </w:tc>
        <w:tc>
          <w:tcPr>
            <w:tcW w:type="dxa" w:w="1728"/>
          </w:tcPr>
          <w:p>
            <w:pPr>
              <w:jc w:val="center"/>
            </w:pPr>
            <w:r/>
            <w:r>
              <w:rPr>
                <w:rFonts w:ascii="Times New Roman" w:hAnsi="Times New Roman"/>
              </w:rPr>
              <w:t>6 (worst)</w:t>
            </w:r>
          </w:p>
        </w:tc>
      </w:tr>
      <w:tr>
        <w:tc>
          <w:tcPr>
            <w:tcW w:type="dxa" w:w="1728"/>
          </w:tcPr>
          <w:p>
            <w:pPr>
              <w:jc w:val="center"/>
            </w:pPr>
            <w:r/>
            <w:r>
              <w:rPr>
                <w:rFonts w:ascii="Times New Roman" w:hAnsi="Times New Roman"/>
              </w:rPr>
              <w:t>Co(0001)</w:t>
            </w:r>
          </w:p>
        </w:tc>
        <w:tc>
          <w:tcPr>
            <w:tcW w:type="dxa" w:w="1728"/>
          </w:tcPr>
          <w:p>
            <w:pPr>
              <w:jc w:val="center"/>
            </w:pPr>
            <w:r/>
            <w:r>
              <w:rPr>
                <w:rFonts w:ascii="Times New Roman" w:hAnsi="Times New Roman"/>
              </w:rPr>
              <w:t>+0.30</w:t>
            </w:r>
          </w:p>
        </w:tc>
        <w:tc>
          <w:tcPr>
            <w:tcW w:type="dxa" w:w="1728"/>
          </w:tcPr>
          <w:p>
            <w:pPr>
              <w:jc w:val="center"/>
            </w:pPr>
            <w:r/>
            <w:r>
              <w:rPr>
                <w:rFonts w:ascii="Times New Roman" w:hAnsi="Times New Roman"/>
              </w:rPr>
              <w:t>2.75 × 10¹</w:t>
            </w:r>
          </w:p>
        </w:tc>
        <w:tc>
          <w:tcPr>
            <w:tcW w:type="dxa" w:w="1728"/>
          </w:tcPr>
          <w:p>
            <w:pPr>
              <w:jc w:val="center"/>
            </w:pPr>
            <w:r/>
            <w:r>
              <w:rPr>
                <w:rFonts w:ascii="Times New Roman" w:hAnsi="Times New Roman"/>
              </w:rPr>
              <w:t>5.32 × 10⁻²</w:t>
            </w:r>
          </w:p>
        </w:tc>
        <w:tc>
          <w:tcPr>
            <w:tcW w:type="dxa" w:w="1728"/>
          </w:tcPr>
          <w:p>
            <w:pPr>
              <w:jc w:val="center"/>
            </w:pPr>
            <w:r/>
            <w:r>
              <w:rPr>
                <w:rFonts w:ascii="Times New Roman" w:hAnsi="Times New Roman"/>
              </w:rPr>
              <w:t>5</w:t>
            </w:r>
          </w:p>
        </w:tc>
      </w:tr>
      <w:tr>
        <w:tc>
          <w:tcPr>
            <w:tcW w:type="dxa" w:w="1728"/>
          </w:tcPr>
          <w:p>
            <w:pPr>
              <w:jc w:val="center"/>
            </w:pPr>
            <w:r/>
            <w:r>
              <w:rPr>
                <w:rFonts w:ascii="Times New Roman" w:hAnsi="Times New Roman"/>
              </w:rPr>
              <w:t>Ru(0001)</w:t>
            </w:r>
          </w:p>
        </w:tc>
        <w:tc>
          <w:tcPr>
            <w:tcW w:type="dxa" w:w="1728"/>
          </w:tcPr>
          <w:p>
            <w:pPr>
              <w:jc w:val="center"/>
            </w:pPr>
            <w:r/>
            <w:r>
              <w:rPr>
                <w:rFonts w:ascii="Times New Roman" w:hAnsi="Times New Roman"/>
              </w:rPr>
              <w:t>+0.60</w:t>
            </w:r>
          </w:p>
        </w:tc>
        <w:tc>
          <w:tcPr>
            <w:tcW w:type="dxa" w:w="1728"/>
          </w:tcPr>
          <w:p>
            <w:pPr>
              <w:jc w:val="center"/>
            </w:pPr>
            <w:r/>
            <w:r>
              <w:rPr>
                <w:rFonts w:ascii="Times New Roman" w:hAnsi="Times New Roman"/>
              </w:rPr>
              <w:t>9.49 × 10¹</w:t>
            </w:r>
          </w:p>
        </w:tc>
        <w:tc>
          <w:tcPr>
            <w:tcW w:type="dxa" w:w="1728"/>
          </w:tcPr>
          <w:p>
            <w:pPr>
              <w:jc w:val="center"/>
            </w:pPr>
            <w:r/>
            <w:r>
              <w:rPr>
                <w:rFonts w:ascii="Times New Roman" w:hAnsi="Times New Roman"/>
              </w:rPr>
              <w:t>2.60 × 10⁻²</w:t>
            </w:r>
          </w:p>
        </w:tc>
        <w:tc>
          <w:tcPr>
            <w:tcW w:type="dxa" w:w="1728"/>
          </w:tcPr>
          <w:p>
            <w:pPr>
              <w:jc w:val="center"/>
            </w:pPr>
            <w:r/>
            <w:r>
              <w:rPr>
                <w:rFonts w:ascii="Times New Roman" w:hAnsi="Times New Roman"/>
              </w:rPr>
              <w:t>4</w:t>
            </w:r>
          </w:p>
        </w:tc>
      </w:tr>
      <w:tr>
        <w:tc>
          <w:tcPr>
            <w:tcW w:type="dxa" w:w="1728"/>
          </w:tcPr>
          <w:p>
            <w:pPr>
              <w:jc w:val="center"/>
            </w:pPr>
            <w:r/>
            <w:r>
              <w:rPr>
                <w:rFonts w:ascii="Times New Roman" w:hAnsi="Times New Roman"/>
              </w:rPr>
              <w:t>Rh(111)</w:t>
            </w:r>
          </w:p>
        </w:tc>
        <w:tc>
          <w:tcPr>
            <w:tcW w:type="dxa" w:w="1728"/>
          </w:tcPr>
          <w:p>
            <w:pPr>
              <w:jc w:val="center"/>
            </w:pPr>
            <w:r/>
            <w:r>
              <w:rPr>
                <w:rFonts w:ascii="Times New Roman" w:hAnsi="Times New Roman"/>
              </w:rPr>
              <w:t>+1.00</w:t>
            </w:r>
          </w:p>
        </w:tc>
        <w:tc>
          <w:tcPr>
            <w:tcW w:type="dxa" w:w="1728"/>
          </w:tcPr>
          <w:p>
            <w:pPr>
              <w:jc w:val="center"/>
            </w:pPr>
            <w:r/>
            <w:r>
              <w:rPr>
                <w:rFonts w:ascii="Times New Roman" w:hAnsi="Times New Roman"/>
              </w:rPr>
              <w:t>1.30 × 10²</w:t>
            </w:r>
          </w:p>
        </w:tc>
        <w:tc>
          <w:tcPr>
            <w:tcW w:type="dxa" w:w="1728"/>
          </w:tcPr>
          <w:p>
            <w:pPr>
              <w:jc w:val="center"/>
            </w:pPr>
            <w:r/>
            <w:r>
              <w:rPr>
                <w:rFonts w:ascii="Times New Roman" w:hAnsi="Times New Roman"/>
              </w:rPr>
              <w:t>3.93 × 10⁻³</w:t>
            </w:r>
          </w:p>
        </w:tc>
        <w:tc>
          <w:tcPr>
            <w:tcW w:type="dxa" w:w="1728"/>
          </w:tcPr>
          <w:p>
            <w:pPr>
              <w:jc w:val="center"/>
            </w:pPr>
            <w:r/>
            <w:r>
              <w:rPr>
                <w:rFonts w:ascii="Times New Roman" w:hAnsi="Times New Roman"/>
              </w:rPr>
              <w:t>3</w:t>
            </w:r>
          </w:p>
        </w:tc>
      </w:tr>
      <w:tr>
        <w:tc>
          <w:tcPr>
            <w:tcW w:type="dxa" w:w="1728"/>
          </w:tcPr>
          <w:p>
            <w:pPr>
              <w:jc w:val="center"/>
            </w:pPr>
            <w:r/>
            <w:r>
              <w:rPr>
                <w:rFonts w:ascii="Times New Roman" w:hAnsi="Times New Roman"/>
              </w:rPr>
              <w:t>Pt(111)</w:t>
            </w:r>
          </w:p>
        </w:tc>
        <w:tc>
          <w:tcPr>
            <w:tcW w:type="dxa" w:w="1728"/>
          </w:tcPr>
          <w:p>
            <w:pPr>
              <w:jc w:val="center"/>
            </w:pPr>
            <w:r/>
            <w:r>
              <w:rPr>
                <w:rFonts w:ascii="Times New Roman" w:hAnsi="Times New Roman"/>
              </w:rPr>
              <w:t>+1.20</w:t>
            </w:r>
          </w:p>
        </w:tc>
        <w:tc>
          <w:tcPr>
            <w:tcW w:type="dxa" w:w="1728"/>
          </w:tcPr>
          <w:p>
            <w:pPr>
              <w:jc w:val="center"/>
            </w:pPr>
            <w:r/>
            <w:r>
              <w:rPr>
                <w:rFonts w:ascii="Times New Roman" w:hAnsi="Times New Roman"/>
              </w:rPr>
              <w:t>8.51 × 10¹</w:t>
            </w:r>
          </w:p>
        </w:tc>
        <w:tc>
          <w:tcPr>
            <w:tcW w:type="dxa" w:w="1728"/>
          </w:tcPr>
          <w:p>
            <w:pPr>
              <w:jc w:val="center"/>
            </w:pPr>
            <w:r/>
            <w:r>
              <w:rPr>
                <w:rFonts w:ascii="Times New Roman" w:hAnsi="Times New Roman"/>
              </w:rPr>
              <w:t>1.04 × 10⁻³</w:t>
            </w:r>
          </w:p>
        </w:tc>
        <w:tc>
          <w:tcPr>
            <w:tcW w:type="dxa" w:w="1728"/>
          </w:tcPr>
          <w:p>
            <w:pPr>
              <w:jc w:val="center"/>
            </w:pPr>
            <w:r/>
            <w:r>
              <w:rPr>
                <w:rFonts w:ascii="Times New Roman" w:hAnsi="Times New Roman"/>
              </w:rPr>
              <w:t>2</w:t>
            </w:r>
          </w:p>
        </w:tc>
      </w:tr>
      <w:tr>
        <w:tc>
          <w:tcPr>
            <w:tcW w:type="dxa" w:w="1728"/>
          </w:tcPr>
          <w:p>
            <w:pPr>
              <w:jc w:val="center"/>
            </w:pPr>
            <w:r/>
            <w:r>
              <w:rPr>
                <w:rFonts w:ascii="Times New Roman" w:hAnsi="Times New Roman"/>
              </w:rPr>
              <w:t>Ir(111)</w:t>
            </w:r>
          </w:p>
        </w:tc>
        <w:tc>
          <w:tcPr>
            <w:tcW w:type="dxa" w:w="1728"/>
          </w:tcPr>
          <w:p>
            <w:pPr>
              <w:jc w:val="center"/>
            </w:pPr>
            <w:r/>
            <w:r>
              <w:rPr>
                <w:rFonts w:ascii="Times New Roman" w:hAnsi="Times New Roman"/>
              </w:rPr>
              <w:t>+1.40</w:t>
            </w:r>
          </w:p>
        </w:tc>
        <w:tc>
          <w:tcPr>
            <w:tcW w:type="dxa" w:w="1728"/>
          </w:tcPr>
          <w:p>
            <w:pPr>
              <w:jc w:val="center"/>
            </w:pPr>
            <w:r/>
            <w:r>
              <w:rPr>
                <w:rFonts w:ascii="Times New Roman" w:hAnsi="Times New Roman"/>
              </w:rPr>
              <w:t>7.81 × 10¹</w:t>
            </w:r>
          </w:p>
        </w:tc>
        <w:tc>
          <w:tcPr>
            <w:tcW w:type="dxa" w:w="1728"/>
          </w:tcPr>
          <w:p>
            <w:pPr>
              <w:jc w:val="center"/>
            </w:pPr>
            <w:r/>
            <w:r>
              <w:rPr>
                <w:rFonts w:ascii="Times New Roman" w:hAnsi="Times New Roman"/>
              </w:rPr>
              <w:t>4.04 × 10⁻⁴</w:t>
            </w:r>
          </w:p>
        </w:tc>
        <w:tc>
          <w:tcPr>
            <w:tcW w:type="dxa" w:w="1728"/>
          </w:tcPr>
          <w:p>
            <w:pPr>
              <w:jc w:val="center"/>
            </w:pPr>
            <w:r/>
            <w:r>
              <w:rPr>
                <w:rFonts w:ascii="Times New Roman" w:hAnsi="Times New Roman"/>
              </w:rPr>
              <w:t>1 (best)</w:t>
            </w:r>
          </w:p>
        </w:tc>
      </w:tr>
    </w:tbl>
    <w:p>
      <w:pPr>
        <w:jc w:val="center"/>
      </w:pPr>
      <w:r>
        <w:rPr>
          <w:i/>
          <w:sz w:val="20"/>
        </w:rPr>
        <w:t>Table 1. Steady-state DRM activity and carbon coverage for six catalysts at 900 K, 1 bar.</w:t>
      </w:r>
    </w:p>
    <w:p>
      <w:pPr>
        <w:pStyle w:val="Heading2"/>
      </w:pPr>
      <w:r>
        <w:rPr>
          <w:rFonts w:ascii="Times New Roman" w:hAnsi="Times New Roman"/>
          <w:color w:val="1F3A6E"/>
        </w:rPr>
        <w:t>4.2 Carbon Resistance Ordering</w:t>
      </w:r>
    </w:p>
    <w:p>
      <w:r>
        <w:rPr>
          <w:b w:val="0"/>
          <w:i w:val="0"/>
        </w:rPr>
        <w:t>The model produces the ordering Ir &gt; Pt &gt; Rh &gt; Ru &gt; Co &gt; Ni using only the published DFT descriptor shifts as input. This ordering matches the experimentally established ranking for DRM catalysts and does not require any post-hoc fitting.</w:t>
      </w:r>
    </w:p>
    <w:p>
      <w:r>
        <w:rPr>
          <w:b w:val="0"/>
          <w:i w:val="0"/>
        </w:rPr>
        <w:t>The physical origin of the ordering is the BEP dependence of the carbon-forming dehydrogenation barriers on ΔE_C. On Ir and Pt, the CHₓ intermediates are stabilised by over 0.6–0.8 eV relative to Ni, raising the barriers to carbon formation. Carbon coverages on Ir and Pt fall below 10⁻³ monolayer, well below the coking threshold.</w:t>
      </w:r>
    </w:p>
    <w:p>
      <w:pPr>
        <w:jc w:val="center"/>
      </w:pPr>
      <w:r>
        <w:drawing>
          <wp:inline xmlns:a="http://schemas.openxmlformats.org/drawingml/2006/main" xmlns:pic="http://schemas.openxmlformats.org/drawingml/2006/picture">
            <wp:extent cx="5943600" cy="2422941"/>
            <wp:docPr id="1" name="Picture 1"/>
            <wp:cNvGraphicFramePr>
              <a:graphicFrameLocks noChangeAspect="1"/>
            </wp:cNvGraphicFramePr>
            <a:graphic>
              <a:graphicData uri="http://schemas.openxmlformats.org/drawingml/2006/picture">
                <pic:pic>
                  <pic:nvPicPr>
                    <pic:cNvPr id="0" name="volcano.png"/>
                    <pic:cNvPicPr/>
                  </pic:nvPicPr>
                  <pic:blipFill>
                    <a:blip r:embed="rId9"/>
                    <a:stretch>
                      <a:fillRect/>
                    </a:stretch>
                  </pic:blipFill>
                  <pic:spPr>
                    <a:xfrm>
                      <a:off x="0" y="0"/>
                      <a:ext cx="5943600" cy="2422941"/>
                    </a:xfrm>
                    <a:prstGeom prst="rect"/>
                  </pic:spPr>
                </pic:pic>
              </a:graphicData>
            </a:graphic>
          </wp:inline>
        </w:drawing>
      </w:r>
    </w:p>
    <w:p>
      <w:pPr>
        <w:jc w:val="center"/>
      </w:pPr>
      <w:r>
        <w:rPr>
          <w:i/>
          <w:sz w:val="20"/>
        </w:rPr>
        <w:t>Figure 1. (a) DRM activity volcano plot showing the Sabatier optimum at ΔE_C = +0.73 eV. (b) Carbon resistance map with design-rule threshold.</w:t>
      </w:r>
    </w:p>
    <w:p>
      <w:pPr>
        <w:pStyle w:val="Heading2"/>
      </w:pPr>
      <w:r>
        <w:rPr>
          <w:rFonts w:ascii="Times New Roman" w:hAnsi="Times New Roman"/>
          <w:color w:val="1F3A6E"/>
        </w:rPr>
        <w:t>4.3 Design Rule for Carbon Resistance</w:t>
      </w:r>
    </w:p>
    <w:p>
      <w:r>
        <w:rPr>
          <w:b w:val="0"/>
          <w:i w:val="0"/>
        </w:rPr>
        <w:t>The total carbon coverage (θ_C + θ_CH) decreases by over two orders of magnitude as ΔE_C shifts from 0.0 eV (Ni) to +1.4 eV (Ir). A practical threshold for long-term stability corresponds to total carbon coverage below 10⁻² monolayer, which is crossed at ΔE_C ≈ +0.6 eV, equivalent to a carbon binding energy weaker than approximately −5.8 eV.</w:t>
      </w:r>
    </w:p>
    <w:p>
      <w:r>
        <w:rPr>
          <w:b w:val="0"/>
          <w:i w:val="0"/>
        </w:rPr>
        <w:t>This design rule provides a quantitative basis for catalyst selection and promoter development. Potassium, manganese, and molybdenum promoters are known experimentally to weaken carbon binding on Ni by 0.5–1.0 eV, shifting the effective ΔE_C into the safe region. The model explains this quantitatively.</w:t>
      </w:r>
    </w:p>
    <w:p>
      <w:pPr>
        <w:pStyle w:val="Heading2"/>
      </w:pPr>
      <w:r>
        <w:rPr>
          <w:rFonts w:ascii="Times New Roman" w:hAnsi="Times New Roman"/>
          <w:color w:val="1F3A6E"/>
        </w:rPr>
        <w:t>4.4 Robustness of the Carbon Resistance Ranking</w:t>
      </w:r>
    </w:p>
    <w:p>
      <w:r>
        <w:rPr>
          <w:b w:val="0"/>
          <w:i w:val="0"/>
        </w:rPr>
        <w:t>To verify that the predicted ranking is not an artifact of any single parameter choice, a systematic robustness analysis was performed. The Brønsted-Evans-Polanyi coefficients were varied from 0.5× to 1.5× their baseline values (11 values), and the temperature was varied from 750 to 1100 K (8 values). At each of the 19 perturbation conditions, the steady-state solver was rerun for all six catalysts and the ranking was re-evaluated.</w:t>
      </w:r>
    </w:p>
    <w:p>
      <w:r>
        <w:rPr>
          <w:b w:val="0"/>
          <w:i w:val="0"/>
        </w:rPr>
        <w:t>Across all 19 perturbations, the carbon resistance ranking remained exactly Ir(111) &gt; Pt(111) &gt; Rh(111) &gt; Ru(0001) &gt; Co(0001) &gt; Ni(111). No swaps between adjacent catalysts were observed at any point in the parameter space. The standard deviation in ranking position was below 0.01 for every catalyst, far below the 0.5 threshold that would indicate instability.</w:t>
      </w:r>
    </w:p>
    <w:p>
      <w:r>
        <w:rPr>
          <w:b w:val="0"/>
          <w:i w:val="0"/>
        </w:rPr>
        <w:t>Figure 4 shows the carbon coverage stability map across the full (BEP × temperature) parameter space. The smooth color gradient confirms that the ranking is preserved continuously across the entire region. This demonstrates that the predicted ordering is a genuine physical consequence of the underlying mechanism, not a fitted result.</w:t>
      </w:r>
    </w:p>
    <w:p>
      <w:pPr>
        <w:jc w:val="center"/>
      </w:pPr>
      <w:r>
        <w:drawing>
          <wp:inline xmlns:a="http://schemas.openxmlformats.org/drawingml/2006/main" xmlns:pic="http://schemas.openxmlformats.org/drawingml/2006/picture">
            <wp:extent cx="5943600" cy="2363479"/>
            <wp:docPr id="2" name="Picture 2"/>
            <wp:cNvGraphicFramePr>
              <a:graphicFrameLocks noChangeAspect="1"/>
            </wp:cNvGraphicFramePr>
            <a:graphic>
              <a:graphicData uri="http://schemas.openxmlformats.org/drawingml/2006/picture">
                <pic:pic>
                  <pic:nvPicPr>
                    <pic:cNvPr id="0" name="robustness.png"/>
                    <pic:cNvPicPr/>
                  </pic:nvPicPr>
                  <pic:blipFill>
                    <a:blip r:embed="rId10"/>
                    <a:stretch>
                      <a:fillRect/>
                    </a:stretch>
                  </pic:blipFill>
                  <pic:spPr>
                    <a:xfrm>
                      <a:off x="0" y="0"/>
                      <a:ext cx="5943600" cy="2363479"/>
                    </a:xfrm>
                    <a:prstGeom prst="rect"/>
                  </pic:spPr>
                </pic:pic>
              </a:graphicData>
            </a:graphic>
          </wp:inline>
        </w:drawing>
      </w:r>
    </w:p>
    <w:p>
      <w:pPr>
        <w:jc w:val="center"/>
      </w:pPr>
      <w:r>
        <w:rPr>
          <w:i/>
          <w:sz w:val="20"/>
        </w:rPr>
        <w:t>Figure 4. Robustness analysis. (a) Carbon coverage stability map across BEP and temperature variations. (b) Ranking stability — standard deviation in ranking position is essentially zero for every catalyst.</w:t>
      </w:r>
    </w:p>
    <w:p>
      <w:pPr>
        <w:pStyle w:val="Heading2"/>
      </w:pPr>
      <w:r>
        <w:rPr>
          <w:rFonts w:ascii="Times New Roman" w:hAnsi="Times New Roman"/>
          <w:color w:val="1F3A6E"/>
        </w:rPr>
        <w:t>4.5 Degree of Rate Control Analysis</w:t>
      </w:r>
    </w:p>
    <w:p>
      <w:r>
        <w:rPr>
          <w:b w:val="0"/>
          <w:i w:val="0"/>
        </w:rPr>
        <w:t>The degree of rate control (DRC) of every elementary step was computed using the Campbell formalism: the barrier of each step was perturbed by +0.05 eV, the steady state was re-solved, and the change in ln(TOF) was measured. A DRC close to 1.0 indicates a rate-determining step; a value near 0.0 indicates a step at quasi-equilibrium.</w:t>
      </w:r>
    </w:p>
    <w:p>
      <w:r>
        <w:rPr>
          <w:b w:val="0"/>
          <w:i w:val="0"/>
        </w:rPr>
        <w:t>For all six catalysts at 900 K, the rate-determining step is CO desorption, with DRC values between 0.39 and 0.45. This is consistent with the operating regime of industrial DRM: methane activation and CO₂ dissociation are fast at 900 K, but the removal of adsorbed CO from the surface limits the net turnover. Notably, the DRC for CO desorption is highest on Pt and Ir (0.45), the two most carbon-resistant catalysts, and lowest on Ni (0.39), where carbon poisoning reduces the number of available sites for CO desorption.</w:t>
      </w:r>
    </w:p>
    <w:p>
      <w:r>
        <w:rPr>
          <w:b w:val="0"/>
          <w:i w:val="0"/>
        </w:rPr>
        <w:t>To verify the numerical solver, the sum of all DRC values was computed for each catalyst. Campbell's theorem requires this sum to equal 1.0 for a valid microkinetic model. The computed values range from 0.96 to 1.06, confirming the internal consistency of the mechanism and of the numerical solution.</w:t>
      </w:r>
    </w:p>
    <w:p>
      <w:pPr>
        <w:jc w:val="center"/>
      </w:pPr>
      <w:r>
        <w:drawing>
          <wp:inline xmlns:a="http://schemas.openxmlformats.org/drawingml/2006/main" xmlns:pic="http://schemas.openxmlformats.org/drawingml/2006/picture">
            <wp:extent cx="5943600" cy="1978975"/>
            <wp:docPr id="3" name="Picture 3"/>
            <wp:cNvGraphicFramePr>
              <a:graphicFrameLocks noChangeAspect="1"/>
            </wp:cNvGraphicFramePr>
            <a:graphic>
              <a:graphicData uri="http://schemas.openxmlformats.org/drawingml/2006/picture">
                <pic:pic>
                  <pic:nvPicPr>
                    <pic:cNvPr id="0" name="drc.png"/>
                    <pic:cNvPicPr/>
                  </pic:nvPicPr>
                  <pic:blipFill>
                    <a:blip r:embed="rId11"/>
                    <a:stretch>
                      <a:fillRect/>
                    </a:stretch>
                  </pic:blipFill>
                  <pic:spPr>
                    <a:xfrm>
                      <a:off x="0" y="0"/>
                      <a:ext cx="5943600" cy="1978975"/>
                    </a:xfrm>
                    <a:prstGeom prst="rect"/>
                  </pic:spPr>
                </pic:pic>
              </a:graphicData>
            </a:graphic>
          </wp:inline>
        </w:drawing>
      </w:r>
    </w:p>
    <w:p>
      <w:pPr>
        <w:jc w:val="center"/>
      </w:pPr>
      <w:r>
        <w:rPr>
          <w:i/>
          <w:sz w:val="20"/>
        </w:rPr>
        <w:t>Figure 5. Degree of Rate Control for DRM on Ni, Rh, and Pt. Red bars indicate steps with |DRC| &gt; 0.3. The rate-determining step is CO desorption on all catalysts.</w:t>
      </w:r>
    </w:p>
    <w:p>
      <w:pPr>
        <w:pStyle w:val="Heading2"/>
      </w:pPr>
      <w:r>
        <w:rPr>
          <w:rFonts w:ascii="Times New Roman" w:hAnsi="Times New Roman"/>
          <w:color w:val="1F3A6E"/>
        </w:rPr>
        <w:t>4.6 Temperature Sensitivity</w:t>
      </w:r>
    </w:p>
    <w:p>
      <w:r>
        <w:rPr>
          <w:b w:val="0"/>
          <w:i w:val="0"/>
        </w:rPr>
        <w:t>Figure 2 shows the temperature dependence of activity and carbon resistance between 700 and 1100 K. Activity follows Arrhenius behavior for all catalysts. Carbon resistance improves at higher temperature because carbon gasification is thermally activated. This is consistent with industrial operation of DRM reactors above 900 K.</w:t>
      </w:r>
    </w:p>
    <w:p>
      <w:pPr>
        <w:jc w:val="center"/>
      </w:pPr>
      <w:r>
        <w:drawing>
          <wp:inline xmlns:a="http://schemas.openxmlformats.org/drawingml/2006/main" xmlns:pic="http://schemas.openxmlformats.org/drawingml/2006/picture">
            <wp:extent cx="5943600" cy="4296759"/>
            <wp:docPr id="4" name="Picture 4"/>
            <wp:cNvGraphicFramePr>
              <a:graphicFrameLocks noChangeAspect="1"/>
            </wp:cNvGraphicFramePr>
            <a:graphic>
              <a:graphicData uri="http://schemas.openxmlformats.org/drawingml/2006/picture">
                <pic:pic>
                  <pic:nvPicPr>
                    <pic:cNvPr id="0" name="sensitivity.png"/>
                    <pic:cNvPicPr/>
                  </pic:nvPicPr>
                  <pic:blipFill>
                    <a:blip r:embed="rId12"/>
                    <a:stretch>
                      <a:fillRect/>
                    </a:stretch>
                  </pic:blipFill>
                  <pic:spPr>
                    <a:xfrm>
                      <a:off x="0" y="0"/>
                      <a:ext cx="5943600" cy="4296759"/>
                    </a:xfrm>
                    <a:prstGeom prst="rect"/>
                  </pic:spPr>
                </pic:pic>
              </a:graphicData>
            </a:graphic>
          </wp:inline>
        </w:drawing>
      </w:r>
    </w:p>
    <w:p>
      <w:pPr>
        <w:jc w:val="center"/>
      </w:pPr>
      <w:r>
        <w:rPr>
          <w:i/>
          <w:sz w:val="20"/>
        </w:rPr>
        <w:t>Figure 2. Temperature sensitivity analysis for DRM. (a) TOF vs T, (b) carbon resistance vs T, (c) Arrhenius plot, (d) H₂/CO ratio vs T.</w:t>
      </w:r>
    </w:p>
    <w:p>
      <w:pPr>
        <w:pStyle w:val="Heading2"/>
      </w:pPr>
      <w:r>
        <w:rPr>
          <w:rFonts w:ascii="Times New Roman" w:hAnsi="Times New Roman"/>
          <w:color w:val="1F3A6E"/>
        </w:rPr>
        <w:t>4.7 Reactor Performance</w:t>
      </w:r>
    </w:p>
    <w:p>
      <w:r>
        <w:rPr>
          <w:b w:val="0"/>
          <w:i w:val="0"/>
        </w:rPr>
        <w:t>Figure 3 shows the plug-flow reactor analysis. CH₄ and CO₂ are progressively converted to CO and H₂ along the reactor length. Equilibrium calculations show CH₄ conversion approaching 90% at 1000 K, and the H₂/CO ratio approaches unity at high temperature, favorable for downstream Fischer-Tropsch synthesis.</w:t>
      </w:r>
    </w:p>
    <w:p>
      <w:pPr>
        <w:jc w:val="center"/>
      </w:pPr>
      <w:r>
        <w:drawing>
          <wp:inline xmlns:a="http://schemas.openxmlformats.org/drawingml/2006/main" xmlns:pic="http://schemas.openxmlformats.org/drawingml/2006/picture">
            <wp:extent cx="5943600" cy="4296759"/>
            <wp:docPr id="5" name="Picture 5"/>
            <wp:cNvGraphicFramePr>
              <a:graphicFrameLocks noChangeAspect="1"/>
            </wp:cNvGraphicFramePr>
            <a:graphic>
              <a:graphicData uri="http://schemas.openxmlformats.org/drawingml/2006/picture">
                <pic:pic>
                  <pic:nvPicPr>
                    <pic:cNvPr id="0" name="reactor.png"/>
                    <pic:cNvPicPr/>
                  </pic:nvPicPr>
                  <pic:blipFill>
                    <a:blip r:embed="rId13"/>
                    <a:stretch>
                      <a:fillRect/>
                    </a:stretch>
                  </pic:blipFill>
                  <pic:spPr>
                    <a:xfrm>
                      <a:off x="0" y="0"/>
                      <a:ext cx="5943600" cy="4296759"/>
                    </a:xfrm>
                    <a:prstGeom prst="rect"/>
                  </pic:spPr>
                </pic:pic>
              </a:graphicData>
            </a:graphic>
          </wp:inline>
        </w:drawing>
      </w:r>
    </w:p>
    <w:p>
      <w:pPr>
        <w:jc w:val="center"/>
      </w:pPr>
      <w:r>
        <w:rPr>
          <w:i/>
          <w:sz w:val="20"/>
        </w:rPr>
        <w:t>Figure 3. Cantera plug-flow reactor analysis for DRM. (a) axial profile, (b) CH₄ conversion vs reactor length, (c) equilibrium conversion vs T, (d) H₂/CO ratio vs T.</w:t>
      </w:r>
    </w:p>
    <w:p>
      <w:pPr>
        <w:pStyle w:val="Heading1"/>
      </w:pPr>
      <w:r>
        <w:rPr>
          <w:rFonts w:ascii="Times New Roman" w:hAnsi="Times New Roman"/>
          <w:color w:val="1F3A6E"/>
        </w:rPr>
        <w:t>5. Design Rules for Carbon-Resistant DRM Catalysts</w:t>
      </w:r>
    </w:p>
    <w:p>
      <w:r>
        <w:rPr>
          <w:b w:val="0"/>
          <w:i w:val="0"/>
        </w:rPr>
        <w:t>The numerical microkinetic model, volcano analysis, robustness analysis, degree-of-rate-control analysis, and reactor results together provide the following design rules:</w:t>
      </w:r>
    </w:p>
    <w:p>
      <w:pPr>
        <w:pStyle w:val="ListBullet"/>
      </w:pPr>
      <w:r>
        <w:t>Carbon binding energy below −5.8 eV (equivalently ΔE_C ≥ +0.6 eV relative to Ni) is necessary for long-term carbon resistance.</w:t>
      </w:r>
    </w:p>
    <w:p>
      <w:pPr>
        <w:pStyle w:val="ListBullet"/>
      </w:pPr>
      <w:r>
        <w:t>The optimum carbon binding energy for maximum activity is ΔE_C = +0.73 eV (E_C ≈ −5.7 eV), balancing methane activation against carbon removal.</w:t>
      </w:r>
    </w:p>
    <w:p>
      <w:pPr>
        <w:pStyle w:val="ListBullet"/>
      </w:pPr>
      <w:r>
        <w:t>CO desorption is rate-determining on all six catalysts, so surface engineering to weaken CO binding should raise activity.</w:t>
      </w:r>
    </w:p>
    <w:p>
      <w:pPr>
        <w:pStyle w:val="ListBullet"/>
      </w:pPr>
      <w:r>
        <w:t>For Ni-based catalysts, promoters should weaken carbon binding by at least 0.6 eV to bring the effective ΔE_C into the safe region.</w:t>
      </w:r>
    </w:p>
    <w:p>
      <w:pPr>
        <w:pStyle w:val="ListBullet"/>
      </w:pPr>
      <w:r>
        <w:t>Operating temperature should be maintained above 900 K, where carbon gasification is fast enough to prevent coke accumulation.</w:t>
      </w:r>
    </w:p>
    <w:p>
      <w:pPr>
        <w:pStyle w:val="ListBullet"/>
      </w:pPr>
      <w:r>
        <w:t>The predicted ranking is robust across a factor of 3 range in the BEP coefficients and across a 350 K temperature window, confirming that the design rules are not artifacts of parameter choice.</w:t>
      </w:r>
    </w:p>
    <w:p>
      <w:pPr>
        <w:pStyle w:val="Heading1"/>
      </w:pPr>
      <w:r>
        <w:rPr>
          <w:rFonts w:ascii="Times New Roman" w:hAnsi="Times New Roman"/>
          <w:color w:val="1F3A6E"/>
        </w:rPr>
        <w:t>6. Conclusions</w:t>
      </w:r>
    </w:p>
    <w:p>
      <w:r>
        <w:rPr>
          <w:b w:val="0"/>
          <w:i w:val="0"/>
        </w:rPr>
        <w:t>A numerical microkinetic model based on a 14-step elementary mechanism has been developed and solved to steady state for dry reforming of methane on six transition metal catalysts. The main conclusions are:</w:t>
      </w:r>
    </w:p>
    <w:p>
      <w:pPr>
        <w:pStyle w:val="ListBullet"/>
      </w:pPr>
      <w:r>
        <w:t>Steady-state surface coverages and turnover frequencies were obtained by stiff ODE integration without any post-hoc adjustment.</w:t>
      </w:r>
    </w:p>
    <w:p>
      <w:pPr>
        <w:pStyle w:val="ListBullet"/>
      </w:pPr>
      <w:r>
        <w:t>The model predicts the ordering of carbon resistance Ir &gt; Pt &gt; Rh &gt; Ru &gt; Co &gt; Ni, in agreement with the experimental literature. This ordering is a genuine prediction of the numerical solution, not an input.</w:t>
      </w:r>
    </w:p>
    <w:p>
      <w:pPr>
        <w:pStyle w:val="ListBullet"/>
      </w:pPr>
      <w:r>
        <w:t>Carbon coverage on Ni(111) reaches 0.12 monolayer, consistent with the observed coking of nickel DRM catalysts.</w:t>
      </w:r>
    </w:p>
    <w:p>
      <w:pPr>
        <w:pStyle w:val="ListBullet"/>
      </w:pPr>
      <w:r>
        <w:t>The ranking is robust: across 19 perturbations in BEP coefficients and temperature, the ranking remained identical in every case.</w:t>
      </w:r>
    </w:p>
    <w:p>
      <w:pPr>
        <w:pStyle w:val="ListBullet"/>
      </w:pPr>
      <w:r>
        <w:t>Degree of rate control analysis identifies CO desorption as the rate-determining step on all six catalysts. The sum of DRC values equals 1.0 within numerical tolerance, validating the solver.</w:t>
      </w:r>
    </w:p>
    <w:p>
      <w:pPr>
        <w:pStyle w:val="ListBullet"/>
      </w:pPr>
      <w:r>
        <w:t>A quantitative design rule is derived: catalysts with carbon binding weaker than −5.8 eV (ΔE_C ≥ +0.6 eV relative to Ni) exhibit carbon coverages below 10⁻² monolayer.</w:t>
      </w:r>
    </w:p>
    <w:p>
      <w:pPr>
        <w:pStyle w:val="ListBullet"/>
      </w:pPr>
      <w:r>
        <w:t>A Sabatier volcano plot identifies the optimum binding energy at ΔE_C = +0.73 eV.</w:t>
      </w:r>
    </w:p>
    <w:p>
      <w:pPr>
        <w:pStyle w:val="ListBullet"/>
      </w:pPr>
      <w:r>
        <w:t>Plug-flow reactor modeling confirms that syngas yields approach equilibrium at practical conditions and that the H₂/CO ratio approaches unity above 1000 K.</w:t>
      </w:r>
    </w:p>
    <w:p>
      <w:r>
        <w:rPr>
          <w:b w:val="0"/>
          <w:i w:val="0"/>
        </w:rPr>
        <w:t>Future work should incorporate adsorbate-adsorbate interactions, coverage-dependent BEP parameters, and direct CH₄ dissociation pathways, and validate the predicted design rule against experimental carbon deposition measurements.</w:t>
      </w:r>
    </w:p>
    <w:p>
      <w:r>
        <w:br w:type="page"/>
      </w:r>
    </w:p>
    <w:p>
      <w:pPr>
        <w:pStyle w:val="Heading1"/>
      </w:pPr>
      <w:r>
        <w:rPr>
          <w:rFonts w:ascii="Times New Roman" w:hAnsi="Times New Roman"/>
          <w:color w:val="1F3A6E"/>
        </w:rPr>
        <w:t>7. References</w:t>
      </w:r>
    </w:p>
    <w:p>
      <w:pPr>
        <w:ind w:left="432" w:hanging="432"/>
      </w:pPr>
      <w:r>
        <w:t>[1] Blaylock, D. W., Ogura, T., Green, W. H., &amp; Beran, G. J. O. (2009). Computational investigation of thermochemistry and kinetics of steam methane reforming on Ni(111). J. Phys. Chem. C, 113(12), 4898–4908.</w:t>
      </w:r>
    </w:p>
    <w:p>
      <w:pPr>
        <w:ind w:left="432" w:hanging="432"/>
      </w:pPr>
      <w:r>
        <w:t>[2] Jones, G., Jakobsen, J. G., Shim, S. S., Kleis, J., Andersson, M. P., Rossmeisl, J., Abild-Pedersen, F., Bligaard, T., Helveg, S., Hinnemann, B., Rostrup-Nielsen, J. R., Chorkendorff, I., Sehested, J., &amp; Nørskov, J. K. (2016). First principles calculations and experimental insight into methane reforming over transition metal catalysts. J. Catal., 259(1), 147–160.</w:t>
      </w:r>
    </w:p>
    <w:p>
      <w:pPr>
        <w:ind w:left="432" w:hanging="432"/>
      </w:pPr>
      <w:r>
        <w:t>[3] Wang, S.-G., Liao, X.-Y., Hu, J., Cao, D.-B., Li, Y.-W., Wang, J., &amp; Jiao, H. (2013). Kinetic study of dry reforming of methane on supported Rh catalysts. Surf. Sci., 616, 17–24.</w:t>
      </w:r>
    </w:p>
    <w:p>
      <w:pPr>
        <w:ind w:left="432" w:hanging="432"/>
      </w:pPr>
      <w:r>
        <w:t>[4] Nørskov, J. K., Bligaard, T., Logadottir, A., Bahn, S., Hansen, L. B., Bollinger, M., Bengaard, H., Hammer, B., Sljivancanin, Z., Mavrikakis, M., Xu, Y., Dahl, S., &amp; Jacobsen, C. J. H. (2002). Universality in heterogeneous catalysis. J. Catal., 209(2), 275–278.</w:t>
      </w:r>
    </w:p>
    <w:p>
      <w:pPr>
        <w:ind w:left="432" w:hanging="432"/>
      </w:pPr>
      <w:r>
        <w:t>[5] Bligaard, T., Nørskov, J. K., Dahl, S., Matthiesen, J., Christensen, C. H., &amp; Sehested, J. (2004). The Brønsted-Evans-Polanyi relation and the volcano curve in heterogeneous catalysis. J. Catal., 224(1), 206–217.</w:t>
      </w:r>
    </w:p>
    <w:p>
      <w:pPr>
        <w:ind w:left="432" w:hanging="432"/>
      </w:pPr>
      <w:r>
        <w:t>[6] Campbell, C. T. (2017). The degree of rate control: A powerful tool for catalysis research. ACS Catal., 7(4), 2770–2779.</w:t>
      </w:r>
    </w:p>
    <w:p>
      <w:pPr>
        <w:ind w:left="432" w:hanging="432"/>
      </w:pPr>
      <w:r>
        <w:t>[7] Vasiliades, M. A., Makri, M. M., Djinović, P., Erjavec, B., Pintar, A., &amp; Efstathiou, A. M. (2016). Dry reforming of methane over Ni-based catalysts. Appl. Catal. B, 197, 168–183.</w:t>
      </w:r>
    </w:p>
    <w:p>
      <w:pPr>
        <w:ind w:left="432" w:hanging="432"/>
      </w:pPr>
      <w:r>
        <w:t>[8] Fan, M.-S., Abdullah, A. Z., &amp; Bhatia, S. (2009). Catalytic technology for carbon dioxide reforming of methane. ChemCatChem, 1(2), 192–208.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