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pStyle w:val="Heading1"/>
      </w:pPr>
      <w:r>
        <w:rPr>
          <w:rFonts w:ascii="Times New Roman" w:hAnsi="Times New Roman"/>
          <w:color w:val="1F3A6E"/>
        </w:rPr>
        <w:t>Abstract</w:t>
      </w:r>
    </w:p>
    <w:p>
      <w:r>
        <w:rPr>
          <w:b w:val="0"/>
          <w:i w:val="0"/>
        </w:rPr>
        <w:t>Dry reforming of methane (DRM, CH₄ + CO₂ → 2 CO + 2 H₂)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Rate constants follow Arrhenius kinetics with Hertz-Knudsen adsorption fluxes. Steady-state surface coverages and turnover frequencies were computed for six transition metals (Ni, Co, Ru, Rh, Pt, Ir) at 900 K and 1 bar. The model produces the experimentally established ordering of carbon resistance (Ir &gt; Pt &gt; Rh &gt; Ru &gt; Co &gt; Ni) directly from the numerical solution, without any post-hoc adjustment. The carbon coverage on Ni(111) reaches 0.12 monolayer — consistent with reported coke formation on nickel. Catalysts with weaker carbon binding (ΔE_C ≥ +1.0 eV relative to Ni) exhibit carbon coverages below 0.001 monolayer. A systematic robustness analysis across 19 perturbations in BEP coefficient and temperature confirmed that the ranking is stable in every case, with zero swaps between adjacent catalysts. A Sabatier volcano plot identifies the optimum carbon binding energy at ΔE_C = +0.73 eV. A Cantera plug-flow reactor model confirms that syngas yields approach equilibrium at practical conditions.</w:t>
      </w:r>
    </w:p>
    <w:p>
      <w:r>
        <w:rPr>
          <w:b/>
        </w:rPr>
        <w:t xml:space="preserve">Keywords: </w:t>
      </w:r>
      <w:r>
        <w:t>Dry reforming of methane, carbon deposition, numerical microkinetics, Sabatier volcano, transition metal catalysts, syngas</w:t>
      </w:r>
    </w:p>
    <w:p>
      <w:r>
        <w:br w:type="page"/>
      </w:r>
    </w:p>
    <w:p>
      <w:pPr>
        <w:pStyle w:val="Heading1"/>
      </w:pPr>
      <w:r>
        <w:rPr>
          <w:rFonts w:ascii="Times New Roman" w:hAnsi="Times New Roman"/>
          <w:color w:val="1F3A6E"/>
        </w:rPr>
        <w:t>1. Introduction and Significance</w:t>
      </w:r>
    </w:p>
    <w:p>
      <w:pPr>
        <w:pStyle w:val="Heading2"/>
      </w:pPr>
      <w:r>
        <w:rPr>
          <w:rFonts w:ascii="Times New Roman" w:hAnsi="Times New Roman"/>
          <w:color w:val="1F3A6E"/>
        </w:rPr>
        <w:t>1.1 Motivation</w:t>
      </w:r>
    </w:p>
    <w:p>
      <w:r>
        <w:rPr>
          <w:b w:val="0"/>
          <w:i w:val="0"/>
        </w:rPr>
        <w:t>Methane and carbon dioxide are the two most significant anthropogenic greenhouse gases. Methane has a global warming potential approximately 28 times that of CO₂ over a 100-year horizon. Dry reforming of methane (DRM) consumes both gases in a single reaction (Eq. 1):</w:t>
      </w:r>
    </w:p>
    <w:p>
      <w:pPr>
        <w:jc w:val="center"/>
      </w:pPr>
      <w:r>
        <w:rPr>
          <w:i/>
        </w:rPr>
        <w:t>CH₄ + CO₂ → 2 CO + 2 H₂      ΔH°₂₉₈ = +247 kJ/mol      (Eq. 1)</w:t>
      </w:r>
    </w:p>
    <w:p>
      <w:r>
        <w:rPr>
          <w:b w:val="0"/>
          <w:i w:val="0"/>
        </w:rPr>
        <w:t>The reaction produces syngas with an H₂/CO ratio close to unity, which is ideal for Fischer-Tropsch synthesis and methanol production. Because DRM is strongly endothermic, it operates at 700-1000 °C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pStyle w:val="Heading2"/>
      </w:pPr>
      <w:r>
        <w:rPr>
          <w:rFonts w:ascii="Times New Roman" w:hAnsi="Times New Roman"/>
          <w:color w:val="1F3A6E"/>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couple the microkinetic model to a plug-flow reactor model.</w:t>
      </w:r>
    </w:p>
    <w:p>
      <w:pPr>
        <w:pStyle w:val="Heading2"/>
      </w:pPr>
      <w:r>
        <w:rPr>
          <w:rFonts w:ascii="Times New Roman" w:hAnsi="Times New Roman"/>
          <w:color w:val="1F3A6E"/>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A systematic robustness analysis confirms that the prediction holds across a wide range of parameters. This provides a quantitative basis for catalyst selection and for the design of promoters for Ni-based DRM catalysts.</w:t>
      </w:r>
    </w:p>
    <w:p>
      <w:pPr>
        <w:pStyle w:val="Heading1"/>
      </w:pPr>
      <w:r>
        <w:rPr>
          <w:rFonts w:ascii="Times New Roman" w:hAnsi="Times New Roman"/>
          <w:color w:val="1F3A6E"/>
        </w:rPr>
        <w:t>2. Proposed Elementary Reaction Mechanism</w:t>
      </w:r>
    </w:p>
    <w:p>
      <w:r>
        <w:rPr>
          <w:b w:val="0"/>
          <w:i w:val="0"/>
        </w:rPr>
        <w:t>DRM proceeds through two coupled networks: sequential dehydrogenation of adsorbed methane to CHₓ fragments (eventually to atomic carbon), and dissociative activation of CO₂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CH₄(g) + 2* ⇌ CH₃* + H*</w:t>
      </w:r>
    </w:p>
    <w:p>
      <w:pPr>
        <w:ind w:left="576"/>
      </w:pPr>
      <w:r>
        <w:t xml:space="preserve">2.  </w:t>
      </w:r>
      <w:r>
        <w:rPr>
          <w:i/>
        </w:rPr>
        <w:t>CH₃* + * ⇌ CH₂* + H*</w:t>
      </w:r>
    </w:p>
    <w:p>
      <w:pPr>
        <w:ind w:left="576"/>
      </w:pPr>
      <w:r>
        <w:t xml:space="preserve">3.  </w:t>
      </w:r>
      <w:r>
        <w:rPr>
          <w:i/>
        </w:rPr>
        <w:t>CH₂* + * ⇌ CH* + H*</w:t>
      </w:r>
    </w:p>
    <w:p>
      <w:pPr>
        <w:ind w:left="576"/>
      </w:pPr>
      <w:r>
        <w:t xml:space="preserve">4.  </w:t>
      </w:r>
      <w:r>
        <w:rPr>
          <w:i/>
        </w:rPr>
        <w:t>CH* + * ⇌ C* + H*</w:t>
      </w:r>
    </w:p>
    <w:p>
      <w:pPr>
        <w:ind w:left="576"/>
      </w:pPr>
      <w:r>
        <w:t xml:space="preserve">5.  </w:t>
      </w:r>
      <w:r>
        <w:rPr>
          <w:i/>
        </w:rPr>
        <w:t>CO₂(g) + * ⇌ CO₂*</w:t>
      </w:r>
    </w:p>
    <w:p>
      <w:pPr>
        <w:ind w:left="576"/>
      </w:pPr>
      <w:r>
        <w:t xml:space="preserve">6.  </w:t>
      </w:r>
      <w:r>
        <w:rPr>
          <w:i/>
        </w:rPr>
        <w:t>CO₂* + * ⇌ CO* + O*</w:t>
      </w:r>
    </w:p>
    <w:p>
      <w:pPr>
        <w:ind w:left="576"/>
      </w:pPr>
      <w:r>
        <w:t xml:space="preserve">7.  </w:t>
      </w:r>
      <w:r>
        <w:rPr>
          <w:i/>
        </w:rPr>
        <w:t>C* + O* ⇌ CO* + *</w:t>
      </w:r>
    </w:p>
    <w:p>
      <w:pPr>
        <w:ind w:left="576"/>
      </w:pPr>
      <w:r>
        <w:t xml:space="preserve">8.  </w:t>
      </w:r>
      <w:r>
        <w:rPr>
          <w:i/>
        </w:rPr>
        <w:t>C* + CO₂* ⇌ 2 CO*</w:t>
      </w:r>
    </w:p>
    <w:p>
      <w:pPr>
        <w:ind w:left="576"/>
      </w:pPr>
      <w:r>
        <w:t xml:space="preserve">9.  </w:t>
      </w:r>
      <w:r>
        <w:rPr>
          <w:i/>
        </w:rPr>
        <w:t>CO* ⇌ CO(g) + *</w:t>
      </w:r>
    </w:p>
    <w:p>
      <w:pPr>
        <w:ind w:left="576"/>
      </w:pPr>
      <w:r>
        <w:t xml:space="preserve">10.  </w:t>
      </w:r>
      <w:r>
        <w:rPr>
          <w:i/>
        </w:rPr>
        <w:t>2 H* ⇌ H₂(g) + 2*</w:t>
      </w:r>
    </w:p>
    <w:p>
      <w:pPr>
        <w:ind w:left="576"/>
      </w:pPr>
      <w:r>
        <w:t xml:space="preserve">11.  </w:t>
      </w:r>
      <w:r>
        <w:rPr>
          <w:i/>
        </w:rPr>
        <w:t>O* + H* ⇌ OH* + *</w:t>
      </w:r>
    </w:p>
    <w:p>
      <w:pPr>
        <w:ind w:left="576"/>
      </w:pPr>
      <w:r>
        <w:t xml:space="preserve">12.  </w:t>
      </w:r>
      <w:r>
        <w:rPr>
          <w:i/>
        </w:rPr>
        <w:t>OH* + H* ⇌ H₂O* + *</w:t>
      </w:r>
    </w:p>
    <w:p>
      <w:pPr>
        <w:ind w:left="576"/>
      </w:pPr>
      <w:r>
        <w:t xml:space="preserve">13.  </w:t>
      </w:r>
      <w:r>
        <w:rPr>
          <w:i/>
        </w:rPr>
        <w:t>H₂O* ⇌ H₂O(g) + *</w:t>
      </w:r>
    </w:p>
    <w:p>
      <w:pPr>
        <w:ind w:left="576"/>
      </w:pPr>
      <w:r>
        <w:t xml:space="preserve">14.  </w:t>
      </w:r>
      <w:r>
        <w:rPr>
          <w:i/>
        </w:rPr>
        <w:t>CH* + O* ⇌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pStyle w:val="Heading1"/>
      </w:pPr>
      <w:r>
        <w:rPr>
          <w:rFonts w:ascii="Times New Roman" w:hAnsi="Times New Roman"/>
          <w:color w:val="1F3A6E"/>
        </w:rPr>
        <w:t>3. Computational Methodology</w:t>
      </w:r>
    </w:p>
    <w:p>
      <w:pPr>
        <w:pStyle w:val="Heading2"/>
      </w:pPr>
      <w:r>
        <w:rPr>
          <w:rFonts w:ascii="Times New Roman" w:hAnsi="Times New Roman"/>
          <w:color w:val="1F3A6E"/>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pStyle w:val="Heading2"/>
      </w:pPr>
      <w:r>
        <w:rPr>
          <w:rFonts w:ascii="Times New Roman" w:hAnsi="Times New Roman"/>
          <w:color w:val="1F3A6E"/>
        </w:rPr>
        <w:t>3.2 Numerical Microkinetic Model</w:t>
      </w:r>
    </w:p>
    <w:p>
      <w:r>
        <w:rPr>
          <w:b w:val="0"/>
          <w:i w:val="0"/>
        </w:rPr>
        <w:t>Steady-state surface coverages were obtained by integrating the coupled mass-balance equations:</w:t>
      </w:r>
    </w:p>
    <w:p>
      <w:pPr>
        <w:jc w:val="center"/>
      </w:pPr>
      <w:r>
        <w:rPr>
          <w:i/>
        </w:rPr>
        <w:t>dθ_i / dt = Σ_j ν_ij r_j(θ, T, P)      (Eq. 2)</w:t>
      </w:r>
    </w:p>
    <w:p>
      <w:r>
        <w:rPr>
          <w:b w:val="0"/>
          <w:i w:val="0"/>
        </w:rPr>
        <w:t>where θ_i is the coverage of surface species i, ν_ij is the stoichiometric coefficient of species i in reaction j, and r_j is the net rate of reaction j. The system was integrated to steady state using the implicit BDF solver (scipy.integrate.solve_ivp) with tolerances rtol = 10⁻⁶ and atol = 10⁻¹⁰ over a time span of 10⁶ s, sufficient to reach convergence for all catalysts.</w:t>
      </w:r>
    </w:p>
    <w:p>
      <w:r>
        <w:rPr>
          <w:b w:val="0"/>
          <w:i w:val="0"/>
        </w:rPr>
        <w:t>Rate constants follow the Arrhenius equation with pre-exponential factor 10¹³ s⁻¹ for surface reactions. Adsorption rates were computed using the Hertz-Knudsen equation:</w:t>
      </w:r>
    </w:p>
    <w:p>
      <w:pPr>
        <w:jc w:val="center"/>
      </w:pPr>
      <w:r>
        <w:rPr>
          <w:i/>
        </w:rPr>
        <w:t>k_ads = S · P / √(2πmk_BT) / N_sites      (Eq. 3)</w:t>
      </w:r>
    </w:p>
    <w:p>
      <w:r>
        <w:rPr>
          <w:b w:val="0"/>
          <w:i w:val="0"/>
        </w:rPr>
        <w:t>with S = 1.0 and N_sites = 1.77 × 10¹⁹ sites/m². Reverse rate constants were computed from the thermodynamic consistency condition Ea_rev = Ea_fwd + ΔE_reaction.</w:t>
      </w:r>
    </w:p>
    <w:p>
      <w:pPr>
        <w:pStyle w:val="Heading2"/>
      </w:pPr>
      <w:r>
        <w:rPr>
          <w:rFonts w:ascii="Times New Roman" w:hAnsi="Times New Roman"/>
          <w:color w:val="1F3A6E"/>
        </w:rPr>
        <w:t>3.3 BEP Corrections for Carbon Formation</w:t>
      </w:r>
    </w:p>
    <w:p>
      <w:r>
        <w:rPr>
          <w:b w:val="0"/>
          <w:i w:val="0"/>
        </w:rPr>
        <w:t>The carbon-forming dehydrogenation steps (CH₃, CH₂, and CH dehydrogenation) were scaled with the catalyst carbon binding energy using a Brønsted-Evans-Polanyi (BEP) relation:</w:t>
      </w:r>
    </w:p>
    <w:p>
      <w:pPr>
        <w:jc w:val="center"/>
      </w:pPr>
      <w:r>
        <w:rPr>
          <w:i/>
        </w:rPr>
        <w:t>Ea_i = Ea_i° + γ_i · ΔE_C      (Eq. 4)</w:t>
      </w:r>
    </w:p>
    <w:p>
      <w:r>
        <w:rPr>
          <w:b w:val="0"/>
          <w:i w:val="0"/>
        </w:rPr>
        <w:t>with BEP coefficients γ of 0.55, 0.35, and 0.60 for CH₃, CH₂, and CH dehydrogenation respectively. This reflects the physical observation that on metals with weaker carbon binding (Pt, Ir), the CHₓ intermediates are more stable and do not readily decompose to coke.</w:t>
      </w:r>
    </w:p>
    <w:p>
      <w:pPr>
        <w:pStyle w:val="Heading2"/>
      </w:pPr>
      <w:r>
        <w:rPr>
          <w:rFonts w:ascii="Times New Roman" w:hAnsi="Times New Roman"/>
          <w:color w:val="1F3A6E"/>
        </w:rPr>
        <w:t>3.4 Robustness Analysis</w:t>
      </w:r>
    </w:p>
    <w:p>
      <w:r>
        <w:rPr>
          <w:b w:val="0"/>
          <w:i w:val="0"/>
        </w:rPr>
        <w:t>A systematic robustness analysis was performed by varying the BEP scale factor from 0.5 to 1.5 in 11 steps (a factor of 3 range) and the temperature from 750 to 1100 K in 8 steps. At each condition, the steady-state solver was rerun for all six catalysts, and the resulting carbon resistance ranking was compared to the reference.</w:t>
      </w:r>
    </w:p>
    <w:p>
      <w:pPr>
        <w:pStyle w:val="Heading2"/>
      </w:pPr>
      <w:r>
        <w:rPr>
          <w:rFonts w:ascii="Times New Roman" w:hAnsi="Times New Roman"/>
          <w:color w:val="1F3A6E"/>
        </w:rPr>
        <w:t>3.5 Reactor Model</w:t>
      </w:r>
    </w:p>
    <w:p>
      <w:r>
        <w:rPr>
          <w:b w:val="0"/>
          <w:i w:val="0"/>
        </w:rPr>
        <w:t>A 1D plug-flow reactor model was constructed in Cantera. The reactor is 0.5 m long with a 10 cm diameter and a catalyst bed density of 800 kg/m³. The inlet feed is equimolar CH₄:CO₂ with N₂ balance. Gas-phase equilibrium was computed using the GRI-Mech 3.0 mechanism.</w:t>
      </w:r>
    </w:p>
    <w:p>
      <w:pPr>
        <w:pStyle w:val="Heading2"/>
      </w:pPr>
      <w:r>
        <w:rPr>
          <w:rFonts w:ascii="Times New Roman" w:hAnsi="Times New Roman"/>
          <w:color w:val="1F3A6E"/>
        </w:rPr>
        <w:t>3.6 Data Sources</w:t>
      </w:r>
    </w:p>
    <w:p>
      <w:r>
        <w:rPr>
          <w:b w:val="0"/>
          <w:i w:val="0"/>
        </w:rPr>
        <w:t>Adsorption energies and activation barriers were taken from published DFT studies (Blaylock et al. 2009; Jones et al. 2016; Wang et al. 2013; Nørskov et al. 2002). Descriptor shifts for Pt, Ru, Rh, Co, and Ir were derived from the comparative DFT studies reported in these references.</w:t>
      </w:r>
    </w:p>
    <w:p>
      <w:pPr>
        <w:pStyle w:val="Heading1"/>
      </w:pPr>
      <w:r>
        <w:rPr>
          <w:rFonts w:ascii="Times New Roman" w:hAnsi="Times New Roman"/>
          <w:color w:val="1F3A6E"/>
        </w:rPr>
        <w:t>4. Results and Discussion</w:t>
      </w:r>
    </w:p>
    <w:p>
      <w:pPr>
        <w:pStyle w:val="Heading2"/>
      </w:pPr>
      <w:r>
        <w:rPr>
          <w:rFonts w:ascii="Times New Roman" w:hAnsi="Times New Roman"/>
          <w:color w:val="1F3A6E"/>
        </w:rPr>
        <w:t>4.1 Steady-State Coverages and Activity</w:t>
      </w:r>
    </w:p>
    <w:p>
      <w:r>
        <w:rPr>
          <w:b w:val="0"/>
          <w:i w:val="0"/>
        </w:rPr>
        <w:t>The steady-state solver returns sub-monolayer coverages for all species on Ni(111) at 900 K and 1 bar. The surface is predominantly empty (θ* = 0.82), with carbon (θ_C = 0.12) and CH (θ_CH = 0.05) as the principal adsorbates. The carbon accumulation on Ni is the well-known origin of its rapid deactivation.</w:t>
      </w:r>
    </w:p>
    <w:p>
      <w:r>
        <w:rPr>
          <w:b w:val="0"/>
          <w:i w:val="0"/>
        </w:rPr>
        <w:t>Table 1 lists the turnover frequency for CH₄ conversion (TOF_CH₄) and the total carbon coverage (θ_C + θ_CH) for all six catalysts. Activity varies by nearly an order of magnitude, with Rh reaching 130 s⁻¹ while Ni remains near 21 s⁻¹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rPr>
              <w:t>Catalyst</w:t>
            </w:r>
          </w:p>
        </w:tc>
        <w:tc>
          <w:tcPr>
            <w:tcW w:type="dxa" w:w="1728"/>
          </w:tcPr>
          <w:p>
            <w:pPr>
              <w:jc w:val="center"/>
            </w:pPr>
            <w:r/>
            <w:r>
              <w:rPr>
                <w:rFonts w:ascii="Times New Roman" w:hAnsi="Times New Roman"/>
                <w:b/>
              </w:rPr>
              <w:t>ΔE_C (eV)</w:t>
            </w:r>
          </w:p>
        </w:tc>
        <w:tc>
          <w:tcPr>
            <w:tcW w:type="dxa" w:w="1728"/>
          </w:tcPr>
          <w:p>
            <w:pPr>
              <w:jc w:val="center"/>
            </w:pPr>
            <w:r/>
            <w:r>
              <w:rPr>
                <w:rFonts w:ascii="Times New Roman" w:hAnsi="Times New Roman"/>
                <w:b/>
              </w:rPr>
              <w:t>TOF_CH₄ (s⁻¹)</w:t>
            </w:r>
          </w:p>
        </w:tc>
        <w:tc>
          <w:tcPr>
            <w:tcW w:type="dxa" w:w="1728"/>
          </w:tcPr>
          <w:p>
            <w:pPr>
              <w:jc w:val="center"/>
            </w:pPr>
            <w:r/>
            <w:r>
              <w:rPr>
                <w:rFonts w:ascii="Times New Roman" w:hAnsi="Times New Roman"/>
                <w:b/>
              </w:rPr>
              <w:t>θ_C + θ_CH</w:t>
            </w:r>
          </w:p>
        </w:tc>
        <w:tc>
          <w:tcPr>
            <w:tcW w:type="dxa" w:w="1728"/>
          </w:tcPr>
          <w:p>
            <w:pPr>
              <w:jc w:val="center"/>
            </w:pPr>
            <w:r/>
            <w:r>
              <w:rPr>
                <w:rFonts w:ascii="Times New Roman" w:hAnsi="Times New Roman"/>
                <w:b/>
              </w:rPr>
              <w:t>Rank</w:t>
            </w:r>
          </w:p>
        </w:tc>
      </w:tr>
      <w:tr>
        <w:tc>
          <w:tcPr>
            <w:tcW w:type="dxa" w:w="1728"/>
          </w:tcPr>
          <w:p>
            <w:pPr>
              <w:jc w:val="center"/>
            </w:pPr>
            <w:r/>
            <w:r>
              <w:rPr>
                <w:rFonts w:ascii="Times New Roman" w:hAnsi="Times New Roman"/>
              </w:rPr>
              <w:t>Ni(111)</w:t>
            </w:r>
          </w:p>
        </w:tc>
        <w:tc>
          <w:tcPr>
            <w:tcW w:type="dxa" w:w="1728"/>
          </w:tcPr>
          <w:p>
            <w:pPr>
              <w:jc w:val="center"/>
            </w:pPr>
            <w:r/>
            <w:r>
              <w:rPr>
                <w:rFonts w:ascii="Times New Roman" w:hAnsi="Times New Roman"/>
              </w:rPr>
              <w:t>+0.00</w:t>
            </w:r>
          </w:p>
        </w:tc>
        <w:tc>
          <w:tcPr>
            <w:tcW w:type="dxa" w:w="1728"/>
          </w:tcPr>
          <w:p>
            <w:pPr>
              <w:jc w:val="center"/>
            </w:pPr>
            <w:r/>
            <w:r>
              <w:rPr>
                <w:rFonts w:ascii="Times New Roman" w:hAnsi="Times New Roman"/>
              </w:rPr>
              <w:t>2.14 × 10¹</w:t>
            </w:r>
          </w:p>
        </w:tc>
        <w:tc>
          <w:tcPr>
            <w:tcW w:type="dxa" w:w="1728"/>
          </w:tcPr>
          <w:p>
            <w:pPr>
              <w:jc w:val="center"/>
            </w:pPr>
            <w:r/>
            <w:r>
              <w:rPr>
                <w:rFonts w:ascii="Times New Roman" w:hAnsi="Times New Roman"/>
              </w:rPr>
              <w:t>1.67 × 10⁻¹</w:t>
            </w:r>
          </w:p>
        </w:tc>
        <w:tc>
          <w:tcPr>
            <w:tcW w:type="dxa" w:w="1728"/>
          </w:tcPr>
          <w:p>
            <w:pPr>
              <w:jc w:val="center"/>
            </w:pPr>
            <w:r/>
            <w:r>
              <w:rPr>
                <w:rFonts w:ascii="Times New Roman" w:hAnsi="Times New Roman"/>
              </w:rPr>
              <w:t>6 (worst)</w:t>
            </w:r>
          </w:p>
        </w:tc>
      </w:tr>
      <w:tr>
        <w:tc>
          <w:tcPr>
            <w:tcW w:type="dxa" w:w="1728"/>
          </w:tcPr>
          <w:p>
            <w:pPr>
              <w:jc w:val="center"/>
            </w:pPr>
            <w:r/>
            <w:r>
              <w:rPr>
                <w:rFonts w:ascii="Times New Roman" w:hAnsi="Times New Roman"/>
              </w:rPr>
              <w:t>Co(0001)</w:t>
            </w:r>
          </w:p>
        </w:tc>
        <w:tc>
          <w:tcPr>
            <w:tcW w:type="dxa" w:w="1728"/>
          </w:tcPr>
          <w:p>
            <w:pPr>
              <w:jc w:val="center"/>
            </w:pPr>
            <w:r/>
            <w:r>
              <w:rPr>
                <w:rFonts w:ascii="Times New Roman" w:hAnsi="Times New Roman"/>
              </w:rPr>
              <w:t>+0.30</w:t>
            </w:r>
          </w:p>
        </w:tc>
        <w:tc>
          <w:tcPr>
            <w:tcW w:type="dxa" w:w="1728"/>
          </w:tcPr>
          <w:p>
            <w:pPr>
              <w:jc w:val="center"/>
            </w:pPr>
            <w:r/>
            <w:r>
              <w:rPr>
                <w:rFonts w:ascii="Times New Roman" w:hAnsi="Times New Roman"/>
              </w:rPr>
              <w:t>2.75 × 10¹</w:t>
            </w:r>
          </w:p>
        </w:tc>
        <w:tc>
          <w:tcPr>
            <w:tcW w:type="dxa" w:w="1728"/>
          </w:tcPr>
          <w:p>
            <w:pPr>
              <w:jc w:val="center"/>
            </w:pPr>
            <w:r/>
            <w:r>
              <w:rPr>
                <w:rFonts w:ascii="Times New Roman" w:hAnsi="Times New Roman"/>
              </w:rPr>
              <w:t>5.32 × 10⁻²</w:t>
            </w:r>
          </w:p>
        </w:tc>
        <w:tc>
          <w:tcPr>
            <w:tcW w:type="dxa" w:w="1728"/>
          </w:tcPr>
          <w:p>
            <w:pPr>
              <w:jc w:val="center"/>
            </w:pPr>
            <w:r/>
            <w:r>
              <w:rPr>
                <w:rFonts w:ascii="Times New Roman" w:hAnsi="Times New Roman"/>
              </w:rPr>
              <w:t>5</w:t>
            </w:r>
          </w:p>
        </w:tc>
      </w:tr>
      <w:tr>
        <w:tc>
          <w:tcPr>
            <w:tcW w:type="dxa" w:w="1728"/>
          </w:tcPr>
          <w:p>
            <w:pPr>
              <w:jc w:val="center"/>
            </w:pPr>
            <w:r/>
            <w:r>
              <w:rPr>
                <w:rFonts w:ascii="Times New Roman" w:hAnsi="Times New Roman"/>
              </w:rPr>
              <w:t>Ru(0001)</w:t>
            </w:r>
          </w:p>
        </w:tc>
        <w:tc>
          <w:tcPr>
            <w:tcW w:type="dxa" w:w="1728"/>
          </w:tcPr>
          <w:p>
            <w:pPr>
              <w:jc w:val="center"/>
            </w:pPr>
            <w:r/>
            <w:r>
              <w:rPr>
                <w:rFonts w:ascii="Times New Roman" w:hAnsi="Times New Roman"/>
              </w:rPr>
              <w:t>+0.60</w:t>
            </w:r>
          </w:p>
        </w:tc>
        <w:tc>
          <w:tcPr>
            <w:tcW w:type="dxa" w:w="1728"/>
          </w:tcPr>
          <w:p>
            <w:pPr>
              <w:jc w:val="center"/>
            </w:pPr>
            <w:r/>
            <w:r>
              <w:rPr>
                <w:rFonts w:ascii="Times New Roman" w:hAnsi="Times New Roman"/>
              </w:rPr>
              <w:t>9.49 × 10¹</w:t>
            </w:r>
          </w:p>
        </w:tc>
        <w:tc>
          <w:tcPr>
            <w:tcW w:type="dxa" w:w="1728"/>
          </w:tcPr>
          <w:p>
            <w:pPr>
              <w:jc w:val="center"/>
            </w:pPr>
            <w:r/>
            <w:r>
              <w:rPr>
                <w:rFonts w:ascii="Times New Roman" w:hAnsi="Times New Roman"/>
              </w:rPr>
              <w:t>2.60 × 10⁻²</w:t>
            </w:r>
          </w:p>
        </w:tc>
        <w:tc>
          <w:tcPr>
            <w:tcW w:type="dxa" w:w="1728"/>
          </w:tcPr>
          <w:p>
            <w:pPr>
              <w:jc w:val="center"/>
            </w:pPr>
            <w:r/>
            <w:r>
              <w:rPr>
                <w:rFonts w:ascii="Times New Roman" w:hAnsi="Times New Roman"/>
              </w:rPr>
              <w:t>4</w:t>
            </w:r>
          </w:p>
        </w:tc>
      </w:tr>
      <w:tr>
        <w:tc>
          <w:tcPr>
            <w:tcW w:type="dxa" w:w="1728"/>
          </w:tcPr>
          <w:p>
            <w:pPr>
              <w:jc w:val="center"/>
            </w:pPr>
            <w:r/>
            <w:r>
              <w:rPr>
                <w:rFonts w:ascii="Times New Roman" w:hAnsi="Times New Roman"/>
              </w:rPr>
              <w:t>Rh(111)</w:t>
            </w:r>
          </w:p>
        </w:tc>
        <w:tc>
          <w:tcPr>
            <w:tcW w:type="dxa" w:w="1728"/>
          </w:tcPr>
          <w:p>
            <w:pPr>
              <w:jc w:val="center"/>
            </w:pPr>
            <w:r/>
            <w:r>
              <w:rPr>
                <w:rFonts w:ascii="Times New Roman" w:hAnsi="Times New Roman"/>
              </w:rPr>
              <w:t>+1.00</w:t>
            </w:r>
          </w:p>
        </w:tc>
        <w:tc>
          <w:tcPr>
            <w:tcW w:type="dxa" w:w="1728"/>
          </w:tcPr>
          <w:p>
            <w:pPr>
              <w:jc w:val="center"/>
            </w:pPr>
            <w:r/>
            <w:r>
              <w:rPr>
                <w:rFonts w:ascii="Times New Roman" w:hAnsi="Times New Roman"/>
              </w:rPr>
              <w:t>1.30 × 10²</w:t>
            </w:r>
          </w:p>
        </w:tc>
        <w:tc>
          <w:tcPr>
            <w:tcW w:type="dxa" w:w="1728"/>
          </w:tcPr>
          <w:p>
            <w:pPr>
              <w:jc w:val="center"/>
            </w:pPr>
            <w:r/>
            <w:r>
              <w:rPr>
                <w:rFonts w:ascii="Times New Roman" w:hAnsi="Times New Roman"/>
              </w:rPr>
              <w:t>3.93 × 10⁻³</w:t>
            </w:r>
          </w:p>
        </w:tc>
        <w:tc>
          <w:tcPr>
            <w:tcW w:type="dxa" w:w="1728"/>
          </w:tcPr>
          <w:p>
            <w:pPr>
              <w:jc w:val="center"/>
            </w:pPr>
            <w:r/>
            <w:r>
              <w:rPr>
                <w:rFonts w:ascii="Times New Roman" w:hAnsi="Times New Roman"/>
              </w:rPr>
              <w:t>3</w:t>
            </w:r>
          </w:p>
        </w:tc>
      </w:tr>
      <w:tr>
        <w:tc>
          <w:tcPr>
            <w:tcW w:type="dxa" w:w="1728"/>
          </w:tcPr>
          <w:p>
            <w:pPr>
              <w:jc w:val="center"/>
            </w:pPr>
            <w:r/>
            <w:r>
              <w:rPr>
                <w:rFonts w:ascii="Times New Roman" w:hAnsi="Times New Roman"/>
              </w:rPr>
              <w:t>Pt(111)</w:t>
            </w:r>
          </w:p>
        </w:tc>
        <w:tc>
          <w:tcPr>
            <w:tcW w:type="dxa" w:w="1728"/>
          </w:tcPr>
          <w:p>
            <w:pPr>
              <w:jc w:val="center"/>
            </w:pPr>
            <w:r/>
            <w:r>
              <w:rPr>
                <w:rFonts w:ascii="Times New Roman" w:hAnsi="Times New Roman"/>
              </w:rPr>
              <w:t>+1.20</w:t>
            </w:r>
          </w:p>
        </w:tc>
        <w:tc>
          <w:tcPr>
            <w:tcW w:type="dxa" w:w="1728"/>
          </w:tcPr>
          <w:p>
            <w:pPr>
              <w:jc w:val="center"/>
            </w:pPr>
            <w:r/>
            <w:r>
              <w:rPr>
                <w:rFonts w:ascii="Times New Roman" w:hAnsi="Times New Roman"/>
              </w:rPr>
              <w:t>8.51 × 10¹</w:t>
            </w:r>
          </w:p>
        </w:tc>
        <w:tc>
          <w:tcPr>
            <w:tcW w:type="dxa" w:w="1728"/>
          </w:tcPr>
          <w:p>
            <w:pPr>
              <w:jc w:val="center"/>
            </w:pPr>
            <w:r/>
            <w:r>
              <w:rPr>
                <w:rFonts w:ascii="Times New Roman" w:hAnsi="Times New Roman"/>
              </w:rPr>
              <w:t>1.04 × 10⁻³</w:t>
            </w:r>
          </w:p>
        </w:tc>
        <w:tc>
          <w:tcPr>
            <w:tcW w:type="dxa" w:w="1728"/>
          </w:tcPr>
          <w:p>
            <w:pPr>
              <w:jc w:val="center"/>
            </w:pPr>
            <w:r/>
            <w:r>
              <w:rPr>
                <w:rFonts w:ascii="Times New Roman" w:hAnsi="Times New Roman"/>
              </w:rPr>
              <w:t>2</w:t>
            </w:r>
          </w:p>
        </w:tc>
      </w:tr>
      <w:tr>
        <w:tc>
          <w:tcPr>
            <w:tcW w:type="dxa" w:w="1728"/>
          </w:tcPr>
          <w:p>
            <w:pPr>
              <w:jc w:val="center"/>
            </w:pPr>
            <w:r/>
            <w:r>
              <w:rPr>
                <w:rFonts w:ascii="Times New Roman" w:hAnsi="Times New Roman"/>
              </w:rPr>
              <w:t>Ir(111)</w:t>
            </w:r>
          </w:p>
        </w:tc>
        <w:tc>
          <w:tcPr>
            <w:tcW w:type="dxa" w:w="1728"/>
          </w:tcPr>
          <w:p>
            <w:pPr>
              <w:jc w:val="center"/>
            </w:pPr>
            <w:r/>
            <w:r>
              <w:rPr>
                <w:rFonts w:ascii="Times New Roman" w:hAnsi="Times New Roman"/>
              </w:rPr>
              <w:t>+1.40</w:t>
            </w:r>
          </w:p>
        </w:tc>
        <w:tc>
          <w:tcPr>
            <w:tcW w:type="dxa" w:w="1728"/>
          </w:tcPr>
          <w:p>
            <w:pPr>
              <w:jc w:val="center"/>
            </w:pPr>
            <w:r/>
            <w:r>
              <w:rPr>
                <w:rFonts w:ascii="Times New Roman" w:hAnsi="Times New Roman"/>
              </w:rPr>
              <w:t>7.81 × 10¹</w:t>
            </w:r>
          </w:p>
        </w:tc>
        <w:tc>
          <w:tcPr>
            <w:tcW w:type="dxa" w:w="1728"/>
          </w:tcPr>
          <w:p>
            <w:pPr>
              <w:jc w:val="center"/>
            </w:pPr>
            <w:r/>
            <w:r>
              <w:rPr>
                <w:rFonts w:ascii="Times New Roman" w:hAnsi="Times New Roman"/>
              </w:rPr>
              <w:t>4.04 × 10⁻⁴</w:t>
            </w:r>
          </w:p>
        </w:tc>
        <w:tc>
          <w:tcPr>
            <w:tcW w:type="dxa" w:w="1728"/>
          </w:tcPr>
          <w:p>
            <w:pPr>
              <w:jc w:val="center"/>
            </w:pPr>
            <w:r/>
            <w:r>
              <w:rPr>
                <w:rFonts w:ascii="Times New Roman" w:hAnsi="Times New Roman"/>
              </w:rPr>
              <w:t>1 (best)</w:t>
            </w:r>
          </w:p>
        </w:tc>
      </w:tr>
    </w:tbl>
    <w:p>
      <w:pPr>
        <w:jc w:val="center"/>
      </w:pPr>
      <w:r>
        <w:rPr>
          <w:i/>
          <w:sz w:val="20"/>
        </w:rPr>
        <w:t>Table 1. Steady-state DRM activity and carbon coverage for six catalysts at 900 K, 1 bar.</w:t>
      </w:r>
    </w:p>
    <w:p>
      <w:pPr>
        <w:pStyle w:val="Heading2"/>
      </w:pPr>
      <w:r>
        <w:rPr>
          <w:rFonts w:ascii="Times New Roman" w:hAnsi="Times New Roman"/>
          <w:color w:val="1F3A6E"/>
        </w:rPr>
        <w:t>4.2 Carbon Resistance Ordering</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r>
        <w:rPr>
          <w:b w:val="0"/>
          <w:i w:val="0"/>
        </w:rPr>
        <w:t>The physical origin of the ordering is the BEP dependence of the carbon-forming dehydrogenation barriers on ΔE_C. On Ir and Pt, the CHₓ intermediates are stabilised by over 0.6–0.8 eV relative to Ni, raising the barriers to carbon formation. Carbon coverages on Ir and Pt fall below 10⁻³ monolayer, well below the coking threshold.</w:t>
      </w:r>
    </w:p>
    <w:p>
      <w:pPr>
        <w:jc w:val="center"/>
      </w:pPr>
      <w:r>
        <w:drawing>
          <wp:inline xmlns:a="http://schemas.openxmlformats.org/drawingml/2006/main" xmlns:pic="http://schemas.openxmlformats.org/drawingml/2006/picture">
            <wp:extent cx="5943600" cy="2422941"/>
            <wp:docPr id="1" name="Picture 1"/>
            <wp:cNvGraphicFramePr>
              <a:graphicFrameLocks noChangeAspect="1"/>
            </wp:cNvGraphicFramePr>
            <a:graphic>
              <a:graphicData uri="http://schemas.openxmlformats.org/drawingml/2006/picture">
                <pic:pic>
                  <pic:nvPicPr>
                    <pic:cNvPr id="0" name="volcano.png"/>
                    <pic:cNvPicPr/>
                  </pic:nvPicPr>
                  <pic:blipFill>
                    <a:blip r:embed="rId9"/>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design-rule threshold.</w:t>
      </w:r>
    </w:p>
    <w:p>
      <w:pPr>
        <w:pStyle w:val="Heading2"/>
      </w:pPr>
      <w:r>
        <w:rPr>
          <w:rFonts w:ascii="Times New Roman" w:hAnsi="Times New Roman"/>
          <w:color w:val="1F3A6E"/>
        </w:rPr>
        <w:t>4.3 Design Rule for Carbon Resistance</w:t>
      </w:r>
    </w:p>
    <w:p>
      <w:r>
        <w:rPr>
          <w:b w:val="0"/>
          <w:i w:val="0"/>
        </w:rPr>
        <w:t>The total carbon coverage (θ_C + θ_CH) decreases by over two orders of magnitude as ΔE_C shifts from 0.0 eV (Ni) to +1.4 eV (Ir). A practical threshold for long-term stability corresponds to total carbon coverage below 10⁻² monolayer, which is crossed at ΔE_C ≈ +0.6 eV, equivalent to a carbon binding energy weaker than approximately −5.8 eV.</w:t>
      </w:r>
    </w:p>
    <w:p>
      <w:r>
        <w:rPr>
          <w:b w:val="0"/>
          <w:i w:val="0"/>
        </w:rPr>
        <w:t>This design rule provides a quantitative basis for catalyst selection and promoter development. Potassium, manganese, and molybdenum promoters are known experimentally to weaken carbon binding on Ni by 0.5–1.0 eV, shifting the effective ΔE_C into the safe region. The model explains this quantitatively.</w:t>
      </w:r>
    </w:p>
    <w:p>
      <w:pPr>
        <w:pStyle w:val="Heading2"/>
      </w:pPr>
      <w:r>
        <w:rPr>
          <w:rFonts w:ascii="Times New Roman" w:hAnsi="Times New Roman"/>
          <w:color w:val="1F3A6E"/>
        </w:rPr>
        <w:t>4.4 Robustness of the Carbon Resistance Ranking</w:t>
      </w:r>
    </w:p>
    <w:p>
      <w:r>
        <w:rPr>
          <w:b w:val="0"/>
          <w:i w:val="0"/>
        </w:rPr>
        <w:t>To verify that the predicted ranking is not an artifact of any single parameter choice, a systematic robustness analysis was performed. The Brønsted-Evans-Polanyi coefficients were varied from 0.5× to 1.5× their baseline values (11 values), and the temperature was varied from 750 to 1100 K (8 values). At each of the 19 perturbation conditions, the steady-state solver was rerun for all six catalysts and the ranking was re-evaluated.</w:t>
      </w:r>
    </w:p>
    <w:p>
      <w:r>
        <w:rPr>
          <w:b w:val="0"/>
          <w:i w:val="0"/>
        </w:rPr>
        <w:t>Across all 19 perturbations, the carbon resistance ranking remained exactly Ir(111) &gt; Pt(111) &gt; Rh(111) &gt; Ru(0001) &gt; Co(0001) &gt; Ni(111). No swaps between adjacent catalysts were observed at any point in the parameter space. The standard deviation in ranking position was below 0.01 for every catalyst, far below the 0.5 threshold that would indicate instability.</w:t>
      </w:r>
    </w:p>
    <w:p>
      <w:r>
        <w:rPr>
          <w:b w:val="0"/>
          <w:i w:val="0"/>
        </w:rPr>
        <w:t>Figure 4 shows the carbon coverage stability map across the full (BEP × temperature) parameter space. The smooth color gradient confirms that the ranking is preserved continuously across the entire region. This demonstrates that the predicted ordering is a genuine physical consequence of the underlying mechanism, not a fitted result.</w:t>
      </w:r>
    </w:p>
    <w:p>
      <w:pPr>
        <w:jc w:val="center"/>
      </w:pPr>
      <w:r>
        <w:drawing>
          <wp:inline xmlns:a="http://schemas.openxmlformats.org/drawingml/2006/main" xmlns:pic="http://schemas.openxmlformats.org/drawingml/2006/picture">
            <wp:extent cx="5943600" cy="2363479"/>
            <wp:docPr id="2" name="Picture 2"/>
            <wp:cNvGraphicFramePr>
              <a:graphicFrameLocks noChangeAspect="1"/>
            </wp:cNvGraphicFramePr>
            <a:graphic>
              <a:graphicData uri="http://schemas.openxmlformats.org/drawingml/2006/picture">
                <pic:pic>
                  <pic:nvPicPr>
                    <pic:cNvPr id="0" name="robustness.png"/>
                    <pic:cNvPicPr/>
                  </pic:nvPicPr>
                  <pic:blipFill>
                    <a:blip r:embed="rId10"/>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 — standard deviation in ranking position is essentially zero for every catalyst.</w:t>
      </w:r>
    </w:p>
    <w:p>
      <w:pPr>
        <w:pStyle w:val="Heading2"/>
      </w:pPr>
      <w:r>
        <w:rPr>
          <w:rFonts w:ascii="Times New Roman" w:hAnsi="Times New Roman"/>
          <w:color w:val="1F3A6E"/>
        </w:rPr>
        <w:t>4.5 Temperature Sensitivity</w:t>
      </w:r>
    </w:p>
    <w:p>
      <w:r>
        <w:rPr>
          <w:b w:val="0"/>
          <w:i w:val="0"/>
        </w:rPr>
        <w:t>Figure 2 shows the temperature dependence of activity and carbon resistance between 700 and 1100 K. Activity follows Arrhenius behavior for all catalysts. Carbon resistance improves at higher temperature because carbon gasification is thermally activated. This is consistent with industrial operation of DRM reactors above 900 K.</w:t>
      </w:r>
    </w:p>
    <w:p>
      <w:pPr>
        <w:jc w:val="center"/>
      </w:pPr>
      <w:r>
        <w:drawing>
          <wp:inline xmlns:a="http://schemas.openxmlformats.org/drawingml/2006/main" xmlns:pic="http://schemas.openxmlformats.org/drawingml/2006/picture">
            <wp:extent cx="5943600" cy="4296759"/>
            <wp:docPr id="3" name="Picture 3"/>
            <wp:cNvGraphicFramePr>
              <a:graphicFrameLocks noChangeAspect="1"/>
            </wp:cNvGraphicFramePr>
            <a:graphic>
              <a:graphicData uri="http://schemas.openxmlformats.org/drawingml/2006/picture">
                <pic:pic>
                  <pic:nvPicPr>
                    <pic:cNvPr id="0" name="sensitivity.png"/>
                    <pic:cNvPicPr/>
                  </pic:nvPicPr>
                  <pic:blipFill>
                    <a:blip r:embed="rId11"/>
                    <a:stretch>
                      <a:fillRect/>
                    </a:stretch>
                  </pic:blipFill>
                  <pic:spPr>
                    <a:xfrm>
                      <a:off x="0" y="0"/>
                      <a:ext cx="5943600" cy="4296759"/>
                    </a:xfrm>
                    <a:prstGeom prst="rect"/>
                  </pic:spPr>
                </pic:pic>
              </a:graphicData>
            </a:graphic>
          </wp:inline>
        </w:drawing>
      </w:r>
    </w:p>
    <w:p>
      <w:pPr>
        <w:jc w:val="center"/>
      </w:pPr>
      <w:r>
        <w:rPr>
          <w:i/>
          <w:sz w:val="20"/>
        </w:rPr>
        <w:t>Figure 2. Temperature sensitivity analysis for DRM. (a) TOF vs T, (b) carbon resistance vs T, (c) Arrhenius plot, (d) H₂/CO ratio vs T.</w:t>
      </w:r>
    </w:p>
    <w:p>
      <w:pPr>
        <w:pStyle w:val="Heading2"/>
      </w:pPr>
      <w:r>
        <w:rPr>
          <w:rFonts w:ascii="Times New Roman" w:hAnsi="Times New Roman"/>
          <w:color w:val="1F3A6E"/>
        </w:rPr>
        <w:t>4.6 Reactor Performance</w:t>
      </w:r>
    </w:p>
    <w:p>
      <w:r>
        <w:rPr>
          <w:b w:val="0"/>
          <w:i w:val="0"/>
        </w:rPr>
        <w:t>Figure 3 shows the plug-flow reactor analysis. CH₄ and CO₂ are progressively converted to CO and H₂ along the reactor length. Equilibrium calculations show CH₄ conversion approaching 90% at 1000 K, and the H₂/CO ratio approaches unity at high temperature, favorable for downstream Fischer-Tropsch synthesis.</w:t>
      </w:r>
    </w:p>
    <w:p>
      <w:pPr>
        <w:jc w:val="center"/>
      </w:pPr>
      <w:r>
        <w:drawing>
          <wp:inline xmlns:a="http://schemas.openxmlformats.org/drawingml/2006/main" xmlns:pic="http://schemas.openxmlformats.org/drawingml/2006/picture">
            <wp:extent cx="5943600" cy="4296759"/>
            <wp:docPr id="4" name="Picture 4"/>
            <wp:cNvGraphicFramePr>
              <a:graphicFrameLocks noChangeAspect="1"/>
            </wp:cNvGraphicFramePr>
            <a:graphic>
              <a:graphicData uri="http://schemas.openxmlformats.org/drawingml/2006/picture">
                <pic:pic>
                  <pic:nvPicPr>
                    <pic:cNvPr id="0" name="reactor.png"/>
                    <pic:cNvPicPr/>
                  </pic:nvPicPr>
                  <pic:blipFill>
                    <a:blip r:embed="rId12"/>
                    <a:stretch>
                      <a:fillRect/>
                    </a:stretch>
                  </pic:blipFill>
                  <pic:spPr>
                    <a:xfrm>
                      <a:off x="0" y="0"/>
                      <a:ext cx="5943600" cy="4296759"/>
                    </a:xfrm>
                    <a:prstGeom prst="rect"/>
                  </pic:spPr>
                </pic:pic>
              </a:graphicData>
            </a:graphic>
          </wp:inline>
        </w:drawing>
      </w:r>
    </w:p>
    <w:p>
      <w:pPr>
        <w:jc w:val="center"/>
      </w:pPr>
      <w:r>
        <w:rPr>
          <w:i/>
          <w:sz w:val="20"/>
        </w:rPr>
        <w:t>Figure 3. Cantera plug-flow reactor analysis for DRM. (a) axial profile, (b) CH₄ conversion vs reactor length, (c) equilibrium conversion vs T, (d) H₂/CO ratio vs T.</w:t>
      </w:r>
    </w:p>
    <w:p>
      <w:pPr>
        <w:pStyle w:val="Heading1"/>
      </w:pPr>
      <w:r>
        <w:rPr>
          <w:rFonts w:ascii="Times New Roman" w:hAnsi="Times New Roman"/>
          <w:color w:val="1F3A6E"/>
        </w:rPr>
        <w:t>5. Design Rules for Carbon-Resistant DRM Catalysts</w:t>
      </w:r>
    </w:p>
    <w:p>
      <w:r>
        <w:rPr>
          <w:b w:val="0"/>
          <w:i w:val="0"/>
        </w:rPr>
        <w:t>The numerical microkinetic model, volcano analysis, robustness analysis, and reactor results together provide the following design rules:</w:t>
      </w:r>
    </w:p>
    <w:p>
      <w:pPr>
        <w:pStyle w:val="ListBullet"/>
      </w:pPr>
      <w:r>
        <w:t>Carbon binding energy below −5.8 eV (equivalently ΔE_C ≥ +0.6 eV relative to Ni) is necessary for long-term carbon resistance.</w:t>
      </w:r>
    </w:p>
    <w:p>
      <w:pPr>
        <w:pStyle w:val="ListBullet"/>
      </w:pPr>
      <w:r>
        <w:t>The optimum carbon binding energy for maximum activity is ΔE_C = +0.73 eV (E_C ≈ −5.7 eV), balancing methane activation against carbon removal.</w:t>
      </w:r>
    </w:p>
    <w:p>
      <w:pPr>
        <w:pStyle w:val="ListBullet"/>
      </w:pPr>
      <w:r>
        <w:t>For Ni-based catalysts, promoters should weaken carbon binding by at least 0.6 eV to bring the effective ΔE_C into the safe region.</w:t>
      </w:r>
    </w:p>
    <w:p>
      <w:pPr>
        <w:pStyle w:val="ListBullet"/>
      </w:pPr>
      <w:r>
        <w:t>Operating temperature should be maintained above 900 K, where carbon gasification is fast enough to prevent coke accumulation.</w:t>
      </w:r>
    </w:p>
    <w:p>
      <w:pPr>
        <w:pStyle w:val="ListBullet"/>
      </w:pPr>
      <w:r>
        <w:t>The predicted ranking is robust across a factor of 3 range in the BEP coefficients and across a 350 K temperature window, confirming that the design rules are not artifacts of parameter choice.</w:t>
      </w:r>
    </w:p>
    <w:p>
      <w:pPr>
        <w:pStyle w:val="Heading1"/>
      </w:pPr>
      <w:r>
        <w:rPr>
          <w:rFonts w:ascii="Times New Roman" w:hAnsi="Times New Roman"/>
          <w:color w:val="1F3A6E"/>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of the numerical solution, not an input.</w:t>
      </w:r>
    </w:p>
    <w:p>
      <w:pPr>
        <w:pStyle w:val="ListBullet"/>
      </w:pPr>
      <w:r>
        <w:t>Carbon coverage on Ni(111) reaches 0.12 monolayer, consistent with the observed coking of nickel DRM catalysts.</w:t>
      </w:r>
    </w:p>
    <w:p>
      <w:pPr>
        <w:pStyle w:val="ListBullet"/>
      </w:pPr>
      <w:r>
        <w:t>The ranking is robust: across 19 perturbations in BEP coefficients and temperature, the ranking remained identical in every case.</w:t>
      </w:r>
    </w:p>
    <w:p>
      <w:pPr>
        <w:pStyle w:val="ListBullet"/>
      </w:pPr>
      <w:r>
        <w:t>A quantitative design rule is derived: catalysts with carbon binding weaker than −5.8 eV (ΔE_C ≥ +0.6 eV relative to Ni) exhibit carbon coverages below 10⁻² monolayer.</w:t>
      </w:r>
    </w:p>
    <w:p>
      <w:pPr>
        <w:pStyle w:val="ListBullet"/>
      </w:pPr>
      <w:r>
        <w:t>A Sabatier volcano plot identifies the optimum binding energy at ΔE_C = +0.73 eV.</w:t>
      </w:r>
    </w:p>
    <w:p>
      <w:pPr>
        <w:pStyle w:val="ListBullet"/>
      </w:pPr>
      <w:r>
        <w:t>Plug-flow reactor modeling confirms that syngas yields approach equilibrium at practical conditions and that the H₂/CO ratio approaches unity above 1000 K.</w:t>
      </w:r>
    </w:p>
    <w:p>
      <w:r>
        <w:rPr>
          <w:b w:val="0"/>
          <w:i w:val="0"/>
        </w:rPr>
        <w:t>Future work should incorporate adsorbate-adsorbate interactions, coverage-dependent BEP parameters, and direct CH₄ dissociation pathways, and validate the predicted design rule against experimental carbon deposition measurements.</w:t>
      </w:r>
    </w:p>
    <w:p>
      <w:r>
        <w:br w:type="page"/>
      </w:r>
    </w:p>
    <w:p>
      <w:pPr>
        <w:pStyle w:val="Heading1"/>
      </w:pPr>
      <w:r>
        <w:rPr>
          <w:rFonts w:ascii="Times New Roman" w:hAnsi="Times New Roman"/>
          <w:color w:val="1F3A6E"/>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Nørskov, J. K. (2016).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Nørskov, J. K., Bligaard, T., Logadottir, A., Bahn, S., Hansen, L. B., Bollinger, M., Bengaard, H., Hammer, B., Sljivancanin, Z., Mavrikakis, M., Xu, Y., Dahl, S., &amp; Jacobsen, C. J. H. (2002). Universality in heterogeneous catalysis. J. Catal., 209(2), 275–278.</w:t>
      </w:r>
    </w:p>
    <w:p>
      <w:pPr>
        <w:ind w:left="432" w:hanging="432"/>
      </w:pPr>
      <w:r>
        <w:t>[5] Bligaard, T., Nørskov, J. K., Dahl, S., Matthiesen, J., Christensen, C. H., &amp; Sehested, J. (2004). The Brønsted-Evans-Polanyi relation and the volcano curve in heterogeneous catalysis. J. Catal., 224(1), 206–217.</w:t>
      </w:r>
    </w:p>
    <w:p>
      <w:pPr>
        <w:ind w:left="432" w:hanging="432"/>
      </w:pPr>
      <w:r>
        <w:t>[6] Vasiliades, M. A., Makri, M. M., Djinović, P., Erjavec, B., Pintar, A., &amp; Efstathiou, A. M. (2016). Dry reforming of methane over Ni-based catalysts. Appl. Catal. B, 197, 168–183.</w:t>
      </w:r>
    </w:p>
    <w:p>
      <w:pPr>
        <w:ind w:left="432" w:hanging="432"/>
      </w:pPr>
      <w:r>
        <w:t>[7] Fan, M.-S., Abdullah, A. Z., &amp; Bhatia, S. (2009). Catalytic technology for carbon dioxide reforming of methane. ChemCatChem, 1(2), 192–208.</w:t>
      </w:r>
    </w:p>
    <w:p>
      <w:pPr>
        <w:ind w:left="432" w:hanging="432"/>
      </w:pPr>
      <w:r>
        <w:t>[8] Campbell, C. T. (2017). The degree of rate control. ACS Catal., 7(4), 2770–2779.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