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Numerical Microkinetic Modeling of Dry Reforming of Methane:</w:t>
        <w:br/>
        <w:t>A 14-Step Mechanism for Carbon-Resistant Catalyst Design</w:t>
      </w:r>
    </w:p>
    <w:p/>
    <w:p>
      <w:pPr>
        <w:jc w:val="center"/>
      </w:pPr>
      <w:r>
        <w:rPr>
          <w:b/>
          <w:sz w:val="28"/>
        </w:rPr>
        <w:t>Harpreet Thappa  2024BCHE034</w:t>
      </w:r>
    </w:p>
    <w:p>
      <w:pPr>
        <w:jc w:val="center"/>
      </w:pPr>
      <w:r>
        <w:rPr>
          <w:sz w:val="22"/>
        </w:rPr>
        <w:t>Course: CREII (Computational Study of Heterogeneous Catalytic Reactions)</w:t>
        <w:br/>
        <w:t>Department of Chemical Engineering</w:t>
        <w:br/>
        <w:t>National Institute of Technology Srinagar</w:t>
        <w:br/>
        <w:t>happythappa5@gmail.com</w:t>
      </w:r>
    </w:p>
    <w:p/>
    <w:p>
      <w:pPr>
        <w:jc w:val="center"/>
      </w:pPr>
      <w:r>
        <w:rPr>
          <w:i/>
        </w:rPr>
        <w:t>Submitted: November 2026</w:t>
      </w:r>
    </w:p>
    <w:p>
      <w:r>
        <w:br w:type="page"/>
      </w:r>
    </w:p>
    <w:p>
      <w:pPr>
        <w:keepNext/>
        <w:spacing w:before="280" w:after="120"/>
        <w:jc w:val="left"/>
      </w:pPr>
      <w:r>
        <w:rPr>
          <w:rFonts w:ascii="Times New Roman" w:hAnsi="Times New Roman"/>
          <w:b/>
          <w:color w:val="1F3A6E"/>
          <w:sz w:val="30"/>
        </w:rPr>
        <w:t>Abstract</w:t>
      </w:r>
    </w:p>
    <w:p>
      <w:r>
        <w:rPr>
          <w:b w:val="0"/>
          <w:i w:val="0"/>
        </w:rPr>
        <w:t>Dry reforming of methane (DRM, CH₄ + CO₂ → 2 CO + 2 H₂) converts two greenhouse gases into syngas, a valuable feedstock for Fischer-Tropsch synthesis and methanol production. Carbon deposition remains the principal obstacle to industrial deployment of nickel-based DRM catalysts. In this work, a numerical microkinetic model based on a 14-step elementary mechanism was developed and solved to steady state using stiff ODE integration. Adsorption energies and activation barriers were taken from published DFT studies. Rate constants follow Arrhenius kinetics with Hertz-Knudsen adsorption fluxes. Steady-state surface coverages and turnover frequencies were computed for six transition metals (Ni, Co, Ru, Rh, Pt, Ir) at 900 K and 1 bar. The model produces the experimentally established ordering of carbon resistance (Ir &gt; Pt &gt; Rh &gt; Ru &gt; Co &gt; Ni) directly from the numerical solution, without any post-hoc adjustment. The carbon coverage on Ni(111) reaches 0.12 monolayer, consistent with reported coke formation on nickel. A systematic robustness analysis across 19 perturbations in BEP coefficient and temperature confirmed that the ranking is stable in every case. A Sabatier volcano plot identifies the optimum carbon binding energy at ΔE_C = +0.73 eV. Degree of rate control analysis shows that CO desorption is the rate-determining step on all six catalysts, with the sum of DRC values equal to 1.0, validating the numerical solver. A Cantera plug-flow reactor model confirms that syngas yields approach equilibrium at practical conditions, and a feed-ratio study shows that CO₂-rich feeds improve CH₄ conversion and reduce carbon risk.</w:t>
      </w:r>
    </w:p>
    <w:p>
      <w:r>
        <w:rPr>
          <w:b/>
        </w:rPr>
        <w:t xml:space="preserve">Keywords: </w:t>
      </w:r>
      <w:r>
        <w:t>Dry reforming of methane, carbon deposition, numerical microkinetics, Sabatier volcano, degree of rate control, feed ratio, syngas</w:t>
      </w:r>
    </w:p>
    <w:p>
      <w:r>
        <w:br w:type="page"/>
      </w:r>
    </w:p>
    <w:p>
      <w:pPr>
        <w:keepNext/>
        <w:spacing w:before="280" w:after="120"/>
        <w:jc w:val="left"/>
      </w:pPr>
      <w:r>
        <w:rPr>
          <w:rFonts w:ascii="Times New Roman" w:hAnsi="Times New Roman"/>
          <w:b/>
          <w:color w:val="1F3A6E"/>
          <w:sz w:val="30"/>
        </w:rPr>
        <w:t>1. Introduction and Significance</w:t>
      </w:r>
    </w:p>
    <w:p>
      <w:pPr>
        <w:keepNext/>
        <w:spacing w:before="280" w:after="120"/>
        <w:jc w:val="left"/>
      </w:pPr>
      <w:r>
        <w:rPr>
          <w:rFonts w:ascii="Times New Roman" w:hAnsi="Times New Roman"/>
          <w:b/>
          <w:color w:val="2E508A"/>
          <w:sz w:val="26"/>
        </w:rPr>
        <w:t>1.1 Motivation</w:t>
      </w:r>
    </w:p>
    <w:p>
      <w:r>
        <w:rPr>
          <w:b w:val="0"/>
          <w:i w:val="0"/>
        </w:rPr>
        <w:t>Methane and carbon dioxide are the two most significant anthropogenic greenhouse gases. Methane has a global warming potential approximately 28 times that of CO₂ over a 100-year horizon, making its capture and utilization a high-priority target. Dry reforming of methane (DRM) consumes both gases in a single reaction (Eq. 1):</w:t>
      </w:r>
    </w:p>
    <w:p>
      <w:pPr>
        <w:jc w:val="center"/>
      </w:pPr>
      <w:r>
        <w:rPr>
          <w:i/>
        </w:rPr>
        <w:t>CH₄ + CO₂ → 2 CO + 2 H₂      ΔH°₂₉₈ = +247 kJ/mol      (Eq. 1)</w:t>
      </w:r>
    </w:p>
    <w:p>
      <w:r>
        <w:rPr>
          <w:b w:val="0"/>
          <w:i w:val="0"/>
        </w:rPr>
        <w:t>The reaction produces syngas with an H₂/CO ratio close to unity, which is ideal for Fischer-Tropsch synthesis and methanol production. Because DRM is strongly endothermic, it operates at 700–1000 °C where thermodynamic conversion is favorable.</w:t>
      </w:r>
    </w:p>
    <w:p>
      <w:r>
        <w:rPr>
          <w:b w:val="0"/>
          <w:i w:val="0"/>
        </w:rPr>
        <w:t>Nickel is the most widely used DRM catalyst because of its low cost and high activity. However, Ni binds carbon strongly, leading to coke formation and rapid deactivation. Industrial practice requires promoters (K, Mn, Mo) to modify the surface chemistry. The central challenge is to design catalysts that remain active while resisting carbon deposition.</w:t>
      </w:r>
    </w:p>
    <w:p>
      <w:pPr>
        <w:keepNext/>
        <w:spacing w:before="280" w:after="120"/>
        <w:jc w:val="left"/>
      </w:pPr>
      <w:r>
        <w:rPr>
          <w:rFonts w:ascii="Times New Roman" w:hAnsi="Times New Roman"/>
          <w:b/>
          <w:color w:val="2E508A"/>
          <w:sz w:val="26"/>
        </w:rPr>
        <w:t>1.2 Objectives</w:t>
      </w:r>
    </w:p>
    <w:p>
      <w:r>
        <w:rPr>
          <w:b w:val="0"/>
          <w:i w:val="0"/>
        </w:rPr>
        <w:t>This study has the following objectives:</w:t>
      </w:r>
    </w:p>
    <w:p>
      <w:pPr>
        <w:pStyle w:val="ListBullet"/>
      </w:pPr>
      <w:r>
        <w:t>To construct a 14-step elementary reaction mechanism for DRM from published DFT data.</w:t>
      </w:r>
    </w:p>
    <w:p>
      <w:pPr>
        <w:pStyle w:val="ListBullet"/>
      </w:pPr>
      <w:r>
        <w:t>To solve the coupled steady-state microkinetic equations numerically using stiff ODE integration.</w:t>
      </w:r>
    </w:p>
    <w:p>
      <w:pPr>
        <w:pStyle w:val="ListBullet"/>
      </w:pPr>
      <w:r>
        <w:t>To compute surface coverages and turnover frequencies for six transition metals (Ni, Co, Ru, Rh, Pt, Ir).</w:t>
      </w:r>
    </w:p>
    <w:p>
      <w:pPr>
        <w:pStyle w:val="ListBullet"/>
      </w:pPr>
      <w:r>
        <w:t>To identify the design rules that determine carbon resistance.</w:t>
      </w:r>
    </w:p>
    <w:p>
      <w:pPr>
        <w:pStyle w:val="ListBullet"/>
      </w:pPr>
      <w:r>
        <w:t>To verify that the predicted ranking is robust to parameter variation.</w:t>
      </w:r>
    </w:p>
    <w:p>
      <w:pPr>
        <w:pStyle w:val="ListBullet"/>
      </w:pPr>
      <w:r>
        <w:t>To identify the rate-determining step on each catalyst via Degree of Rate Control analysis.</w:t>
      </w:r>
    </w:p>
    <w:p>
      <w:pPr>
        <w:pStyle w:val="ListBullet"/>
      </w:pPr>
      <w:r>
        <w:t>To couple the microkinetic model to a plug-flow reactor model and study the effect of feed ratio.</w:t>
      </w:r>
    </w:p>
    <w:p>
      <w:pPr>
        <w:keepNext/>
        <w:spacing w:before="280" w:after="120"/>
        <w:jc w:val="left"/>
      </w:pPr>
      <w:r>
        <w:rPr>
          <w:rFonts w:ascii="Times New Roman" w:hAnsi="Times New Roman"/>
          <w:b/>
          <w:color w:val="2E508A"/>
          <w:sz w:val="26"/>
        </w:rPr>
        <w:t>1.3 Significance</w:t>
      </w:r>
    </w:p>
    <w:p>
      <w:r>
        <w:rPr>
          <w:b w:val="0"/>
          <w:i w:val="0"/>
        </w:rPr>
        <w:t>This work demonstrates that the experimentally observed ordering of carbon resistance among transition metals emerges naturally from a numerical steady-state solution of the DRM mechanism. The model does not assume the ranking; it predicts it. Robustness, degree-of-rate-control, and feed-ratio analyses confirm the internal consistency of the mechanism and identify the mechanistic origin of the observed trends.</w:t>
      </w:r>
    </w:p>
    <w:p>
      <w:pPr>
        <w:keepNext/>
        <w:spacing w:before="280" w:after="120"/>
        <w:jc w:val="left"/>
      </w:pPr>
      <w:r>
        <w:rPr>
          <w:rFonts w:ascii="Times New Roman" w:hAnsi="Times New Roman"/>
          <w:b/>
          <w:color w:val="1F3A6E"/>
          <w:sz w:val="30"/>
        </w:rPr>
        <w:t>2. Proposed Elementary Reaction Mechanism</w:t>
      </w:r>
    </w:p>
    <w:p>
      <w:r>
        <w:rPr>
          <w:b w:val="0"/>
          <w:i w:val="0"/>
        </w:rPr>
        <w:t>DRM proceeds through two coupled networks: sequential dehydrogenation of adsorbed methane to CHₓ fragments (eventually to atomic carbon), and dissociative activation of CO₂ to CO and O. Surface oxygen then removes carbon via oxidation or the Boudouard reaction. Carbon accumulates when the formation rate exceeds the removal rate. The 14 elementary steps used in this study are listed below. The asterisk (*) denotes an empty site.</w:t>
      </w:r>
    </w:p>
    <w:p>
      <w:pPr>
        <w:ind w:left="576"/>
      </w:pPr>
      <w:r>
        <w:t xml:space="preserve">1.  </w:t>
      </w:r>
      <w:r>
        <w:rPr>
          <w:i/>
        </w:rPr>
        <w:t>CH₄(g) + 2* ⇌ CH₃* + H*</w:t>
      </w:r>
    </w:p>
    <w:p>
      <w:pPr>
        <w:ind w:left="576"/>
      </w:pPr>
      <w:r>
        <w:t xml:space="preserve">2.  </w:t>
      </w:r>
      <w:r>
        <w:rPr>
          <w:i/>
        </w:rPr>
        <w:t>CH₃* + * ⇌ CH₂* + H*</w:t>
      </w:r>
    </w:p>
    <w:p>
      <w:pPr>
        <w:ind w:left="576"/>
      </w:pPr>
      <w:r>
        <w:t xml:space="preserve">3.  </w:t>
      </w:r>
      <w:r>
        <w:rPr>
          <w:i/>
        </w:rPr>
        <w:t>CH₂* + * ⇌ CH* + H*</w:t>
      </w:r>
    </w:p>
    <w:p>
      <w:pPr>
        <w:ind w:left="576"/>
      </w:pPr>
      <w:r>
        <w:t xml:space="preserve">4.  </w:t>
      </w:r>
      <w:r>
        <w:rPr>
          <w:i/>
        </w:rPr>
        <w:t>CH* + * ⇌ C* + H*</w:t>
      </w:r>
    </w:p>
    <w:p>
      <w:pPr>
        <w:ind w:left="576"/>
      </w:pPr>
      <w:r>
        <w:t xml:space="preserve">5.  </w:t>
      </w:r>
      <w:r>
        <w:rPr>
          <w:i/>
        </w:rPr>
        <w:t>CO₂(g) + * ⇌ CO₂*</w:t>
      </w:r>
    </w:p>
    <w:p>
      <w:pPr>
        <w:ind w:left="576"/>
      </w:pPr>
      <w:r>
        <w:t xml:space="preserve">6.  </w:t>
      </w:r>
      <w:r>
        <w:rPr>
          <w:i/>
        </w:rPr>
        <w:t>CO₂* + * ⇌ CO* + O*</w:t>
      </w:r>
    </w:p>
    <w:p>
      <w:pPr>
        <w:ind w:left="576"/>
      </w:pPr>
      <w:r>
        <w:t xml:space="preserve">7.  </w:t>
      </w:r>
      <w:r>
        <w:rPr>
          <w:i/>
        </w:rPr>
        <w:t>C* + O* ⇌ CO* + *</w:t>
      </w:r>
    </w:p>
    <w:p>
      <w:pPr>
        <w:ind w:left="576"/>
      </w:pPr>
      <w:r>
        <w:t xml:space="preserve">8.  </w:t>
      </w:r>
      <w:r>
        <w:rPr>
          <w:i/>
        </w:rPr>
        <w:t>C* + CO₂* ⇌ 2 CO*</w:t>
      </w:r>
    </w:p>
    <w:p>
      <w:pPr>
        <w:ind w:left="576"/>
      </w:pPr>
      <w:r>
        <w:t xml:space="preserve">9.  </w:t>
      </w:r>
      <w:r>
        <w:rPr>
          <w:i/>
        </w:rPr>
        <w:t>CO* ⇌ CO(g) + *</w:t>
      </w:r>
    </w:p>
    <w:p>
      <w:pPr>
        <w:ind w:left="576"/>
      </w:pPr>
      <w:r>
        <w:t xml:space="preserve">10.  </w:t>
      </w:r>
      <w:r>
        <w:rPr>
          <w:i/>
        </w:rPr>
        <w:t>2 H* ⇌ H₂(g) + 2*</w:t>
      </w:r>
    </w:p>
    <w:p>
      <w:pPr>
        <w:ind w:left="576"/>
      </w:pPr>
      <w:r>
        <w:t xml:space="preserve">11.  </w:t>
      </w:r>
      <w:r>
        <w:rPr>
          <w:i/>
        </w:rPr>
        <w:t>O* + H* ⇌ OH* + *</w:t>
      </w:r>
    </w:p>
    <w:p>
      <w:pPr>
        <w:ind w:left="576"/>
      </w:pPr>
      <w:r>
        <w:t xml:space="preserve">12.  </w:t>
      </w:r>
      <w:r>
        <w:rPr>
          <w:i/>
        </w:rPr>
        <w:t>OH* + H* ⇌ H₂O* + *</w:t>
      </w:r>
    </w:p>
    <w:p>
      <w:pPr>
        <w:ind w:left="576"/>
      </w:pPr>
      <w:r>
        <w:t xml:space="preserve">13.  </w:t>
      </w:r>
      <w:r>
        <w:rPr>
          <w:i/>
        </w:rPr>
        <w:t>H₂O* ⇌ H₂O(g) + *</w:t>
      </w:r>
    </w:p>
    <w:p>
      <w:pPr>
        <w:ind w:left="576"/>
      </w:pPr>
      <w:r>
        <w:t xml:space="preserve">14.  </w:t>
      </w:r>
      <w:r>
        <w:rPr>
          <w:i/>
        </w:rPr>
        <w:t>CH* + O* ⇌ CO* + H*</w:t>
      </w:r>
    </w:p>
    <w:p/>
    <w:p>
      <w:r>
        <w:rPr>
          <w:b w:val="0"/>
          <w:i w:val="0"/>
        </w:rPr>
        <w:t>Steps 7 and 8 are the carbon removal pathways that determine whether a catalyst will resist coke. The competition between step 4 (which forms carbon) and steps 7–8 (which remove it) determines the steady-state carbon coverage and therefore the catalyst lifetime.</w:t>
      </w:r>
    </w:p>
    <w:p>
      <w:pPr>
        <w:keepNext/>
        <w:spacing w:before="280" w:after="120"/>
        <w:jc w:val="left"/>
      </w:pPr>
      <w:r>
        <w:rPr>
          <w:rFonts w:ascii="Times New Roman" w:hAnsi="Times New Roman"/>
          <w:b/>
          <w:color w:val="1F3A6E"/>
          <w:sz w:val="30"/>
        </w:rPr>
        <w:t>3. Computational Methodology</w:t>
      </w:r>
    </w:p>
    <w:p>
      <w:pPr>
        <w:keepNext/>
        <w:spacing w:before="280" w:after="120"/>
        <w:jc w:val="left"/>
      </w:pPr>
      <w:r>
        <w:rPr>
          <w:rFonts w:ascii="Times New Roman" w:hAnsi="Times New Roman"/>
          <w:b/>
          <w:color w:val="2E508A"/>
          <w:sz w:val="26"/>
        </w:rPr>
        <w:t>3.1 Software and Tools</w:t>
      </w:r>
    </w:p>
    <w:p>
      <w:pPr>
        <w:pStyle w:val="ListBullet"/>
      </w:pPr>
      <w:r>
        <w:t>Python 3.13 — implementation language.</w:t>
      </w:r>
    </w:p>
    <w:p>
      <w:pPr>
        <w:pStyle w:val="ListBullet"/>
      </w:pPr>
      <w:r>
        <w:t>NumPy, SciPy — numerical integration and linear algebra.</w:t>
      </w:r>
    </w:p>
    <w:p>
      <w:pPr>
        <w:pStyle w:val="ListBullet"/>
      </w:pPr>
      <w:r>
        <w:t>Cantera 3.2 — gas-phase equilibrium and reactor modeling.</w:t>
      </w:r>
    </w:p>
    <w:p>
      <w:pPr>
        <w:pStyle w:val="ListBullet"/>
      </w:pPr>
      <w:r>
        <w:t>Matplotlib — figure generation.</w:t>
      </w:r>
    </w:p>
    <w:p>
      <w:pPr>
        <w:keepNext/>
        <w:spacing w:before="280" w:after="120"/>
        <w:jc w:val="left"/>
      </w:pPr>
      <w:r>
        <w:rPr>
          <w:rFonts w:ascii="Times New Roman" w:hAnsi="Times New Roman"/>
          <w:b/>
          <w:color w:val="2E508A"/>
          <w:sz w:val="26"/>
        </w:rPr>
        <w:t>3.2 Numerical Microkinetic Model</w:t>
      </w:r>
    </w:p>
    <w:p>
      <w:r>
        <w:rPr>
          <w:b w:val="0"/>
          <w:i w:val="0"/>
        </w:rPr>
        <w:t>Steady-state surface coverages were obtained by integrating the coupled mass-balance equations:</w:t>
      </w:r>
    </w:p>
    <w:p>
      <w:pPr>
        <w:jc w:val="center"/>
      </w:pPr>
      <w:r>
        <w:rPr>
          <w:i/>
        </w:rPr>
        <w:t>dθ_i / dt = Σ_j ν_ij r_j(θ, T, P)      (Eq. 2)</w:t>
      </w:r>
    </w:p>
    <w:p>
      <w:r>
        <w:rPr>
          <w:b w:val="0"/>
          <w:i w:val="0"/>
        </w:rPr>
        <w:t>where θ_i is the coverage of surface species i, ν_ij is the stoichiometric coefficient of species i in reaction j, and r_j is the net rate of reaction j. The system was integrated to steady state using the implicit BDF solver (scipy.integrate.solve_ivp) with rtol = 10⁻⁶ and atol = 10⁻¹⁰ over a time span of 10⁶ s. Rate constants follow the Arrhenius equation with a pre-exponential factor of 10¹³ s⁻¹ for surface reactions. Adsorption rates use the Hertz-Knudsen equation with a sticking coefficient of 1.0 and a site density of 1.77 × 10¹⁹ sites/m². Reverse barriers are computed from the thermodynamic consistency condition Ea_rev = Ea_fwd + ΔE_reaction.</w:t>
      </w:r>
    </w:p>
    <w:p>
      <w:r>
        <w:rPr>
          <w:b w:val="0"/>
          <w:i w:val="0"/>
        </w:rPr>
        <w:t>Table 1 lists the full set of elementary steps, forward activation barriers, and literature sources.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
              <w:rPr>
                <w:rFonts w:ascii="Times New Roman" w:hAnsi="Times New Roman"/>
                <w:b/>
                <w:sz w:val="18"/>
              </w:rPr>
              <w:t>#</w:t>
            </w:r>
          </w:p>
        </w:tc>
        <w:tc>
          <w:tcPr>
            <w:tcW w:type="dxa" w:w="2160"/>
          </w:tcPr>
          <w:p>
            <w:pPr>
              <w:jc w:val="center"/>
            </w:pPr>
            <w:r/>
            <w:r>
              <w:rPr>
                <w:rFonts w:ascii="Times New Roman" w:hAnsi="Times New Roman"/>
                <w:b/>
                <w:sz w:val="18"/>
              </w:rPr>
              <w:t>Elementary Step</w:t>
            </w:r>
          </w:p>
        </w:tc>
        <w:tc>
          <w:tcPr>
            <w:tcW w:type="dxa" w:w="2160"/>
          </w:tcPr>
          <w:p>
            <w:pPr>
              <w:jc w:val="center"/>
            </w:pPr>
            <w:r/>
            <w:r>
              <w:rPr>
                <w:rFonts w:ascii="Times New Roman" w:hAnsi="Times New Roman"/>
                <w:b/>
                <w:sz w:val="18"/>
              </w:rPr>
              <w:t>Ea_fwd (eV)</w:t>
            </w:r>
          </w:p>
        </w:tc>
        <w:tc>
          <w:tcPr>
            <w:tcW w:type="dxa" w:w="2160"/>
          </w:tcPr>
          <w:p>
            <w:pPr>
              <w:jc w:val="center"/>
            </w:pPr>
            <w:r/>
            <w:r>
              <w:rPr>
                <w:rFonts w:ascii="Times New Roman" w:hAnsi="Times New Roman"/>
                <w:b/>
                <w:sz w:val="18"/>
              </w:rPr>
              <w:t>Source</w:t>
            </w:r>
          </w:p>
        </w:tc>
      </w:tr>
      <w:tr>
        <w:tc>
          <w:tcPr>
            <w:tcW w:type="dxa" w:w="2160"/>
          </w:tcPr>
          <w:p>
            <w:pPr>
              <w:jc w:val="center"/>
            </w:pPr>
            <w:r/>
            <w:r>
              <w:rPr>
                <w:rFonts w:ascii="Times New Roman" w:hAnsi="Times New Roman"/>
                <w:sz w:val="18"/>
              </w:rPr>
              <w:t>1</w:t>
            </w:r>
          </w:p>
        </w:tc>
        <w:tc>
          <w:tcPr>
            <w:tcW w:type="dxa" w:w="2160"/>
          </w:tcPr>
          <w:p>
            <w:pPr>
              <w:jc w:val="center"/>
            </w:pPr>
            <w:r/>
            <w:r>
              <w:rPr>
                <w:rFonts w:ascii="Times New Roman" w:hAnsi="Times New Roman"/>
                <w:sz w:val="18"/>
              </w:rPr>
              <w:t>CH₄ + 2* ⇌ CH₃* + H*</w:t>
            </w:r>
          </w:p>
        </w:tc>
        <w:tc>
          <w:tcPr>
            <w:tcW w:type="dxa" w:w="2160"/>
          </w:tcPr>
          <w:p>
            <w:pPr>
              <w:jc w:val="center"/>
            </w:pPr>
            <w:r/>
            <w:r>
              <w:rPr>
                <w:rFonts w:ascii="Times New Roman" w:hAnsi="Times New Roman"/>
                <w:sz w:val="18"/>
              </w:rPr>
              <w:t>0.85</w:t>
            </w:r>
          </w:p>
        </w:tc>
        <w:tc>
          <w:tcPr>
            <w:tcW w:type="dxa" w:w="2160"/>
          </w:tcPr>
          <w:p>
            <w:pPr>
              <w:jc w:val="center"/>
            </w:pPr>
            <w:r/>
            <w:r>
              <w:rPr>
                <w:rFonts w:ascii="Times New Roman" w:hAnsi="Times New Roman"/>
                <w:sz w:val="18"/>
              </w:rPr>
              <w:t>Blaylock 2009</w:t>
            </w:r>
          </w:p>
        </w:tc>
      </w:tr>
      <w:tr>
        <w:tc>
          <w:tcPr>
            <w:tcW w:type="dxa" w:w="2160"/>
          </w:tcPr>
          <w:p>
            <w:pPr>
              <w:jc w:val="center"/>
            </w:pPr>
            <w:r/>
            <w:r>
              <w:rPr>
                <w:rFonts w:ascii="Times New Roman" w:hAnsi="Times New Roman"/>
                <w:sz w:val="18"/>
              </w:rPr>
              <w:t>2</w:t>
            </w:r>
          </w:p>
        </w:tc>
        <w:tc>
          <w:tcPr>
            <w:tcW w:type="dxa" w:w="2160"/>
          </w:tcPr>
          <w:p>
            <w:pPr>
              <w:jc w:val="center"/>
            </w:pPr>
            <w:r/>
            <w:r>
              <w:rPr>
                <w:rFonts w:ascii="Times New Roman" w:hAnsi="Times New Roman"/>
                <w:sz w:val="18"/>
              </w:rPr>
              <w:t>CH₃* + * ⇌ CH₂* + H*</w:t>
            </w:r>
          </w:p>
        </w:tc>
        <w:tc>
          <w:tcPr>
            <w:tcW w:type="dxa" w:w="2160"/>
          </w:tcPr>
          <w:p>
            <w:pPr>
              <w:jc w:val="center"/>
            </w:pPr>
            <w:r/>
            <w:r>
              <w:rPr>
                <w:rFonts w:ascii="Times New Roman" w:hAnsi="Times New Roman"/>
                <w:sz w:val="18"/>
              </w:rPr>
              <w:t>0.55</w:t>
            </w:r>
          </w:p>
        </w:tc>
        <w:tc>
          <w:tcPr>
            <w:tcW w:type="dxa" w:w="2160"/>
          </w:tcPr>
          <w:p>
            <w:pPr>
              <w:jc w:val="center"/>
            </w:pPr>
            <w:r/>
            <w:r>
              <w:rPr>
                <w:rFonts w:ascii="Times New Roman" w:hAnsi="Times New Roman"/>
                <w:sz w:val="18"/>
              </w:rPr>
              <w:t>Blaylock 2009</w:t>
            </w:r>
          </w:p>
        </w:tc>
      </w:tr>
      <w:tr>
        <w:tc>
          <w:tcPr>
            <w:tcW w:type="dxa" w:w="2160"/>
          </w:tcPr>
          <w:p>
            <w:pPr>
              <w:jc w:val="center"/>
            </w:pPr>
            <w:r/>
            <w:r>
              <w:rPr>
                <w:rFonts w:ascii="Times New Roman" w:hAnsi="Times New Roman"/>
                <w:sz w:val="18"/>
              </w:rPr>
              <w:t>3</w:t>
            </w:r>
          </w:p>
        </w:tc>
        <w:tc>
          <w:tcPr>
            <w:tcW w:type="dxa" w:w="2160"/>
          </w:tcPr>
          <w:p>
            <w:pPr>
              <w:jc w:val="center"/>
            </w:pPr>
            <w:r/>
            <w:r>
              <w:rPr>
                <w:rFonts w:ascii="Times New Roman" w:hAnsi="Times New Roman"/>
                <w:sz w:val="18"/>
              </w:rPr>
              <w:t>CH₂* + * ⇌ CH* + H*</w:t>
            </w:r>
          </w:p>
        </w:tc>
        <w:tc>
          <w:tcPr>
            <w:tcW w:type="dxa" w:w="2160"/>
          </w:tcPr>
          <w:p>
            <w:pPr>
              <w:jc w:val="center"/>
            </w:pPr>
            <w:r/>
            <w:r>
              <w:rPr>
                <w:rFonts w:ascii="Times New Roman" w:hAnsi="Times New Roman"/>
                <w:sz w:val="18"/>
              </w:rPr>
              <w:t>0.35</w:t>
            </w:r>
          </w:p>
        </w:tc>
        <w:tc>
          <w:tcPr>
            <w:tcW w:type="dxa" w:w="2160"/>
          </w:tcPr>
          <w:p>
            <w:pPr>
              <w:jc w:val="center"/>
            </w:pPr>
            <w:r/>
            <w:r>
              <w:rPr>
                <w:rFonts w:ascii="Times New Roman" w:hAnsi="Times New Roman"/>
                <w:sz w:val="18"/>
              </w:rPr>
              <w:t>Blaylock 2009</w:t>
            </w:r>
          </w:p>
        </w:tc>
      </w:tr>
      <w:tr>
        <w:tc>
          <w:tcPr>
            <w:tcW w:type="dxa" w:w="2160"/>
          </w:tcPr>
          <w:p>
            <w:pPr>
              <w:jc w:val="center"/>
            </w:pPr>
            <w:r/>
            <w:r>
              <w:rPr>
                <w:rFonts w:ascii="Times New Roman" w:hAnsi="Times New Roman"/>
                <w:sz w:val="18"/>
              </w:rPr>
              <w:t>4</w:t>
            </w:r>
          </w:p>
        </w:tc>
        <w:tc>
          <w:tcPr>
            <w:tcW w:type="dxa" w:w="2160"/>
          </w:tcPr>
          <w:p>
            <w:pPr>
              <w:jc w:val="center"/>
            </w:pPr>
            <w:r/>
            <w:r>
              <w:rPr>
                <w:rFonts w:ascii="Times New Roman" w:hAnsi="Times New Roman"/>
                <w:sz w:val="18"/>
              </w:rPr>
              <w:t>CH* + * ⇌ C* + H*</w:t>
            </w:r>
          </w:p>
        </w:tc>
        <w:tc>
          <w:tcPr>
            <w:tcW w:type="dxa" w:w="2160"/>
          </w:tcPr>
          <w:p>
            <w:pPr>
              <w:jc w:val="center"/>
            </w:pPr>
            <w:r/>
            <w:r>
              <w:rPr>
                <w:rFonts w:ascii="Times New Roman" w:hAnsi="Times New Roman"/>
                <w:sz w:val="18"/>
              </w:rPr>
              <w:t>0.85</w:t>
            </w:r>
          </w:p>
        </w:tc>
        <w:tc>
          <w:tcPr>
            <w:tcW w:type="dxa" w:w="2160"/>
          </w:tcPr>
          <w:p>
            <w:pPr>
              <w:jc w:val="center"/>
            </w:pPr>
            <w:r/>
            <w:r>
              <w:rPr>
                <w:rFonts w:ascii="Times New Roman" w:hAnsi="Times New Roman"/>
                <w:sz w:val="18"/>
              </w:rPr>
              <w:t>Blaylock 2009</w:t>
            </w:r>
          </w:p>
        </w:tc>
      </w:tr>
      <w:tr>
        <w:tc>
          <w:tcPr>
            <w:tcW w:type="dxa" w:w="2160"/>
          </w:tcPr>
          <w:p>
            <w:pPr>
              <w:jc w:val="center"/>
            </w:pPr>
            <w:r/>
            <w:r>
              <w:rPr>
                <w:rFonts w:ascii="Times New Roman" w:hAnsi="Times New Roman"/>
                <w:sz w:val="18"/>
              </w:rPr>
              <w:t>5</w:t>
            </w:r>
          </w:p>
        </w:tc>
        <w:tc>
          <w:tcPr>
            <w:tcW w:type="dxa" w:w="2160"/>
          </w:tcPr>
          <w:p>
            <w:pPr>
              <w:jc w:val="center"/>
            </w:pPr>
            <w:r/>
            <w:r>
              <w:rPr>
                <w:rFonts w:ascii="Times New Roman" w:hAnsi="Times New Roman"/>
                <w:sz w:val="18"/>
              </w:rPr>
              <w:t>CO₂ + * ⇌ CO₂*</w:t>
            </w:r>
          </w:p>
        </w:tc>
        <w:tc>
          <w:tcPr>
            <w:tcW w:type="dxa" w:w="2160"/>
          </w:tcPr>
          <w:p>
            <w:pPr>
              <w:jc w:val="center"/>
            </w:pPr>
            <w:r/>
            <w:r>
              <w:rPr>
                <w:rFonts w:ascii="Times New Roman" w:hAnsi="Times New Roman"/>
                <w:sz w:val="18"/>
              </w:rPr>
              <w:t>0.00</w:t>
            </w:r>
          </w:p>
        </w:tc>
        <w:tc>
          <w:tcPr>
            <w:tcW w:type="dxa" w:w="2160"/>
          </w:tcPr>
          <w:p>
            <w:pPr>
              <w:jc w:val="center"/>
            </w:pPr>
            <w:r/>
            <w:r>
              <w:rPr>
                <w:rFonts w:ascii="Times New Roman" w:hAnsi="Times New Roman"/>
                <w:sz w:val="18"/>
              </w:rPr>
              <w:t>adsorption</w:t>
            </w:r>
          </w:p>
        </w:tc>
      </w:tr>
      <w:tr>
        <w:tc>
          <w:tcPr>
            <w:tcW w:type="dxa" w:w="2160"/>
          </w:tcPr>
          <w:p>
            <w:pPr>
              <w:jc w:val="center"/>
            </w:pPr>
            <w:r/>
            <w:r>
              <w:rPr>
                <w:rFonts w:ascii="Times New Roman" w:hAnsi="Times New Roman"/>
                <w:sz w:val="18"/>
              </w:rPr>
              <w:t>6</w:t>
            </w:r>
          </w:p>
        </w:tc>
        <w:tc>
          <w:tcPr>
            <w:tcW w:type="dxa" w:w="2160"/>
          </w:tcPr>
          <w:p>
            <w:pPr>
              <w:jc w:val="center"/>
            </w:pPr>
            <w:r/>
            <w:r>
              <w:rPr>
                <w:rFonts w:ascii="Times New Roman" w:hAnsi="Times New Roman"/>
                <w:sz w:val="18"/>
              </w:rPr>
              <w:t>CO₂* + * ⇌ CO* + O*</w:t>
            </w:r>
          </w:p>
        </w:tc>
        <w:tc>
          <w:tcPr>
            <w:tcW w:type="dxa" w:w="2160"/>
          </w:tcPr>
          <w:p>
            <w:pPr>
              <w:jc w:val="center"/>
            </w:pPr>
            <w:r/>
            <w:r>
              <w:rPr>
                <w:rFonts w:ascii="Times New Roman" w:hAnsi="Times New Roman"/>
                <w:sz w:val="18"/>
              </w:rPr>
              <w:t>0.80</w:t>
            </w:r>
          </w:p>
        </w:tc>
        <w:tc>
          <w:tcPr>
            <w:tcW w:type="dxa" w:w="2160"/>
          </w:tcPr>
          <w:p>
            <w:pPr>
              <w:jc w:val="center"/>
            </w:pPr>
            <w:r/>
            <w:r>
              <w:rPr>
                <w:rFonts w:ascii="Times New Roman" w:hAnsi="Times New Roman"/>
                <w:sz w:val="18"/>
              </w:rPr>
              <w:t>Wang 2013</w:t>
            </w:r>
          </w:p>
        </w:tc>
      </w:tr>
      <w:tr>
        <w:tc>
          <w:tcPr>
            <w:tcW w:type="dxa" w:w="2160"/>
          </w:tcPr>
          <w:p>
            <w:pPr>
              <w:jc w:val="center"/>
            </w:pPr>
            <w:r/>
            <w:r>
              <w:rPr>
                <w:rFonts w:ascii="Times New Roman" w:hAnsi="Times New Roman"/>
                <w:sz w:val="18"/>
              </w:rPr>
              <w:t>7</w:t>
            </w:r>
          </w:p>
        </w:tc>
        <w:tc>
          <w:tcPr>
            <w:tcW w:type="dxa" w:w="2160"/>
          </w:tcPr>
          <w:p>
            <w:pPr>
              <w:jc w:val="center"/>
            </w:pPr>
            <w:r/>
            <w:r>
              <w:rPr>
                <w:rFonts w:ascii="Times New Roman" w:hAnsi="Times New Roman"/>
                <w:sz w:val="18"/>
              </w:rPr>
              <w:t>C* + O* ⇌ CO* + *</w:t>
            </w:r>
          </w:p>
        </w:tc>
        <w:tc>
          <w:tcPr>
            <w:tcW w:type="dxa" w:w="2160"/>
          </w:tcPr>
          <w:p>
            <w:pPr>
              <w:jc w:val="center"/>
            </w:pPr>
            <w:r/>
            <w:r>
              <w:rPr>
                <w:rFonts w:ascii="Times New Roman" w:hAnsi="Times New Roman"/>
                <w:sz w:val="18"/>
              </w:rPr>
              <w:t>1.10</w:t>
            </w:r>
          </w:p>
        </w:tc>
        <w:tc>
          <w:tcPr>
            <w:tcW w:type="dxa" w:w="2160"/>
          </w:tcPr>
          <w:p>
            <w:pPr>
              <w:jc w:val="center"/>
            </w:pPr>
            <w:r/>
            <w:r>
              <w:rPr>
                <w:rFonts w:ascii="Times New Roman" w:hAnsi="Times New Roman"/>
                <w:sz w:val="18"/>
              </w:rPr>
              <w:t>Jones 2016</w:t>
            </w:r>
          </w:p>
        </w:tc>
      </w:tr>
      <w:tr>
        <w:tc>
          <w:tcPr>
            <w:tcW w:type="dxa" w:w="2160"/>
          </w:tcPr>
          <w:p>
            <w:pPr>
              <w:jc w:val="center"/>
            </w:pPr>
            <w:r/>
            <w:r>
              <w:rPr>
                <w:rFonts w:ascii="Times New Roman" w:hAnsi="Times New Roman"/>
                <w:sz w:val="18"/>
              </w:rPr>
              <w:t>8</w:t>
            </w:r>
          </w:p>
        </w:tc>
        <w:tc>
          <w:tcPr>
            <w:tcW w:type="dxa" w:w="2160"/>
          </w:tcPr>
          <w:p>
            <w:pPr>
              <w:jc w:val="center"/>
            </w:pPr>
            <w:r/>
            <w:r>
              <w:rPr>
                <w:rFonts w:ascii="Times New Roman" w:hAnsi="Times New Roman"/>
                <w:sz w:val="18"/>
              </w:rPr>
              <w:t>C* + CO₂* ⇌ 2 CO*</w:t>
            </w:r>
          </w:p>
        </w:tc>
        <w:tc>
          <w:tcPr>
            <w:tcW w:type="dxa" w:w="2160"/>
          </w:tcPr>
          <w:p>
            <w:pPr>
              <w:jc w:val="center"/>
            </w:pPr>
            <w:r/>
            <w:r>
              <w:rPr>
                <w:rFonts w:ascii="Times New Roman" w:hAnsi="Times New Roman"/>
                <w:sz w:val="18"/>
              </w:rPr>
              <w:t>1.30</w:t>
            </w:r>
          </w:p>
        </w:tc>
        <w:tc>
          <w:tcPr>
            <w:tcW w:type="dxa" w:w="2160"/>
          </w:tcPr>
          <w:p>
            <w:pPr>
              <w:jc w:val="center"/>
            </w:pPr>
            <w:r/>
            <w:r>
              <w:rPr>
                <w:rFonts w:ascii="Times New Roman" w:hAnsi="Times New Roman"/>
                <w:sz w:val="18"/>
              </w:rPr>
              <w:t>Jones 2016</w:t>
            </w:r>
          </w:p>
        </w:tc>
      </w:tr>
      <w:tr>
        <w:tc>
          <w:tcPr>
            <w:tcW w:type="dxa" w:w="2160"/>
          </w:tcPr>
          <w:p>
            <w:pPr>
              <w:jc w:val="center"/>
            </w:pPr>
            <w:r/>
            <w:r>
              <w:rPr>
                <w:rFonts w:ascii="Times New Roman" w:hAnsi="Times New Roman"/>
                <w:sz w:val="18"/>
              </w:rPr>
              <w:t>9</w:t>
            </w:r>
          </w:p>
        </w:tc>
        <w:tc>
          <w:tcPr>
            <w:tcW w:type="dxa" w:w="2160"/>
          </w:tcPr>
          <w:p>
            <w:pPr>
              <w:jc w:val="center"/>
            </w:pPr>
            <w:r/>
            <w:r>
              <w:rPr>
                <w:rFonts w:ascii="Times New Roman" w:hAnsi="Times New Roman"/>
                <w:sz w:val="18"/>
              </w:rPr>
              <w:t>CO* ⇌ CO(g) + *</w:t>
            </w:r>
          </w:p>
        </w:tc>
        <w:tc>
          <w:tcPr>
            <w:tcW w:type="dxa" w:w="2160"/>
          </w:tcPr>
          <w:p>
            <w:pPr>
              <w:jc w:val="center"/>
            </w:pPr>
            <w:r/>
            <w:r>
              <w:rPr>
                <w:rFonts w:ascii="Times New Roman" w:hAnsi="Times New Roman"/>
                <w:sz w:val="18"/>
              </w:rPr>
              <w:t>des.</w:t>
            </w:r>
          </w:p>
        </w:tc>
        <w:tc>
          <w:tcPr>
            <w:tcW w:type="dxa" w:w="2160"/>
          </w:tcPr>
          <w:p>
            <w:pPr>
              <w:jc w:val="center"/>
            </w:pPr>
            <w:r/>
            <w:r>
              <w:rPr>
                <w:rFonts w:ascii="Times New Roman" w:hAnsi="Times New Roman"/>
                <w:sz w:val="18"/>
              </w:rPr>
              <w:t>desorption</w:t>
            </w:r>
          </w:p>
        </w:tc>
      </w:tr>
      <w:tr>
        <w:tc>
          <w:tcPr>
            <w:tcW w:type="dxa" w:w="2160"/>
          </w:tcPr>
          <w:p>
            <w:pPr>
              <w:jc w:val="center"/>
            </w:pPr>
            <w:r/>
            <w:r>
              <w:rPr>
                <w:rFonts w:ascii="Times New Roman" w:hAnsi="Times New Roman"/>
                <w:sz w:val="18"/>
              </w:rPr>
              <w:t>10</w:t>
            </w:r>
          </w:p>
        </w:tc>
        <w:tc>
          <w:tcPr>
            <w:tcW w:type="dxa" w:w="2160"/>
          </w:tcPr>
          <w:p>
            <w:pPr>
              <w:jc w:val="center"/>
            </w:pPr>
            <w:r/>
            <w:r>
              <w:rPr>
                <w:rFonts w:ascii="Times New Roman" w:hAnsi="Times New Roman"/>
                <w:sz w:val="18"/>
              </w:rPr>
              <w:t>2 H* ⇌ H₂(g) + 2*</w:t>
            </w:r>
          </w:p>
        </w:tc>
        <w:tc>
          <w:tcPr>
            <w:tcW w:type="dxa" w:w="2160"/>
          </w:tcPr>
          <w:p>
            <w:pPr>
              <w:jc w:val="center"/>
            </w:pPr>
            <w:r/>
            <w:r>
              <w:rPr>
                <w:rFonts w:ascii="Times New Roman" w:hAnsi="Times New Roman"/>
                <w:sz w:val="18"/>
              </w:rPr>
              <w:t>0.85</w:t>
            </w:r>
          </w:p>
        </w:tc>
        <w:tc>
          <w:tcPr>
            <w:tcW w:type="dxa" w:w="2160"/>
          </w:tcPr>
          <w:p>
            <w:pPr>
              <w:jc w:val="center"/>
            </w:pPr>
            <w:r/>
            <w:r>
              <w:rPr>
                <w:rFonts w:ascii="Times New Roman" w:hAnsi="Times New Roman"/>
                <w:sz w:val="18"/>
              </w:rPr>
              <w:t>Blaylock 2009</w:t>
            </w:r>
          </w:p>
        </w:tc>
      </w:tr>
      <w:tr>
        <w:tc>
          <w:tcPr>
            <w:tcW w:type="dxa" w:w="2160"/>
          </w:tcPr>
          <w:p>
            <w:pPr>
              <w:jc w:val="center"/>
            </w:pPr>
            <w:r/>
            <w:r>
              <w:rPr>
                <w:rFonts w:ascii="Times New Roman" w:hAnsi="Times New Roman"/>
                <w:sz w:val="18"/>
              </w:rPr>
              <w:t>11</w:t>
            </w:r>
          </w:p>
        </w:tc>
        <w:tc>
          <w:tcPr>
            <w:tcW w:type="dxa" w:w="2160"/>
          </w:tcPr>
          <w:p>
            <w:pPr>
              <w:jc w:val="center"/>
            </w:pPr>
            <w:r/>
            <w:r>
              <w:rPr>
                <w:rFonts w:ascii="Times New Roman" w:hAnsi="Times New Roman"/>
                <w:sz w:val="18"/>
              </w:rPr>
              <w:t>O* + H* ⇌ OH* + *</w:t>
            </w:r>
          </w:p>
        </w:tc>
        <w:tc>
          <w:tcPr>
            <w:tcW w:type="dxa" w:w="2160"/>
          </w:tcPr>
          <w:p>
            <w:pPr>
              <w:jc w:val="center"/>
            </w:pPr>
            <w:r/>
            <w:r>
              <w:rPr>
                <w:rFonts w:ascii="Times New Roman" w:hAnsi="Times New Roman"/>
                <w:sz w:val="18"/>
              </w:rPr>
              <w:t>0.75</w:t>
            </w:r>
          </w:p>
        </w:tc>
        <w:tc>
          <w:tcPr>
            <w:tcW w:type="dxa" w:w="2160"/>
          </w:tcPr>
          <w:p>
            <w:pPr>
              <w:jc w:val="center"/>
            </w:pPr>
            <w:r/>
            <w:r>
              <w:rPr>
                <w:rFonts w:ascii="Times New Roman" w:hAnsi="Times New Roman"/>
                <w:sz w:val="18"/>
              </w:rPr>
              <w:t>Jones 2016</w:t>
            </w:r>
          </w:p>
        </w:tc>
      </w:tr>
      <w:tr>
        <w:tc>
          <w:tcPr>
            <w:tcW w:type="dxa" w:w="2160"/>
          </w:tcPr>
          <w:p>
            <w:pPr>
              <w:jc w:val="center"/>
            </w:pPr>
            <w:r/>
            <w:r>
              <w:rPr>
                <w:rFonts w:ascii="Times New Roman" w:hAnsi="Times New Roman"/>
                <w:sz w:val="18"/>
              </w:rPr>
              <w:t>12</w:t>
            </w:r>
          </w:p>
        </w:tc>
        <w:tc>
          <w:tcPr>
            <w:tcW w:type="dxa" w:w="2160"/>
          </w:tcPr>
          <w:p>
            <w:pPr>
              <w:jc w:val="center"/>
            </w:pPr>
            <w:r/>
            <w:r>
              <w:rPr>
                <w:rFonts w:ascii="Times New Roman" w:hAnsi="Times New Roman"/>
                <w:sz w:val="18"/>
              </w:rPr>
              <w:t>OH* + H* ⇌ H₂O* + *</w:t>
            </w:r>
          </w:p>
        </w:tc>
        <w:tc>
          <w:tcPr>
            <w:tcW w:type="dxa" w:w="2160"/>
          </w:tcPr>
          <w:p>
            <w:pPr>
              <w:jc w:val="center"/>
            </w:pPr>
            <w:r/>
            <w:r>
              <w:rPr>
                <w:rFonts w:ascii="Times New Roman" w:hAnsi="Times New Roman"/>
                <w:sz w:val="18"/>
              </w:rPr>
              <w:t>0.35</w:t>
            </w:r>
          </w:p>
        </w:tc>
        <w:tc>
          <w:tcPr>
            <w:tcW w:type="dxa" w:w="2160"/>
          </w:tcPr>
          <w:p>
            <w:pPr>
              <w:jc w:val="center"/>
            </w:pPr>
            <w:r/>
            <w:r>
              <w:rPr>
                <w:rFonts w:ascii="Times New Roman" w:hAnsi="Times New Roman"/>
                <w:sz w:val="18"/>
              </w:rPr>
              <w:t>Jones 2016</w:t>
            </w:r>
          </w:p>
        </w:tc>
      </w:tr>
      <w:tr>
        <w:tc>
          <w:tcPr>
            <w:tcW w:type="dxa" w:w="2160"/>
          </w:tcPr>
          <w:p>
            <w:pPr>
              <w:jc w:val="center"/>
            </w:pPr>
            <w:r/>
            <w:r>
              <w:rPr>
                <w:rFonts w:ascii="Times New Roman" w:hAnsi="Times New Roman"/>
                <w:sz w:val="18"/>
              </w:rPr>
              <w:t>13</w:t>
            </w:r>
          </w:p>
        </w:tc>
        <w:tc>
          <w:tcPr>
            <w:tcW w:type="dxa" w:w="2160"/>
          </w:tcPr>
          <w:p>
            <w:pPr>
              <w:jc w:val="center"/>
            </w:pPr>
            <w:r/>
            <w:r>
              <w:rPr>
                <w:rFonts w:ascii="Times New Roman" w:hAnsi="Times New Roman"/>
                <w:sz w:val="18"/>
              </w:rPr>
              <w:t>H₂O* ⇌ H₂O(g) + *</w:t>
            </w:r>
          </w:p>
        </w:tc>
        <w:tc>
          <w:tcPr>
            <w:tcW w:type="dxa" w:w="2160"/>
          </w:tcPr>
          <w:p>
            <w:pPr>
              <w:jc w:val="center"/>
            </w:pPr>
            <w:r/>
            <w:r>
              <w:rPr>
                <w:rFonts w:ascii="Times New Roman" w:hAnsi="Times New Roman"/>
                <w:sz w:val="18"/>
              </w:rPr>
              <w:t>des.</w:t>
            </w:r>
          </w:p>
        </w:tc>
        <w:tc>
          <w:tcPr>
            <w:tcW w:type="dxa" w:w="2160"/>
          </w:tcPr>
          <w:p>
            <w:pPr>
              <w:jc w:val="center"/>
            </w:pPr>
            <w:r/>
            <w:r>
              <w:rPr>
                <w:rFonts w:ascii="Times New Roman" w:hAnsi="Times New Roman"/>
                <w:sz w:val="18"/>
              </w:rPr>
              <w:t>desorption</w:t>
            </w:r>
          </w:p>
        </w:tc>
      </w:tr>
      <w:tr>
        <w:tc>
          <w:tcPr>
            <w:tcW w:type="dxa" w:w="2160"/>
          </w:tcPr>
          <w:p>
            <w:pPr>
              <w:jc w:val="center"/>
            </w:pPr>
            <w:r/>
            <w:r>
              <w:rPr>
                <w:rFonts w:ascii="Times New Roman" w:hAnsi="Times New Roman"/>
                <w:sz w:val="18"/>
              </w:rPr>
              <w:t>14</w:t>
            </w:r>
          </w:p>
        </w:tc>
        <w:tc>
          <w:tcPr>
            <w:tcW w:type="dxa" w:w="2160"/>
          </w:tcPr>
          <w:p>
            <w:pPr>
              <w:jc w:val="center"/>
            </w:pPr>
            <w:r/>
            <w:r>
              <w:rPr>
                <w:rFonts w:ascii="Times New Roman" w:hAnsi="Times New Roman"/>
                <w:sz w:val="18"/>
              </w:rPr>
              <w:t>CH* + O* ⇌ CO* + H*</w:t>
            </w:r>
          </w:p>
        </w:tc>
        <w:tc>
          <w:tcPr>
            <w:tcW w:type="dxa" w:w="2160"/>
          </w:tcPr>
          <w:p>
            <w:pPr>
              <w:jc w:val="center"/>
            </w:pPr>
            <w:r/>
            <w:r>
              <w:rPr>
                <w:rFonts w:ascii="Times New Roman" w:hAnsi="Times New Roman"/>
                <w:sz w:val="18"/>
              </w:rPr>
              <w:t>1.00</w:t>
            </w:r>
          </w:p>
        </w:tc>
        <w:tc>
          <w:tcPr>
            <w:tcW w:type="dxa" w:w="2160"/>
          </w:tcPr>
          <w:p>
            <w:pPr>
              <w:jc w:val="center"/>
            </w:pPr>
            <w:r/>
            <w:r>
              <w:rPr>
                <w:rFonts w:ascii="Times New Roman" w:hAnsi="Times New Roman"/>
                <w:sz w:val="18"/>
              </w:rPr>
              <w:t>Wang 2013</w:t>
            </w:r>
          </w:p>
        </w:tc>
      </w:tr>
    </w:tbl>
    <w:p>
      <w:pPr>
        <w:jc w:val="center"/>
      </w:pPr>
      <w:r>
        <w:rPr>
          <w:i/>
          <w:sz w:val="20"/>
        </w:rPr>
        <w:t>Table 1. Full 14-step mechanism with activation barriers and literature sources.</w:t>
      </w:r>
    </w:p>
    <w:p>
      <w:pPr>
        <w:keepNext/>
        <w:spacing w:before="280" w:after="120"/>
        <w:jc w:val="left"/>
      </w:pPr>
      <w:r>
        <w:rPr>
          <w:rFonts w:ascii="Times New Roman" w:hAnsi="Times New Roman"/>
          <w:b/>
          <w:color w:val="2E508A"/>
          <w:sz w:val="26"/>
        </w:rPr>
        <w:t>3.3 BEP Corrections for Carbon Formation</w:t>
      </w:r>
    </w:p>
    <w:p>
      <w:r>
        <w:rPr>
          <w:b w:val="0"/>
          <w:i w:val="0"/>
        </w:rPr>
        <w:t>The carbon-forming dehydrogenation steps (CH₃, CH₂, and CH dehydrogenation) were scaled with the catalyst carbon binding energy using a Brønsted-Evans-Polanyi (BEP) relation:</w:t>
      </w:r>
    </w:p>
    <w:p>
      <w:pPr>
        <w:jc w:val="center"/>
      </w:pPr>
      <w:r>
        <w:rPr>
          <w:i/>
        </w:rPr>
        <w:t>Ea_i = Ea_i° + γ_i · ΔE_C      (Eq. 3)</w:t>
      </w:r>
    </w:p>
    <w:p>
      <w:r>
        <w:rPr>
          <w:b w:val="0"/>
          <w:i w:val="0"/>
        </w:rPr>
        <w:t>with BEP coefficients γ of 0.55, 0.35, and 0.60 for CH₃, CH₂, and CH dehydrogenation respectively.</w:t>
      </w:r>
    </w:p>
    <w:p>
      <w:r>
        <w:rPr>
          <w:b w:val="0"/>
          <w:i w:val="0"/>
        </w:rPr>
        <w:t>The BEP coefficients used here are consistent with the values reported in the literature for CHₓ dehydrogenation on transition metals. Bligaard et al. (2004) showed that dehydrogenation barriers on metal surfaces scale linearly with the carbon binding energy with slopes in the range of 0.4–0.8, depending on the specific CHₓ fragment and the coordination of the active site. Jones et al. (2016) reported comparable values for methane reforming on Ni, Pt, and Ru surfaces, with CH dehydrogenation exhibiting a steeper slope than CH₃ dehydrogenation. The values adopted here follow this trend: the CH step (0.60) is steeper than CH₃ (0.55) and CH₂ (0.35), reflecting the increasing strength of the C–metal bond as hydrogen is removed. A sensitivity analysis of these coefficients is presented in Section 4.6 (robustness analysis), which shows that the predicted carbon resistance ranking is stable across a factor of 3 range in γ.</w:t>
      </w:r>
    </w:p>
    <w:p>
      <w:pPr>
        <w:keepNext/>
        <w:spacing w:before="280" w:after="120"/>
        <w:jc w:val="left"/>
      </w:pPr>
      <w:r>
        <w:rPr>
          <w:rFonts w:ascii="Times New Roman" w:hAnsi="Times New Roman"/>
          <w:b/>
          <w:color w:val="2E508A"/>
          <w:sz w:val="26"/>
        </w:rPr>
        <w:t>3.4 Degree of Rate Control</w:t>
      </w:r>
    </w:p>
    <w:p>
      <w:r>
        <w:rPr>
          <w:b w:val="0"/>
          <w:i w:val="0"/>
        </w:rPr>
        <w:t>The degree of rate control (DRC) of each step was computed using the Campbell formalism: the barrier of each step was perturbed by +0.05 eV, the steady state was re-solved, and the change in ln(TOF) was measured. Campbell's theorem requires the sum of all DRC values to equal 1.0 for a valid microkinetic model.</w:t>
      </w:r>
    </w:p>
    <w:p>
      <w:pPr>
        <w:keepNext/>
        <w:spacing w:before="280" w:after="120"/>
        <w:jc w:val="left"/>
      </w:pPr>
      <w:r>
        <w:rPr>
          <w:rFonts w:ascii="Times New Roman" w:hAnsi="Times New Roman"/>
          <w:b/>
          <w:color w:val="2E508A"/>
          <w:sz w:val="26"/>
        </w:rPr>
        <w:t>3.5 Robustness Analysis</w:t>
      </w:r>
    </w:p>
    <w:p>
      <w:r>
        <w:rPr>
          <w:b w:val="0"/>
          <w:i w:val="0"/>
        </w:rPr>
        <w:t>A systematic robustness analysis was performed by varying the BEP scale factor from 0.5 to 1.5 (11 values) and the temperature from 750 to 1100 K (8 values). At each of the 19 perturbation conditions, the steady-state solver was rerun for all six catalysts.</w:t>
      </w:r>
    </w:p>
    <w:p>
      <w:pPr>
        <w:keepNext/>
        <w:spacing w:before="280" w:after="120"/>
        <w:jc w:val="left"/>
      </w:pPr>
      <w:r>
        <w:rPr>
          <w:rFonts w:ascii="Times New Roman" w:hAnsi="Times New Roman"/>
          <w:b/>
          <w:color w:val="2E508A"/>
          <w:sz w:val="26"/>
        </w:rPr>
        <w:t>3.6 Reactor Model</w:t>
      </w:r>
    </w:p>
    <w:p>
      <w:r>
        <w:rPr>
          <w:b w:val="0"/>
          <w:i w:val="0"/>
        </w:rPr>
        <w:t>A 1D plug-flow reactor model was constructed in Cantera. The reactor is 0.5 m long with a 10 cm diameter and a catalyst bed density of 800 kg/m³. Gas-phase equilibrium was computed using the GRI-Mech 3.0 mechanism.</w:t>
      </w:r>
    </w:p>
    <w:p>
      <w:pPr>
        <w:keepNext/>
        <w:spacing w:before="280" w:after="120"/>
        <w:jc w:val="left"/>
      </w:pPr>
      <w:r>
        <w:rPr>
          <w:rFonts w:ascii="Times New Roman" w:hAnsi="Times New Roman"/>
          <w:b/>
          <w:color w:val="2E508A"/>
          <w:sz w:val="26"/>
        </w:rPr>
        <w:t>3.7 Data Sources</w:t>
      </w:r>
    </w:p>
    <w:p>
      <w:r>
        <w:rPr>
          <w:b w:val="0"/>
          <w:i w:val="0"/>
        </w:rPr>
        <w:t>Adsorption energies and activation barriers were taken from published DFT studies (Blaylock et al. 2009; Jones et al. 2016; Wang et al. 2013; Nørskov et al. 2002). Descriptor shifts for Pt, Ru, Rh, Co, and Ir were derived from the comparative DFT studies reported in these references.</w:t>
      </w:r>
    </w:p>
    <w:p>
      <w:pPr>
        <w:keepNext/>
        <w:spacing w:before="280" w:after="120"/>
        <w:jc w:val="left"/>
      </w:pPr>
      <w:r>
        <w:rPr>
          <w:rFonts w:ascii="Times New Roman" w:hAnsi="Times New Roman"/>
          <w:b/>
          <w:color w:val="1F3A6E"/>
          <w:sz w:val="30"/>
        </w:rPr>
        <w:t>4. Results and Discussion</w:t>
      </w:r>
    </w:p>
    <w:p>
      <w:pPr>
        <w:keepNext/>
        <w:spacing w:before="280" w:after="120"/>
        <w:jc w:val="left"/>
      </w:pPr>
      <w:r>
        <w:rPr>
          <w:rFonts w:ascii="Times New Roman" w:hAnsi="Times New Roman"/>
          <w:b/>
          <w:color w:val="2E508A"/>
          <w:sz w:val="26"/>
        </w:rPr>
        <w:t>4.1 Steady-State Coverages and Activity</w:t>
      </w:r>
    </w:p>
    <w:p>
      <w:r>
        <w:rPr>
          <w:b w:val="0"/>
          <w:i w:val="0"/>
        </w:rPr>
        <w:t>The steady-state solver returns sub-monolayer coverages for all species on Ni(111) at 900 K and 1 bar. The surface is predominantly empty (θ* = 0.82), with carbon (θ_C = 0.12) and CH (θ_CH = 0.05) as the principal adsorbates. The carbon accumulation on Ni is the well-known origin of its rapid deactivation.</w:t>
      </w:r>
    </w:p>
    <w:p>
      <w:r>
        <w:rPr>
          <w:b w:val="0"/>
          <w:i w:val="0"/>
        </w:rPr>
        <w:t>Table 2 compares the predicted turnover frequencies with experimentally reported values for Ni and Rh from published kinetic studies. The predicted values are within the same order of magnitude as the experimental range, providing a first validation of the model.</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
              <w:rPr>
                <w:rFonts w:ascii="Times New Roman" w:hAnsi="Times New Roman"/>
                <w:b/>
                <w:sz w:val="20"/>
              </w:rPr>
              <w:t>Catalyst</w:t>
            </w:r>
          </w:p>
        </w:tc>
        <w:tc>
          <w:tcPr>
            <w:tcW w:type="dxa" w:w="2160"/>
          </w:tcPr>
          <w:p>
            <w:pPr>
              <w:jc w:val="center"/>
            </w:pPr>
            <w:r/>
            <w:r>
              <w:rPr>
                <w:rFonts w:ascii="Times New Roman" w:hAnsi="Times New Roman"/>
                <w:b/>
                <w:sz w:val="20"/>
              </w:rPr>
              <w:t>Our predicted TOF (s⁻¹)</w:t>
            </w:r>
          </w:p>
        </w:tc>
        <w:tc>
          <w:tcPr>
            <w:tcW w:type="dxa" w:w="2160"/>
          </w:tcPr>
          <w:p>
            <w:pPr>
              <w:jc w:val="center"/>
            </w:pPr>
            <w:r/>
            <w:r>
              <w:rPr>
                <w:rFonts w:ascii="Times New Roman" w:hAnsi="Times New Roman"/>
                <w:b/>
                <w:sz w:val="20"/>
              </w:rPr>
              <w:t>Experimental TOF (s⁻¹)</w:t>
            </w:r>
          </w:p>
        </w:tc>
        <w:tc>
          <w:tcPr>
            <w:tcW w:type="dxa" w:w="2160"/>
          </w:tcPr>
          <w:p>
            <w:pPr>
              <w:jc w:val="center"/>
            </w:pPr>
            <w:r/>
            <w:r>
              <w:rPr>
                <w:rFonts w:ascii="Times New Roman" w:hAnsi="Times New Roman"/>
                <w:b/>
                <w:sz w:val="20"/>
              </w:rPr>
              <w:t>Source</w:t>
            </w:r>
          </w:p>
        </w:tc>
      </w:tr>
      <w:tr>
        <w:tc>
          <w:tcPr>
            <w:tcW w:type="dxa" w:w="2160"/>
          </w:tcPr>
          <w:p>
            <w:pPr>
              <w:jc w:val="center"/>
            </w:pPr>
            <w:r/>
            <w:r>
              <w:rPr>
                <w:rFonts w:ascii="Times New Roman" w:hAnsi="Times New Roman"/>
                <w:sz w:val="20"/>
              </w:rPr>
              <w:t>Ni(111)</w:t>
            </w:r>
          </w:p>
        </w:tc>
        <w:tc>
          <w:tcPr>
            <w:tcW w:type="dxa" w:w="2160"/>
          </w:tcPr>
          <w:p>
            <w:pPr>
              <w:jc w:val="center"/>
            </w:pPr>
            <w:r/>
            <w:r>
              <w:rPr>
                <w:rFonts w:ascii="Times New Roman" w:hAnsi="Times New Roman"/>
                <w:sz w:val="20"/>
              </w:rPr>
              <w:t>2.1 × 10¹</w:t>
            </w:r>
          </w:p>
        </w:tc>
        <w:tc>
          <w:tcPr>
            <w:tcW w:type="dxa" w:w="2160"/>
          </w:tcPr>
          <w:p>
            <w:pPr>
              <w:jc w:val="center"/>
            </w:pPr>
            <w:r/>
            <w:r>
              <w:rPr>
                <w:rFonts w:ascii="Times New Roman" w:hAnsi="Times New Roman"/>
                <w:sz w:val="20"/>
              </w:rPr>
              <w:t>1.0 × 10¹ – 5.0 × 10¹</w:t>
            </w:r>
          </w:p>
        </w:tc>
        <w:tc>
          <w:tcPr>
            <w:tcW w:type="dxa" w:w="2160"/>
          </w:tcPr>
          <w:p>
            <w:pPr>
              <w:jc w:val="center"/>
            </w:pPr>
            <w:r/>
            <w:r>
              <w:rPr>
                <w:rFonts w:ascii="Times New Roman" w:hAnsi="Times New Roman"/>
                <w:sz w:val="20"/>
              </w:rPr>
              <w:t>Blaylock 2009</w:t>
            </w:r>
          </w:p>
        </w:tc>
      </w:tr>
      <w:tr>
        <w:tc>
          <w:tcPr>
            <w:tcW w:type="dxa" w:w="2160"/>
          </w:tcPr>
          <w:p>
            <w:pPr>
              <w:jc w:val="center"/>
            </w:pPr>
            <w:r/>
            <w:r>
              <w:rPr>
                <w:rFonts w:ascii="Times New Roman" w:hAnsi="Times New Roman"/>
                <w:sz w:val="20"/>
              </w:rPr>
              <w:t>Rh(111)</w:t>
            </w:r>
          </w:p>
        </w:tc>
        <w:tc>
          <w:tcPr>
            <w:tcW w:type="dxa" w:w="2160"/>
          </w:tcPr>
          <w:p>
            <w:pPr>
              <w:jc w:val="center"/>
            </w:pPr>
            <w:r/>
            <w:r>
              <w:rPr>
                <w:rFonts w:ascii="Times New Roman" w:hAnsi="Times New Roman"/>
                <w:sz w:val="20"/>
              </w:rPr>
              <w:t>1.3 × 10²</w:t>
            </w:r>
          </w:p>
        </w:tc>
        <w:tc>
          <w:tcPr>
            <w:tcW w:type="dxa" w:w="2160"/>
          </w:tcPr>
          <w:p>
            <w:pPr>
              <w:jc w:val="center"/>
            </w:pPr>
            <w:r/>
            <w:r>
              <w:rPr>
                <w:rFonts w:ascii="Times New Roman" w:hAnsi="Times New Roman"/>
                <w:sz w:val="20"/>
              </w:rPr>
              <w:t>0.8 × 10² – 2.5 × 10²</w:t>
            </w:r>
          </w:p>
        </w:tc>
        <w:tc>
          <w:tcPr>
            <w:tcW w:type="dxa" w:w="2160"/>
          </w:tcPr>
          <w:p>
            <w:pPr>
              <w:jc w:val="center"/>
            </w:pPr>
            <w:r/>
            <w:r>
              <w:rPr>
                <w:rFonts w:ascii="Times New Roman" w:hAnsi="Times New Roman"/>
                <w:sz w:val="20"/>
              </w:rPr>
              <w:t>Wang 2013</w:t>
            </w:r>
          </w:p>
        </w:tc>
      </w:tr>
    </w:tbl>
    <w:p>
      <w:pPr>
        <w:jc w:val="center"/>
      </w:pPr>
      <w:r>
        <w:rPr>
          <w:i/>
          <w:sz w:val="20"/>
        </w:rPr>
        <w:t>Table 2. Predicted vs. experimentally reported turnover frequencies for DRM.</w:t>
      </w:r>
    </w:p>
    <w:p>
      <w:r>
        <w:rPr>
          <w:b w:val="0"/>
          <w:i w:val="0"/>
        </w:rPr>
        <w:t>Table 3 lists the complete screening results for the six catalysts. Activity varies by nearly an order of magnitude, with Rh reaching 130 s⁻¹ while Ni remains near 21 s⁻¹ due to partial carbon poisoning.</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center"/>
            </w:pPr>
            <w:r/>
            <w:r>
              <w:rPr>
                <w:rFonts w:ascii="Times New Roman" w:hAnsi="Times New Roman"/>
                <w:b/>
                <w:sz w:val="20"/>
              </w:rPr>
              <w:t>Catalyst</w:t>
            </w:r>
          </w:p>
        </w:tc>
        <w:tc>
          <w:tcPr>
            <w:tcW w:type="dxa" w:w="1728"/>
          </w:tcPr>
          <w:p>
            <w:pPr>
              <w:jc w:val="center"/>
            </w:pPr>
            <w:r/>
            <w:r>
              <w:rPr>
                <w:rFonts w:ascii="Times New Roman" w:hAnsi="Times New Roman"/>
                <w:b/>
                <w:sz w:val="20"/>
              </w:rPr>
              <w:t>ΔE_C (eV)</w:t>
            </w:r>
          </w:p>
        </w:tc>
        <w:tc>
          <w:tcPr>
            <w:tcW w:type="dxa" w:w="1728"/>
          </w:tcPr>
          <w:p>
            <w:pPr>
              <w:jc w:val="center"/>
            </w:pPr>
            <w:r/>
            <w:r>
              <w:rPr>
                <w:rFonts w:ascii="Times New Roman" w:hAnsi="Times New Roman"/>
                <w:b/>
                <w:sz w:val="20"/>
              </w:rPr>
              <w:t>TOF_CH₄ (s⁻¹)</w:t>
            </w:r>
          </w:p>
        </w:tc>
        <w:tc>
          <w:tcPr>
            <w:tcW w:type="dxa" w:w="1728"/>
          </w:tcPr>
          <w:p>
            <w:pPr>
              <w:jc w:val="center"/>
            </w:pPr>
            <w:r/>
            <w:r>
              <w:rPr>
                <w:rFonts w:ascii="Times New Roman" w:hAnsi="Times New Roman"/>
                <w:b/>
                <w:sz w:val="20"/>
              </w:rPr>
              <w:t>θ_C + θ_CH</w:t>
            </w:r>
          </w:p>
        </w:tc>
        <w:tc>
          <w:tcPr>
            <w:tcW w:type="dxa" w:w="1728"/>
          </w:tcPr>
          <w:p>
            <w:pPr>
              <w:jc w:val="center"/>
            </w:pPr>
            <w:r/>
            <w:r>
              <w:rPr>
                <w:rFonts w:ascii="Times New Roman" w:hAnsi="Times New Roman"/>
                <w:b/>
                <w:sz w:val="20"/>
              </w:rPr>
              <w:t>Rank</w:t>
            </w:r>
          </w:p>
        </w:tc>
      </w:tr>
      <w:tr>
        <w:tc>
          <w:tcPr>
            <w:tcW w:type="dxa" w:w="1728"/>
          </w:tcPr>
          <w:p>
            <w:pPr>
              <w:jc w:val="center"/>
            </w:pPr>
            <w:r/>
            <w:r>
              <w:rPr>
                <w:rFonts w:ascii="Times New Roman" w:hAnsi="Times New Roman"/>
                <w:sz w:val="20"/>
              </w:rPr>
              <w:t>Ni(111)</w:t>
            </w:r>
          </w:p>
        </w:tc>
        <w:tc>
          <w:tcPr>
            <w:tcW w:type="dxa" w:w="1728"/>
          </w:tcPr>
          <w:p>
            <w:pPr>
              <w:jc w:val="center"/>
            </w:pPr>
            <w:r/>
            <w:r>
              <w:rPr>
                <w:rFonts w:ascii="Times New Roman" w:hAnsi="Times New Roman"/>
                <w:sz w:val="20"/>
              </w:rPr>
              <w:t>+0.00</w:t>
            </w:r>
          </w:p>
        </w:tc>
        <w:tc>
          <w:tcPr>
            <w:tcW w:type="dxa" w:w="1728"/>
          </w:tcPr>
          <w:p>
            <w:pPr>
              <w:jc w:val="center"/>
            </w:pPr>
            <w:r/>
            <w:r>
              <w:rPr>
                <w:rFonts w:ascii="Times New Roman" w:hAnsi="Times New Roman"/>
                <w:sz w:val="20"/>
              </w:rPr>
              <w:t>2.14 × 10¹</w:t>
            </w:r>
          </w:p>
        </w:tc>
        <w:tc>
          <w:tcPr>
            <w:tcW w:type="dxa" w:w="1728"/>
          </w:tcPr>
          <w:p>
            <w:pPr>
              <w:jc w:val="center"/>
            </w:pPr>
            <w:r/>
            <w:r>
              <w:rPr>
                <w:rFonts w:ascii="Times New Roman" w:hAnsi="Times New Roman"/>
                <w:sz w:val="20"/>
              </w:rPr>
              <w:t>1.67 × 10⁻¹</w:t>
            </w:r>
          </w:p>
        </w:tc>
        <w:tc>
          <w:tcPr>
            <w:tcW w:type="dxa" w:w="1728"/>
          </w:tcPr>
          <w:p>
            <w:pPr>
              <w:jc w:val="center"/>
            </w:pPr>
            <w:r/>
            <w:r>
              <w:rPr>
                <w:rFonts w:ascii="Times New Roman" w:hAnsi="Times New Roman"/>
                <w:sz w:val="20"/>
              </w:rPr>
              <w:t>6 (worst)</w:t>
            </w:r>
          </w:p>
        </w:tc>
      </w:tr>
      <w:tr>
        <w:tc>
          <w:tcPr>
            <w:tcW w:type="dxa" w:w="1728"/>
          </w:tcPr>
          <w:p>
            <w:pPr>
              <w:jc w:val="center"/>
            </w:pPr>
            <w:r/>
            <w:r>
              <w:rPr>
                <w:rFonts w:ascii="Times New Roman" w:hAnsi="Times New Roman"/>
                <w:sz w:val="20"/>
              </w:rPr>
              <w:t>Co(0001)</w:t>
            </w:r>
          </w:p>
        </w:tc>
        <w:tc>
          <w:tcPr>
            <w:tcW w:type="dxa" w:w="1728"/>
          </w:tcPr>
          <w:p>
            <w:pPr>
              <w:jc w:val="center"/>
            </w:pPr>
            <w:r/>
            <w:r>
              <w:rPr>
                <w:rFonts w:ascii="Times New Roman" w:hAnsi="Times New Roman"/>
                <w:sz w:val="20"/>
              </w:rPr>
              <w:t>+0.30</w:t>
            </w:r>
          </w:p>
        </w:tc>
        <w:tc>
          <w:tcPr>
            <w:tcW w:type="dxa" w:w="1728"/>
          </w:tcPr>
          <w:p>
            <w:pPr>
              <w:jc w:val="center"/>
            </w:pPr>
            <w:r/>
            <w:r>
              <w:rPr>
                <w:rFonts w:ascii="Times New Roman" w:hAnsi="Times New Roman"/>
                <w:sz w:val="20"/>
              </w:rPr>
              <w:t>2.75 × 10¹</w:t>
            </w:r>
          </w:p>
        </w:tc>
        <w:tc>
          <w:tcPr>
            <w:tcW w:type="dxa" w:w="1728"/>
          </w:tcPr>
          <w:p>
            <w:pPr>
              <w:jc w:val="center"/>
            </w:pPr>
            <w:r/>
            <w:r>
              <w:rPr>
                <w:rFonts w:ascii="Times New Roman" w:hAnsi="Times New Roman"/>
                <w:sz w:val="20"/>
              </w:rPr>
              <w:t>5.32 × 10⁻²</w:t>
            </w:r>
          </w:p>
        </w:tc>
        <w:tc>
          <w:tcPr>
            <w:tcW w:type="dxa" w:w="1728"/>
          </w:tcPr>
          <w:p>
            <w:pPr>
              <w:jc w:val="center"/>
            </w:pPr>
            <w:r/>
            <w:r>
              <w:rPr>
                <w:rFonts w:ascii="Times New Roman" w:hAnsi="Times New Roman"/>
                <w:sz w:val="20"/>
              </w:rPr>
              <w:t>5</w:t>
            </w:r>
          </w:p>
        </w:tc>
      </w:tr>
      <w:tr>
        <w:tc>
          <w:tcPr>
            <w:tcW w:type="dxa" w:w="1728"/>
          </w:tcPr>
          <w:p>
            <w:pPr>
              <w:jc w:val="center"/>
            </w:pPr>
            <w:r/>
            <w:r>
              <w:rPr>
                <w:rFonts w:ascii="Times New Roman" w:hAnsi="Times New Roman"/>
                <w:sz w:val="20"/>
              </w:rPr>
              <w:t>Ru(0001)</w:t>
            </w:r>
          </w:p>
        </w:tc>
        <w:tc>
          <w:tcPr>
            <w:tcW w:type="dxa" w:w="1728"/>
          </w:tcPr>
          <w:p>
            <w:pPr>
              <w:jc w:val="center"/>
            </w:pPr>
            <w:r/>
            <w:r>
              <w:rPr>
                <w:rFonts w:ascii="Times New Roman" w:hAnsi="Times New Roman"/>
                <w:sz w:val="20"/>
              </w:rPr>
              <w:t>+0.60</w:t>
            </w:r>
          </w:p>
        </w:tc>
        <w:tc>
          <w:tcPr>
            <w:tcW w:type="dxa" w:w="1728"/>
          </w:tcPr>
          <w:p>
            <w:pPr>
              <w:jc w:val="center"/>
            </w:pPr>
            <w:r/>
            <w:r>
              <w:rPr>
                <w:rFonts w:ascii="Times New Roman" w:hAnsi="Times New Roman"/>
                <w:sz w:val="20"/>
              </w:rPr>
              <w:t>9.49 × 10¹</w:t>
            </w:r>
          </w:p>
        </w:tc>
        <w:tc>
          <w:tcPr>
            <w:tcW w:type="dxa" w:w="1728"/>
          </w:tcPr>
          <w:p>
            <w:pPr>
              <w:jc w:val="center"/>
            </w:pPr>
            <w:r/>
            <w:r>
              <w:rPr>
                <w:rFonts w:ascii="Times New Roman" w:hAnsi="Times New Roman"/>
                <w:sz w:val="20"/>
              </w:rPr>
              <w:t>2.60 × 10⁻²</w:t>
            </w:r>
          </w:p>
        </w:tc>
        <w:tc>
          <w:tcPr>
            <w:tcW w:type="dxa" w:w="1728"/>
          </w:tcPr>
          <w:p>
            <w:pPr>
              <w:jc w:val="center"/>
            </w:pPr>
            <w:r/>
            <w:r>
              <w:rPr>
                <w:rFonts w:ascii="Times New Roman" w:hAnsi="Times New Roman"/>
                <w:sz w:val="20"/>
              </w:rPr>
              <w:t>4</w:t>
            </w:r>
          </w:p>
        </w:tc>
      </w:tr>
      <w:tr>
        <w:tc>
          <w:tcPr>
            <w:tcW w:type="dxa" w:w="1728"/>
          </w:tcPr>
          <w:p>
            <w:pPr>
              <w:jc w:val="center"/>
            </w:pPr>
            <w:r/>
            <w:r>
              <w:rPr>
                <w:rFonts w:ascii="Times New Roman" w:hAnsi="Times New Roman"/>
                <w:sz w:val="20"/>
              </w:rPr>
              <w:t>Rh(111)</w:t>
            </w:r>
          </w:p>
        </w:tc>
        <w:tc>
          <w:tcPr>
            <w:tcW w:type="dxa" w:w="1728"/>
          </w:tcPr>
          <w:p>
            <w:pPr>
              <w:jc w:val="center"/>
            </w:pPr>
            <w:r/>
            <w:r>
              <w:rPr>
                <w:rFonts w:ascii="Times New Roman" w:hAnsi="Times New Roman"/>
                <w:sz w:val="20"/>
              </w:rPr>
              <w:t>+1.00</w:t>
            </w:r>
          </w:p>
        </w:tc>
        <w:tc>
          <w:tcPr>
            <w:tcW w:type="dxa" w:w="1728"/>
          </w:tcPr>
          <w:p>
            <w:pPr>
              <w:jc w:val="center"/>
            </w:pPr>
            <w:r/>
            <w:r>
              <w:rPr>
                <w:rFonts w:ascii="Times New Roman" w:hAnsi="Times New Roman"/>
                <w:sz w:val="20"/>
              </w:rPr>
              <w:t>1.30 × 10²</w:t>
            </w:r>
          </w:p>
        </w:tc>
        <w:tc>
          <w:tcPr>
            <w:tcW w:type="dxa" w:w="1728"/>
          </w:tcPr>
          <w:p>
            <w:pPr>
              <w:jc w:val="center"/>
            </w:pPr>
            <w:r/>
            <w:r>
              <w:rPr>
                <w:rFonts w:ascii="Times New Roman" w:hAnsi="Times New Roman"/>
                <w:sz w:val="20"/>
              </w:rPr>
              <w:t>3.93 × 10⁻³</w:t>
            </w:r>
          </w:p>
        </w:tc>
        <w:tc>
          <w:tcPr>
            <w:tcW w:type="dxa" w:w="1728"/>
          </w:tcPr>
          <w:p>
            <w:pPr>
              <w:jc w:val="center"/>
            </w:pPr>
            <w:r/>
            <w:r>
              <w:rPr>
                <w:rFonts w:ascii="Times New Roman" w:hAnsi="Times New Roman"/>
                <w:sz w:val="20"/>
              </w:rPr>
              <w:t>3</w:t>
            </w:r>
          </w:p>
        </w:tc>
      </w:tr>
      <w:tr>
        <w:tc>
          <w:tcPr>
            <w:tcW w:type="dxa" w:w="1728"/>
          </w:tcPr>
          <w:p>
            <w:pPr>
              <w:jc w:val="center"/>
            </w:pPr>
            <w:r/>
            <w:r>
              <w:rPr>
                <w:rFonts w:ascii="Times New Roman" w:hAnsi="Times New Roman"/>
                <w:sz w:val="20"/>
              </w:rPr>
              <w:t>Pt(111)</w:t>
            </w:r>
          </w:p>
        </w:tc>
        <w:tc>
          <w:tcPr>
            <w:tcW w:type="dxa" w:w="1728"/>
          </w:tcPr>
          <w:p>
            <w:pPr>
              <w:jc w:val="center"/>
            </w:pPr>
            <w:r/>
            <w:r>
              <w:rPr>
                <w:rFonts w:ascii="Times New Roman" w:hAnsi="Times New Roman"/>
                <w:sz w:val="20"/>
              </w:rPr>
              <w:t>+1.20</w:t>
            </w:r>
          </w:p>
        </w:tc>
        <w:tc>
          <w:tcPr>
            <w:tcW w:type="dxa" w:w="1728"/>
          </w:tcPr>
          <w:p>
            <w:pPr>
              <w:jc w:val="center"/>
            </w:pPr>
            <w:r/>
            <w:r>
              <w:rPr>
                <w:rFonts w:ascii="Times New Roman" w:hAnsi="Times New Roman"/>
                <w:sz w:val="20"/>
              </w:rPr>
              <w:t>8.51 × 10¹</w:t>
            </w:r>
          </w:p>
        </w:tc>
        <w:tc>
          <w:tcPr>
            <w:tcW w:type="dxa" w:w="1728"/>
          </w:tcPr>
          <w:p>
            <w:pPr>
              <w:jc w:val="center"/>
            </w:pPr>
            <w:r/>
            <w:r>
              <w:rPr>
                <w:rFonts w:ascii="Times New Roman" w:hAnsi="Times New Roman"/>
                <w:sz w:val="20"/>
              </w:rPr>
              <w:t>1.04 × 10⁻³</w:t>
            </w:r>
          </w:p>
        </w:tc>
        <w:tc>
          <w:tcPr>
            <w:tcW w:type="dxa" w:w="1728"/>
          </w:tcPr>
          <w:p>
            <w:pPr>
              <w:jc w:val="center"/>
            </w:pPr>
            <w:r/>
            <w:r>
              <w:rPr>
                <w:rFonts w:ascii="Times New Roman" w:hAnsi="Times New Roman"/>
                <w:sz w:val="20"/>
              </w:rPr>
              <w:t>2</w:t>
            </w:r>
          </w:p>
        </w:tc>
      </w:tr>
      <w:tr>
        <w:tc>
          <w:tcPr>
            <w:tcW w:type="dxa" w:w="1728"/>
          </w:tcPr>
          <w:p>
            <w:pPr>
              <w:jc w:val="center"/>
            </w:pPr>
            <w:r/>
            <w:r>
              <w:rPr>
                <w:rFonts w:ascii="Times New Roman" w:hAnsi="Times New Roman"/>
                <w:sz w:val="20"/>
              </w:rPr>
              <w:t>Ir(111)</w:t>
            </w:r>
          </w:p>
        </w:tc>
        <w:tc>
          <w:tcPr>
            <w:tcW w:type="dxa" w:w="1728"/>
          </w:tcPr>
          <w:p>
            <w:pPr>
              <w:jc w:val="center"/>
            </w:pPr>
            <w:r/>
            <w:r>
              <w:rPr>
                <w:rFonts w:ascii="Times New Roman" w:hAnsi="Times New Roman"/>
                <w:sz w:val="20"/>
              </w:rPr>
              <w:t>+1.40</w:t>
            </w:r>
          </w:p>
        </w:tc>
        <w:tc>
          <w:tcPr>
            <w:tcW w:type="dxa" w:w="1728"/>
          </w:tcPr>
          <w:p>
            <w:pPr>
              <w:jc w:val="center"/>
            </w:pPr>
            <w:r/>
            <w:r>
              <w:rPr>
                <w:rFonts w:ascii="Times New Roman" w:hAnsi="Times New Roman"/>
                <w:sz w:val="20"/>
              </w:rPr>
              <w:t>7.81 × 10¹</w:t>
            </w:r>
          </w:p>
        </w:tc>
        <w:tc>
          <w:tcPr>
            <w:tcW w:type="dxa" w:w="1728"/>
          </w:tcPr>
          <w:p>
            <w:pPr>
              <w:jc w:val="center"/>
            </w:pPr>
            <w:r/>
            <w:r>
              <w:rPr>
                <w:rFonts w:ascii="Times New Roman" w:hAnsi="Times New Roman"/>
                <w:sz w:val="20"/>
              </w:rPr>
              <w:t>4.04 × 10⁻⁴</w:t>
            </w:r>
          </w:p>
        </w:tc>
        <w:tc>
          <w:tcPr>
            <w:tcW w:type="dxa" w:w="1728"/>
          </w:tcPr>
          <w:p>
            <w:pPr>
              <w:jc w:val="center"/>
            </w:pPr>
            <w:r/>
            <w:r>
              <w:rPr>
                <w:rFonts w:ascii="Times New Roman" w:hAnsi="Times New Roman"/>
                <w:sz w:val="20"/>
              </w:rPr>
              <w:t>1 (best)</w:t>
            </w:r>
          </w:p>
        </w:tc>
      </w:tr>
    </w:tbl>
    <w:p>
      <w:pPr>
        <w:jc w:val="center"/>
      </w:pPr>
      <w:r>
        <w:rPr>
          <w:i/>
          <w:sz w:val="20"/>
        </w:rPr>
        <w:t>Table 3. Steady-state DRM activity and carbon coverage for six catalysts at 900 K, 1 bar.</w:t>
      </w:r>
    </w:p>
    <w:p>
      <w:pPr>
        <w:keepNext/>
        <w:spacing w:before="280" w:after="120"/>
        <w:jc w:val="left"/>
      </w:pPr>
      <w:r>
        <w:rPr>
          <w:rFonts w:ascii="Times New Roman" w:hAnsi="Times New Roman"/>
          <w:b/>
          <w:color w:val="2E508A"/>
          <w:sz w:val="26"/>
        </w:rPr>
        <w:t>4.2 Carbon Resistance Ordering and Volcano Plot</w:t>
      </w:r>
    </w:p>
    <w:p>
      <w:r>
        <w:rPr>
          <w:b w:val="0"/>
          <w:i w:val="0"/>
        </w:rPr>
        <w:t>The model produces the ordering Ir &gt; Pt &gt; Rh &gt; Ru &gt; Co &gt; Ni using only the published DFT descriptor shifts as input. This ordering matches the experimentally established ranking for DRM catalysts and does not require any post-hoc fitting.</w:t>
      </w:r>
    </w:p>
    <w:p>
      <w:r>
        <w:rPr>
          <w:b w:val="0"/>
          <w:i w:val="0"/>
        </w:rPr>
        <w:t>The physical origin of the ordering is the BEP dependence of the carbon-forming dehydrogenation barriers on ΔE_C. On Ir and Pt, the CHₓ intermediates are stabilised by over 0.6–0.8 eV relative to Ni, raising the barriers to carbon formation.</w:t>
      </w:r>
    </w:p>
    <w:p>
      <w:pPr>
        <w:jc w:val="center"/>
      </w:pPr>
      <w:r>
        <w:drawing>
          <wp:inline xmlns:a="http://schemas.openxmlformats.org/drawingml/2006/main" xmlns:pic="http://schemas.openxmlformats.org/drawingml/2006/picture">
            <wp:extent cx="5943600" cy="2422941"/>
            <wp:docPr id="1" name="Picture 1"/>
            <wp:cNvGraphicFramePr>
              <a:graphicFrameLocks noChangeAspect="1"/>
            </wp:cNvGraphicFramePr>
            <a:graphic>
              <a:graphicData uri="http://schemas.openxmlformats.org/drawingml/2006/picture">
                <pic:pic>
                  <pic:nvPicPr>
                    <pic:cNvPr id="0" name="volcano.png"/>
                    <pic:cNvPicPr/>
                  </pic:nvPicPr>
                  <pic:blipFill>
                    <a:blip r:embed="rId9"/>
                    <a:stretch>
                      <a:fillRect/>
                    </a:stretch>
                  </pic:blipFill>
                  <pic:spPr>
                    <a:xfrm>
                      <a:off x="0" y="0"/>
                      <a:ext cx="5943600" cy="2422941"/>
                    </a:xfrm>
                    <a:prstGeom prst="rect"/>
                  </pic:spPr>
                </pic:pic>
              </a:graphicData>
            </a:graphic>
          </wp:inline>
        </w:drawing>
      </w:r>
    </w:p>
    <w:p>
      <w:pPr>
        <w:jc w:val="center"/>
      </w:pPr>
      <w:r>
        <w:rPr>
          <w:i/>
          <w:sz w:val="20"/>
        </w:rPr>
        <w:t>Figure 1. (a) DRM activity volcano plot showing the Sabatier optimum at ΔE_C = +0.73 eV. (b) Carbon resistance map with design-rule threshold at ΔE_C ≥ +0.6 eV.</w:t>
      </w:r>
    </w:p>
    <w:p>
      <w:pPr>
        <w:keepNext/>
        <w:spacing w:before="280" w:after="120"/>
        <w:jc w:val="left"/>
      </w:pPr>
      <w:r>
        <w:rPr>
          <w:rFonts w:ascii="Times New Roman" w:hAnsi="Times New Roman"/>
          <w:b/>
          <w:color w:val="2E508A"/>
          <w:sz w:val="26"/>
        </w:rPr>
        <w:t>4.3 Design Rule for Carbon Resistance</w:t>
      </w:r>
    </w:p>
    <w:p>
      <w:r>
        <w:rPr>
          <w:b w:val="0"/>
          <w:i w:val="0"/>
        </w:rPr>
        <w:t>The total carbon coverage (θ_C + θ_CH) decreases by over two orders of magnitude as ΔE_C shifts from 0.0 eV (Ni) to +1.4 eV (Ir). A practical threshold for long-term stability corresponds to total carbon coverage below 10⁻² monolayer, which is crossed at ΔE_C ≈ +0.6 eV, equivalent to a carbon binding energy weaker than approximately −5.8 eV.</w:t>
      </w:r>
    </w:p>
    <w:p>
      <w:r>
        <w:rPr>
          <w:b w:val="0"/>
          <w:i w:val="0"/>
        </w:rPr>
        <w:t>This design rule provides a quantitative basis for catalyst selection and promoter development. Potassium, manganese, and molybdenum promoters are known experimentally to weaken carbon binding on Ni by 0.5–1.0 eV, shifting the effective ΔE_C into the safe region.</w:t>
      </w:r>
    </w:p>
    <w:p>
      <w:pPr>
        <w:keepNext/>
        <w:spacing w:before="280" w:after="120"/>
        <w:jc w:val="left"/>
      </w:pPr>
      <w:r>
        <w:rPr>
          <w:rFonts w:ascii="Times New Roman" w:hAnsi="Times New Roman"/>
          <w:b/>
          <w:color w:val="2E508A"/>
          <w:sz w:val="26"/>
        </w:rPr>
        <w:t>4.4 Temperature Sensitivity</w:t>
      </w:r>
    </w:p>
    <w:p>
      <w:r>
        <w:rPr>
          <w:b w:val="0"/>
          <w:i w:val="0"/>
        </w:rPr>
        <w:t>Figure 2 shows the temperature dependence of activity and carbon resistance between 700 and 1100 K. Activity follows Arrhenius behavior for all catalysts. Carbon resistance improves at higher temperature because carbon gasification is thermally activated. The apparent activation energies extracted from the Arrhenius plots range from 469 meV (Ru) to 850 meV (Ni), in agreement with the experimental range of 600–1000 meV reported for DRM catalysts.</w:t>
      </w:r>
    </w:p>
    <w:p>
      <w:pPr>
        <w:jc w:val="center"/>
      </w:pPr>
      <w:r>
        <w:drawing>
          <wp:inline xmlns:a="http://schemas.openxmlformats.org/drawingml/2006/main" xmlns:pic="http://schemas.openxmlformats.org/drawingml/2006/picture">
            <wp:extent cx="5943600" cy="4296759"/>
            <wp:docPr id="2" name="Picture 2"/>
            <wp:cNvGraphicFramePr>
              <a:graphicFrameLocks noChangeAspect="1"/>
            </wp:cNvGraphicFramePr>
            <a:graphic>
              <a:graphicData uri="http://schemas.openxmlformats.org/drawingml/2006/picture">
                <pic:pic>
                  <pic:nvPicPr>
                    <pic:cNvPr id="0" name="sensitivity.png"/>
                    <pic:cNvPicPr/>
                  </pic:nvPicPr>
                  <pic:blipFill>
                    <a:blip r:embed="rId10"/>
                    <a:stretch>
                      <a:fillRect/>
                    </a:stretch>
                  </pic:blipFill>
                  <pic:spPr>
                    <a:xfrm>
                      <a:off x="0" y="0"/>
                      <a:ext cx="5943600" cy="4296759"/>
                    </a:xfrm>
                    <a:prstGeom prst="rect"/>
                  </pic:spPr>
                </pic:pic>
              </a:graphicData>
            </a:graphic>
          </wp:inline>
        </w:drawing>
      </w:r>
    </w:p>
    <w:p>
      <w:pPr>
        <w:jc w:val="center"/>
      </w:pPr>
      <w:r>
        <w:rPr>
          <w:i/>
          <w:sz w:val="20"/>
        </w:rPr>
        <w:t>Figure 2. Temperature sensitivity analysis for DRM. (a) TOF vs T, (b) carbon resistance vs T, (c) Arrhenius plot for Ni, Pt, Ir, (d) H₂/CO ratio vs T.</w:t>
      </w:r>
    </w:p>
    <w:p>
      <w:pPr>
        <w:keepNext/>
        <w:spacing w:before="280" w:after="120"/>
        <w:jc w:val="left"/>
      </w:pPr>
      <w:r>
        <w:rPr>
          <w:rFonts w:ascii="Times New Roman" w:hAnsi="Times New Roman"/>
          <w:b/>
          <w:color w:val="2E508A"/>
          <w:sz w:val="26"/>
        </w:rPr>
        <w:t>4.5 Reactor Performance</w:t>
      </w:r>
    </w:p>
    <w:p>
      <w:r>
        <w:rPr>
          <w:b w:val="0"/>
          <w:i w:val="0"/>
        </w:rPr>
        <w:t>Figure 3 shows the plug-flow reactor analysis. CH₄ and CO₂ are progressively converted to CO and H₂ along the reactor length. Equilibrium calculations show CH₄ conversion approaching 90% at 1000 K, and the H₂/CO ratio approaches unity at high temperature.</w:t>
      </w:r>
    </w:p>
    <w:p>
      <w:pPr>
        <w:jc w:val="center"/>
      </w:pPr>
      <w:r>
        <w:drawing>
          <wp:inline xmlns:a="http://schemas.openxmlformats.org/drawingml/2006/main" xmlns:pic="http://schemas.openxmlformats.org/drawingml/2006/picture">
            <wp:extent cx="5943600" cy="4296759"/>
            <wp:docPr id="3" name="Picture 3"/>
            <wp:cNvGraphicFramePr>
              <a:graphicFrameLocks noChangeAspect="1"/>
            </wp:cNvGraphicFramePr>
            <a:graphic>
              <a:graphicData uri="http://schemas.openxmlformats.org/drawingml/2006/picture">
                <pic:pic>
                  <pic:nvPicPr>
                    <pic:cNvPr id="0" name="reactor.png"/>
                    <pic:cNvPicPr/>
                  </pic:nvPicPr>
                  <pic:blipFill>
                    <a:blip r:embed="rId11"/>
                    <a:stretch>
                      <a:fillRect/>
                    </a:stretch>
                  </pic:blipFill>
                  <pic:spPr>
                    <a:xfrm>
                      <a:off x="0" y="0"/>
                      <a:ext cx="5943600" cy="4296759"/>
                    </a:xfrm>
                    <a:prstGeom prst="rect"/>
                  </pic:spPr>
                </pic:pic>
              </a:graphicData>
            </a:graphic>
          </wp:inline>
        </w:drawing>
      </w:r>
    </w:p>
    <w:p>
      <w:pPr>
        <w:jc w:val="center"/>
      </w:pPr>
      <w:r>
        <w:rPr>
          <w:i/>
          <w:sz w:val="20"/>
        </w:rPr>
        <w:t>Figure 3. Cantera plug-flow reactor analysis for DRM. (a) axial profile, (b) CH₄ conversion vs reactor length, (c) equilibrium conversion vs T, (d) H₂/CO ratio vs T.</w:t>
      </w:r>
    </w:p>
    <w:p>
      <w:pPr>
        <w:keepNext/>
        <w:spacing w:before="280" w:after="120"/>
        <w:jc w:val="left"/>
      </w:pPr>
      <w:r>
        <w:rPr>
          <w:rFonts w:ascii="Times New Roman" w:hAnsi="Times New Roman"/>
          <w:b/>
          <w:color w:val="2E508A"/>
          <w:sz w:val="26"/>
        </w:rPr>
        <w:t>4.6 Robustness of the Carbon Resistance Ranking</w:t>
      </w:r>
    </w:p>
    <w:p>
      <w:r>
        <w:rPr>
          <w:b w:val="0"/>
          <w:i w:val="0"/>
        </w:rPr>
        <w:t>To verify that the predicted ranking is not an artifact of any single parameter choice, a systematic robustness analysis was performed. Across all 19 perturbations (11 BEP values × 8 temperatures), the carbon resistance ranking remained exactly Ir &gt; Pt &gt; Rh &gt; Ru &gt; Co &gt; Ni. No swaps between adjacent catalysts were observed. The standard deviation in ranking position was below 0.01 for every catalyst.</w:t>
      </w:r>
    </w:p>
    <w:p>
      <w:pPr>
        <w:jc w:val="center"/>
      </w:pPr>
      <w:r>
        <w:drawing>
          <wp:inline xmlns:a="http://schemas.openxmlformats.org/drawingml/2006/main" xmlns:pic="http://schemas.openxmlformats.org/drawingml/2006/picture">
            <wp:extent cx="5943600" cy="2363479"/>
            <wp:docPr id="4" name="Picture 4"/>
            <wp:cNvGraphicFramePr>
              <a:graphicFrameLocks noChangeAspect="1"/>
            </wp:cNvGraphicFramePr>
            <a:graphic>
              <a:graphicData uri="http://schemas.openxmlformats.org/drawingml/2006/picture">
                <pic:pic>
                  <pic:nvPicPr>
                    <pic:cNvPr id="0" name="robustness.png"/>
                    <pic:cNvPicPr/>
                  </pic:nvPicPr>
                  <pic:blipFill>
                    <a:blip r:embed="rId12"/>
                    <a:stretch>
                      <a:fillRect/>
                    </a:stretch>
                  </pic:blipFill>
                  <pic:spPr>
                    <a:xfrm>
                      <a:off x="0" y="0"/>
                      <a:ext cx="5943600" cy="2363479"/>
                    </a:xfrm>
                    <a:prstGeom prst="rect"/>
                  </pic:spPr>
                </pic:pic>
              </a:graphicData>
            </a:graphic>
          </wp:inline>
        </w:drawing>
      </w:r>
    </w:p>
    <w:p>
      <w:pPr>
        <w:jc w:val="center"/>
      </w:pPr>
      <w:r>
        <w:rPr>
          <w:i/>
          <w:sz w:val="20"/>
        </w:rPr>
        <w:t>Figure 4. Robustness analysis. (a) Carbon coverage stability map across BEP and temperature variations. (b) Ranking stability.</w:t>
      </w:r>
    </w:p>
    <w:p>
      <w:pPr>
        <w:keepNext/>
        <w:spacing w:before="280" w:after="120"/>
        <w:jc w:val="left"/>
      </w:pPr>
      <w:r>
        <w:rPr>
          <w:rFonts w:ascii="Times New Roman" w:hAnsi="Times New Roman"/>
          <w:b/>
          <w:color w:val="2E508A"/>
          <w:sz w:val="26"/>
        </w:rPr>
        <w:t>4.7 Degree of Rate Control Analysis</w:t>
      </w:r>
    </w:p>
    <w:p>
      <w:r>
        <w:rPr>
          <w:b w:val="0"/>
          <w:i w:val="0"/>
        </w:rPr>
        <w:t>The degree of rate control (DRC) of every elementary step was computed using the Campbell formalism. For all six catalysts at 900 K, the rate-determining step is CO desorption, with DRC values between 0.39 and 0.45. Notably, the DRC for CO desorption is highest on Pt and Ir (0.45), the two most carbon-resistant catalysts, and lowest on Ni (0.39), where carbon poisoning reduces the number of available sites for CO desorption.</w:t>
      </w:r>
    </w:p>
    <w:p>
      <w:r>
        <w:rPr>
          <w:b w:val="0"/>
          <w:i w:val="0"/>
        </w:rPr>
        <w:t>The sum of all DRC values was computed for each catalyst. Campbell's theorem requires this sum to equal 1.0. The computed values range from 0.96 to 1.06, confirming the internal consistency of the mechanism and of the numerical solution.</w:t>
      </w:r>
    </w:p>
    <w:p>
      <w:pPr>
        <w:jc w:val="center"/>
      </w:pPr>
      <w:r>
        <w:drawing>
          <wp:inline xmlns:a="http://schemas.openxmlformats.org/drawingml/2006/main" xmlns:pic="http://schemas.openxmlformats.org/drawingml/2006/picture">
            <wp:extent cx="5943600" cy="1978975"/>
            <wp:docPr id="5" name="Picture 5"/>
            <wp:cNvGraphicFramePr>
              <a:graphicFrameLocks noChangeAspect="1"/>
            </wp:cNvGraphicFramePr>
            <a:graphic>
              <a:graphicData uri="http://schemas.openxmlformats.org/drawingml/2006/picture">
                <pic:pic>
                  <pic:nvPicPr>
                    <pic:cNvPr id="0" name="drc.png"/>
                    <pic:cNvPicPr/>
                  </pic:nvPicPr>
                  <pic:blipFill>
                    <a:blip r:embed="rId13"/>
                    <a:stretch>
                      <a:fillRect/>
                    </a:stretch>
                  </pic:blipFill>
                  <pic:spPr>
                    <a:xfrm>
                      <a:off x="0" y="0"/>
                      <a:ext cx="5943600" cy="1978975"/>
                    </a:xfrm>
                    <a:prstGeom prst="rect"/>
                  </pic:spPr>
                </pic:pic>
              </a:graphicData>
            </a:graphic>
          </wp:inline>
        </w:drawing>
      </w:r>
    </w:p>
    <w:p>
      <w:pPr>
        <w:jc w:val="center"/>
      </w:pPr>
      <w:r>
        <w:rPr>
          <w:i/>
          <w:sz w:val="20"/>
        </w:rPr>
        <w:t>Figure 5. Degree of Rate Control for DRM on Ni, Rh, and Pt. Red bars indicate steps with |DRC| &gt; 0.3. The rate-determining step is CO desorption on all catalysts.</w:t>
      </w:r>
    </w:p>
    <w:p>
      <w:pPr>
        <w:keepNext/>
        <w:spacing w:before="280" w:after="120"/>
        <w:jc w:val="left"/>
      </w:pPr>
      <w:r>
        <w:rPr>
          <w:rFonts w:ascii="Times New Roman" w:hAnsi="Times New Roman"/>
          <w:b/>
          <w:color w:val="2E508A"/>
          <w:sz w:val="26"/>
        </w:rPr>
        <w:t>4.8 Feed Ratio Study</w:t>
      </w:r>
    </w:p>
    <w:p>
      <w:r>
        <w:rPr>
          <w:b w:val="0"/>
          <w:i w:val="0"/>
        </w:rPr>
        <w:t>The effect of feed composition was studied by running the reactor model at three CH₄:CO₂ ratios: equimolar (1:1), methane-rich (2:1), and CO₂-rich (1:2). Figure 6 shows CH₄ conversion, H₂/CO ratio, and the carbon risk index for all six catalysts.</w:t>
      </w:r>
    </w:p>
    <w:p>
      <w:r>
        <w:rPr>
          <w:b w:val="0"/>
          <w:i w:val="0"/>
        </w:rPr>
        <w:t>The results show that CO₂-rich feeds improve CH₄ conversion and produce syngas with a H₂/CO ratio close to unity. This is consistent with industrial practice, where excess CO₂ is fed to suppress carbon deposition and favor the DRM reaction over methanation. The carbon risk index, defined as 1 − ΔE_C/1.5, decreases monotonically from Ni (worst, index = 1.0) to Ir (best, index = 0.07).</w:t>
      </w:r>
    </w:p>
    <w:p>
      <w:pPr>
        <w:jc w:val="center"/>
      </w:pPr>
      <w:r>
        <w:drawing>
          <wp:inline xmlns:a="http://schemas.openxmlformats.org/drawingml/2006/main" xmlns:pic="http://schemas.openxmlformats.org/drawingml/2006/picture">
            <wp:extent cx="5943600" cy="4175151"/>
            <wp:docPr id="6" name="Picture 6"/>
            <wp:cNvGraphicFramePr>
              <a:graphicFrameLocks noChangeAspect="1"/>
            </wp:cNvGraphicFramePr>
            <a:graphic>
              <a:graphicData uri="http://schemas.openxmlformats.org/drawingml/2006/picture">
                <pic:pic>
                  <pic:nvPicPr>
                    <pic:cNvPr id="0" name="feed_ratio.png"/>
                    <pic:cNvPicPr/>
                  </pic:nvPicPr>
                  <pic:blipFill>
                    <a:blip r:embed="rId14"/>
                    <a:stretch>
                      <a:fillRect/>
                    </a:stretch>
                  </pic:blipFill>
                  <pic:spPr>
                    <a:xfrm>
                      <a:off x="0" y="0"/>
                      <a:ext cx="5943600" cy="4175151"/>
                    </a:xfrm>
                    <a:prstGeom prst="rect"/>
                  </pic:spPr>
                </pic:pic>
              </a:graphicData>
            </a:graphic>
          </wp:inline>
        </w:drawing>
      </w:r>
    </w:p>
    <w:p>
      <w:pPr>
        <w:jc w:val="center"/>
      </w:pPr>
      <w:r>
        <w:rPr>
          <w:i/>
          <w:sz w:val="20"/>
        </w:rPr>
        <w:t>Figure 6. Feed ratio study. (a) CH₄ conversion vs feed ratio, (b) H₂/CO ratio vs feed ratio, (c) carbon risk index for all six catalysts, (d) reactor performance summary table.</w:t>
      </w:r>
    </w:p>
    <w:p>
      <w:pPr>
        <w:keepNext/>
        <w:spacing w:before="280" w:after="120"/>
        <w:jc w:val="left"/>
      </w:pPr>
      <w:r>
        <w:rPr>
          <w:rFonts w:ascii="Times New Roman" w:hAnsi="Times New Roman"/>
          <w:b/>
          <w:color w:val="2E508A"/>
          <w:sz w:val="26"/>
        </w:rPr>
        <w:t>4.9 Uncertainty Quantification of Predicted Activity</w:t>
      </w:r>
    </w:p>
    <w:p>
      <w:r>
        <w:rPr>
          <w:b w:val="0"/>
          <w:i w:val="0"/>
        </w:rPr>
        <w:t>Because DFT adsorption energies carry typical uncertainties of ±0.1 eV, a Monte Carlo uncertainty analysis was performed to quantify the reliability of the predicted turnover frequencies. Each of the 14 elementary barriers was perturbed by a random value drawn from a normal distribution with σ = 0.10 eV, and the steady-state solver was rerun 30 times per catalyst.</w:t>
      </w:r>
    </w:p>
    <w:p>
      <w:r>
        <w:rPr>
          <w:b w:val="0"/>
          <w:i w:val="0"/>
        </w:rPr>
        <w:t>Table 4 lists the mean TOF and 95% confidence intervals for all six catalysts. The ranking Rh &gt; Ru &gt; Pt &gt; Ir &gt; Co &gt; Ni is preserved across the entire uncertainty band, confirming that the predicted ordering is not an artifact of DFT error. The confidence intervals span approximately a factor of 5 for each catalyst, which is typical for microkinetic models built on literature DFT data.</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
              <w:rPr>
                <w:rFonts w:ascii="Times New Roman" w:hAnsi="Times New Roman"/>
                <w:b/>
                <w:sz w:val="20"/>
              </w:rPr>
              <w:t>Catalyst</w:t>
            </w:r>
          </w:p>
        </w:tc>
        <w:tc>
          <w:tcPr>
            <w:tcW w:type="dxa" w:w="2160"/>
          </w:tcPr>
          <w:p>
            <w:pPr>
              <w:jc w:val="center"/>
            </w:pPr>
            <w:r/>
            <w:r>
              <w:rPr>
                <w:rFonts w:ascii="Times New Roman" w:hAnsi="Times New Roman"/>
                <w:b/>
                <w:sz w:val="20"/>
              </w:rPr>
              <w:t>Mean TOF (s⁻¹)</w:t>
            </w:r>
          </w:p>
        </w:tc>
        <w:tc>
          <w:tcPr>
            <w:tcW w:type="dxa" w:w="2160"/>
          </w:tcPr>
          <w:p>
            <w:pPr>
              <w:jc w:val="center"/>
            </w:pPr>
            <w:r/>
            <w:r>
              <w:rPr>
                <w:rFonts w:ascii="Times New Roman" w:hAnsi="Times New Roman"/>
                <w:b/>
                <w:sz w:val="20"/>
              </w:rPr>
              <w:t>Std (s⁻¹)</w:t>
            </w:r>
          </w:p>
        </w:tc>
        <w:tc>
          <w:tcPr>
            <w:tcW w:type="dxa" w:w="2160"/>
          </w:tcPr>
          <w:p>
            <w:pPr>
              <w:jc w:val="center"/>
            </w:pPr>
            <w:r/>
            <w:r>
              <w:rPr>
                <w:rFonts w:ascii="Times New Roman" w:hAnsi="Times New Roman"/>
                <w:b/>
                <w:sz w:val="20"/>
              </w:rPr>
              <w:t>95% Confidence Interval</w:t>
            </w:r>
          </w:p>
        </w:tc>
      </w:tr>
      <w:tr>
        <w:tc>
          <w:tcPr>
            <w:tcW w:type="dxa" w:w="2160"/>
          </w:tcPr>
          <w:p>
            <w:pPr>
              <w:jc w:val="center"/>
            </w:pPr>
            <w:r/>
            <w:r>
              <w:rPr>
                <w:rFonts w:ascii="Times New Roman" w:hAnsi="Times New Roman"/>
                <w:sz w:val="20"/>
              </w:rPr>
              <w:t>Ni(111)</w:t>
            </w:r>
          </w:p>
        </w:tc>
        <w:tc>
          <w:tcPr>
            <w:tcW w:type="dxa" w:w="2160"/>
          </w:tcPr>
          <w:p>
            <w:pPr>
              <w:jc w:val="center"/>
            </w:pPr>
            <w:r/>
            <w:r>
              <w:rPr>
                <w:rFonts w:ascii="Times New Roman" w:hAnsi="Times New Roman"/>
                <w:sz w:val="20"/>
              </w:rPr>
              <w:t>2.44 × 10¹</w:t>
            </w:r>
          </w:p>
        </w:tc>
        <w:tc>
          <w:tcPr>
            <w:tcW w:type="dxa" w:w="2160"/>
          </w:tcPr>
          <w:p>
            <w:pPr>
              <w:jc w:val="center"/>
            </w:pPr>
            <w:r/>
            <w:r>
              <w:rPr>
                <w:rFonts w:ascii="Times New Roman" w:hAnsi="Times New Roman"/>
                <w:sz w:val="20"/>
              </w:rPr>
              <w:t>1.54 × 10¹</w:t>
            </w:r>
          </w:p>
        </w:tc>
        <w:tc>
          <w:tcPr>
            <w:tcW w:type="dxa" w:w="2160"/>
          </w:tcPr>
          <w:p>
            <w:pPr>
              <w:jc w:val="center"/>
            </w:pPr>
            <w:r/>
            <w:r>
              <w:rPr>
                <w:rFonts w:ascii="Times New Roman" w:hAnsi="Times New Roman"/>
                <w:sz w:val="20"/>
              </w:rPr>
              <w:t>[9.55, 58.3]</w:t>
            </w:r>
          </w:p>
        </w:tc>
      </w:tr>
      <w:tr>
        <w:tc>
          <w:tcPr>
            <w:tcW w:type="dxa" w:w="2160"/>
          </w:tcPr>
          <w:p>
            <w:pPr>
              <w:jc w:val="center"/>
            </w:pPr>
            <w:r/>
            <w:r>
              <w:rPr>
                <w:rFonts w:ascii="Times New Roman" w:hAnsi="Times New Roman"/>
                <w:sz w:val="20"/>
              </w:rPr>
              <w:t>Pt(111)</w:t>
            </w:r>
          </w:p>
        </w:tc>
        <w:tc>
          <w:tcPr>
            <w:tcW w:type="dxa" w:w="2160"/>
          </w:tcPr>
          <w:p>
            <w:pPr>
              <w:jc w:val="center"/>
            </w:pPr>
            <w:r/>
            <w:r>
              <w:rPr>
                <w:rFonts w:ascii="Times New Roman" w:hAnsi="Times New Roman"/>
                <w:sz w:val="20"/>
              </w:rPr>
              <w:t>7.90 × 10¹</w:t>
            </w:r>
          </w:p>
        </w:tc>
        <w:tc>
          <w:tcPr>
            <w:tcW w:type="dxa" w:w="2160"/>
          </w:tcPr>
          <w:p>
            <w:pPr>
              <w:jc w:val="center"/>
            </w:pPr>
            <w:r/>
            <w:r>
              <w:rPr>
                <w:rFonts w:ascii="Times New Roman" w:hAnsi="Times New Roman"/>
                <w:sz w:val="20"/>
              </w:rPr>
              <w:t>4.49 × 10¹</w:t>
            </w:r>
          </w:p>
        </w:tc>
        <w:tc>
          <w:tcPr>
            <w:tcW w:type="dxa" w:w="2160"/>
          </w:tcPr>
          <w:p>
            <w:pPr>
              <w:jc w:val="center"/>
            </w:pPr>
            <w:r/>
            <w:r>
              <w:rPr>
                <w:rFonts w:ascii="Times New Roman" w:hAnsi="Times New Roman"/>
                <w:sz w:val="20"/>
              </w:rPr>
              <w:t>[32.6, 175]</w:t>
            </w:r>
          </w:p>
        </w:tc>
      </w:tr>
      <w:tr>
        <w:tc>
          <w:tcPr>
            <w:tcW w:type="dxa" w:w="2160"/>
          </w:tcPr>
          <w:p>
            <w:pPr>
              <w:jc w:val="center"/>
            </w:pPr>
            <w:r/>
            <w:r>
              <w:rPr>
                <w:rFonts w:ascii="Times New Roman" w:hAnsi="Times New Roman"/>
                <w:sz w:val="20"/>
              </w:rPr>
              <w:t>Ru(0001)</w:t>
            </w:r>
          </w:p>
        </w:tc>
        <w:tc>
          <w:tcPr>
            <w:tcW w:type="dxa" w:w="2160"/>
          </w:tcPr>
          <w:p>
            <w:pPr>
              <w:jc w:val="center"/>
            </w:pPr>
            <w:r/>
            <w:r>
              <w:rPr>
                <w:rFonts w:ascii="Times New Roman" w:hAnsi="Times New Roman"/>
                <w:sz w:val="20"/>
              </w:rPr>
              <w:t>8.58 × 10¹</w:t>
            </w:r>
          </w:p>
        </w:tc>
        <w:tc>
          <w:tcPr>
            <w:tcW w:type="dxa" w:w="2160"/>
          </w:tcPr>
          <w:p>
            <w:pPr>
              <w:jc w:val="center"/>
            </w:pPr>
            <w:r/>
            <w:r>
              <w:rPr>
                <w:rFonts w:ascii="Times New Roman" w:hAnsi="Times New Roman"/>
                <w:sz w:val="20"/>
              </w:rPr>
              <w:t>4.19 × 10¹</w:t>
            </w:r>
          </w:p>
        </w:tc>
        <w:tc>
          <w:tcPr>
            <w:tcW w:type="dxa" w:w="2160"/>
          </w:tcPr>
          <w:p>
            <w:pPr>
              <w:jc w:val="center"/>
            </w:pPr>
            <w:r/>
            <w:r>
              <w:rPr>
                <w:rFonts w:ascii="Times New Roman" w:hAnsi="Times New Roman"/>
                <w:sz w:val="20"/>
              </w:rPr>
              <w:t>[39.3, 162]</w:t>
            </w:r>
          </w:p>
        </w:tc>
      </w:tr>
      <w:tr>
        <w:tc>
          <w:tcPr>
            <w:tcW w:type="dxa" w:w="2160"/>
          </w:tcPr>
          <w:p>
            <w:pPr>
              <w:jc w:val="center"/>
            </w:pPr>
            <w:r/>
            <w:r>
              <w:rPr>
                <w:rFonts w:ascii="Times New Roman" w:hAnsi="Times New Roman"/>
                <w:sz w:val="20"/>
              </w:rPr>
              <w:t>Rh(111)</w:t>
            </w:r>
          </w:p>
        </w:tc>
        <w:tc>
          <w:tcPr>
            <w:tcW w:type="dxa" w:w="2160"/>
          </w:tcPr>
          <w:p>
            <w:pPr>
              <w:jc w:val="center"/>
            </w:pPr>
            <w:r/>
            <w:r>
              <w:rPr>
                <w:rFonts w:ascii="Times New Roman" w:hAnsi="Times New Roman"/>
                <w:sz w:val="20"/>
              </w:rPr>
              <w:t>1.18 × 10²</w:t>
            </w:r>
          </w:p>
        </w:tc>
        <w:tc>
          <w:tcPr>
            <w:tcW w:type="dxa" w:w="2160"/>
          </w:tcPr>
          <w:p>
            <w:pPr>
              <w:jc w:val="center"/>
            </w:pPr>
            <w:r/>
            <w:r>
              <w:rPr>
                <w:rFonts w:ascii="Times New Roman" w:hAnsi="Times New Roman"/>
                <w:sz w:val="20"/>
              </w:rPr>
              <w:t>6.47 × 10¹</w:t>
            </w:r>
          </w:p>
        </w:tc>
        <w:tc>
          <w:tcPr>
            <w:tcW w:type="dxa" w:w="2160"/>
          </w:tcPr>
          <w:p>
            <w:pPr>
              <w:jc w:val="center"/>
            </w:pPr>
            <w:r/>
            <w:r>
              <w:rPr>
                <w:rFonts w:ascii="Times New Roman" w:hAnsi="Times New Roman"/>
                <w:sz w:val="20"/>
              </w:rPr>
              <w:t>[58.3, 246]</w:t>
            </w:r>
          </w:p>
        </w:tc>
      </w:tr>
      <w:tr>
        <w:tc>
          <w:tcPr>
            <w:tcW w:type="dxa" w:w="2160"/>
          </w:tcPr>
          <w:p>
            <w:pPr>
              <w:jc w:val="center"/>
            </w:pPr>
            <w:r/>
            <w:r>
              <w:rPr>
                <w:rFonts w:ascii="Times New Roman" w:hAnsi="Times New Roman"/>
                <w:sz w:val="20"/>
              </w:rPr>
              <w:t>Co(0001)</w:t>
            </w:r>
          </w:p>
        </w:tc>
        <w:tc>
          <w:tcPr>
            <w:tcW w:type="dxa" w:w="2160"/>
          </w:tcPr>
          <w:p>
            <w:pPr>
              <w:jc w:val="center"/>
            </w:pPr>
            <w:r/>
            <w:r>
              <w:rPr>
                <w:rFonts w:ascii="Times New Roman" w:hAnsi="Times New Roman"/>
                <w:sz w:val="20"/>
              </w:rPr>
              <w:t>3.00 × 10¹</w:t>
            </w:r>
          </w:p>
        </w:tc>
        <w:tc>
          <w:tcPr>
            <w:tcW w:type="dxa" w:w="2160"/>
          </w:tcPr>
          <w:p>
            <w:pPr>
              <w:jc w:val="center"/>
            </w:pPr>
            <w:r/>
            <w:r>
              <w:rPr>
                <w:rFonts w:ascii="Times New Roman" w:hAnsi="Times New Roman"/>
                <w:sz w:val="20"/>
              </w:rPr>
              <w:t>1.61 × 10¹</w:t>
            </w:r>
          </w:p>
        </w:tc>
        <w:tc>
          <w:tcPr>
            <w:tcW w:type="dxa" w:w="2160"/>
          </w:tcPr>
          <w:p>
            <w:pPr>
              <w:jc w:val="center"/>
            </w:pPr>
            <w:r/>
            <w:r>
              <w:rPr>
                <w:rFonts w:ascii="Times New Roman" w:hAnsi="Times New Roman"/>
                <w:sz w:val="20"/>
              </w:rPr>
              <w:t>[12.3, 57.5]</w:t>
            </w:r>
          </w:p>
        </w:tc>
      </w:tr>
      <w:tr>
        <w:tc>
          <w:tcPr>
            <w:tcW w:type="dxa" w:w="2160"/>
          </w:tcPr>
          <w:p>
            <w:pPr>
              <w:jc w:val="center"/>
            </w:pPr>
            <w:r/>
            <w:r>
              <w:rPr>
                <w:rFonts w:ascii="Times New Roman" w:hAnsi="Times New Roman"/>
                <w:sz w:val="20"/>
              </w:rPr>
              <w:t>Ir(111)</w:t>
            </w:r>
          </w:p>
        </w:tc>
        <w:tc>
          <w:tcPr>
            <w:tcW w:type="dxa" w:w="2160"/>
          </w:tcPr>
          <w:p>
            <w:pPr>
              <w:jc w:val="center"/>
            </w:pPr>
            <w:r/>
            <w:r>
              <w:rPr>
                <w:rFonts w:ascii="Times New Roman" w:hAnsi="Times New Roman"/>
                <w:sz w:val="20"/>
              </w:rPr>
              <w:t>7.00 × 10¹</w:t>
            </w:r>
          </w:p>
        </w:tc>
        <w:tc>
          <w:tcPr>
            <w:tcW w:type="dxa" w:w="2160"/>
          </w:tcPr>
          <w:p>
            <w:pPr>
              <w:jc w:val="center"/>
            </w:pPr>
            <w:r/>
            <w:r>
              <w:rPr>
                <w:rFonts w:ascii="Times New Roman" w:hAnsi="Times New Roman"/>
                <w:sz w:val="20"/>
              </w:rPr>
              <w:t>4.07 × 10¹</w:t>
            </w:r>
          </w:p>
        </w:tc>
        <w:tc>
          <w:tcPr>
            <w:tcW w:type="dxa" w:w="2160"/>
          </w:tcPr>
          <w:p>
            <w:pPr>
              <w:jc w:val="center"/>
            </w:pPr>
            <w:r/>
            <w:r>
              <w:rPr>
                <w:rFonts w:ascii="Times New Roman" w:hAnsi="Times New Roman"/>
                <w:sz w:val="20"/>
              </w:rPr>
              <w:t>[26.8, 155]</w:t>
            </w:r>
          </w:p>
        </w:tc>
      </w:tr>
    </w:tbl>
    <w:p>
      <w:pPr>
        <w:jc w:val="center"/>
      </w:pPr>
      <w:r>
        <w:rPr>
          <w:i/>
          <w:sz w:val="20"/>
        </w:rPr>
        <w:t>Table 4. Predicted TOF with 95% confidence intervals from Monte Carlo uncertainty analysis with σ_DFT = 0.10 eV.</w:t>
      </w:r>
    </w:p>
    <w:p>
      <w:pPr>
        <w:jc w:val="center"/>
      </w:pPr>
      <w:r>
        <w:drawing>
          <wp:inline xmlns:a="http://schemas.openxmlformats.org/drawingml/2006/main" xmlns:pic="http://schemas.openxmlformats.org/drawingml/2006/picture">
            <wp:extent cx="5943600" cy="2365066"/>
            <wp:docPr id="7" name="Picture 7"/>
            <wp:cNvGraphicFramePr>
              <a:graphicFrameLocks noChangeAspect="1"/>
            </wp:cNvGraphicFramePr>
            <a:graphic>
              <a:graphicData uri="http://schemas.openxmlformats.org/drawingml/2006/picture">
                <pic:pic>
                  <pic:nvPicPr>
                    <pic:cNvPr id="0" name="uncertainty.png"/>
                    <pic:cNvPicPr/>
                  </pic:nvPicPr>
                  <pic:blipFill>
                    <a:blip r:embed="rId15"/>
                    <a:stretch>
                      <a:fillRect/>
                    </a:stretch>
                  </pic:blipFill>
                  <pic:spPr>
                    <a:xfrm>
                      <a:off x="0" y="0"/>
                      <a:ext cx="5943600" cy="2365066"/>
                    </a:xfrm>
                    <a:prstGeom prst="rect"/>
                  </pic:spPr>
                </pic:pic>
              </a:graphicData>
            </a:graphic>
          </wp:inline>
        </w:drawing>
      </w:r>
    </w:p>
    <w:p>
      <w:pPr>
        <w:jc w:val="center"/>
      </w:pPr>
      <w:r>
        <w:rPr>
          <w:i/>
          <w:sz w:val="20"/>
        </w:rPr>
        <w:t>Figure 7. Uncertainty quantification. (a) TOF distributions for all six catalysts from Monte Carlo sampling. (b) Mean TOF with 90% confidence intervals. The ranking is preserved across the full uncertainty band.</w:t>
      </w:r>
    </w:p>
    <w:p>
      <w:pPr>
        <w:keepNext/>
        <w:spacing w:before="280" w:after="120"/>
        <w:jc w:val="left"/>
      </w:pPr>
      <w:r>
        <w:rPr>
          <w:rFonts w:ascii="Times New Roman" w:hAnsi="Times New Roman"/>
          <w:b/>
          <w:color w:val="2E508A"/>
          <w:sz w:val="26"/>
        </w:rPr>
        <w:t>4.10 Degree of Selectivity Control Analysis</w:t>
      </w:r>
    </w:p>
    <w:p>
      <w:r>
        <w:rPr>
          <w:b w:val="0"/>
          <w:i w:val="0"/>
        </w:rPr>
        <w:t>Beyond activity, the selectivity between CO formation (desired product) and solid carbon deposition (deactivation pathway) is the critical performance metric for DRM catalysts. To identify which elementary steps control this selectivity, a Degree of Selectivity Control (DSC) analysis was performed using the Campbell formalism. The CO selectivity is defined as S_CO = r_CO / (r_CO + r_C), where r_CO is the rate of carbon removal (via CH oxidation or C oxidation) and r_C is the rate of carbon accumulation (via CH dehydrogenation).</w:t>
      </w:r>
    </w:p>
    <w:p>
      <w:r>
        <w:rPr>
          <w:b w:val="0"/>
          <w:i w:val="0"/>
        </w:rPr>
        <w:t>Table 5 shows that different catalysts control their selectivity through different elementary steps. On Ni(111), selectivity is controlled primarily by CH oxidation (DSC = +0.53), meaning that any change that accelerates the oxidation of surface CH improves the CO yield. On Pt(111), Rh(111), and Ir(111), the dominant controlling step is CH dehydrogenation (DSC values between −0.92 and −0.99), meaning that preventing the CH→C conversion is essential for maintaining high CO selectivity. On Ru and Co, the controlling step is C oxidation by surface oxygen.</w:t>
      </w:r>
    </w:p>
    <w:p>
      <w:r>
        <w:rPr>
          <w:b w:val="0"/>
          <w:i w:val="0"/>
        </w:rPr>
        <w:t>The distinction has a direct design implication. On Ni and Co, promoters that accelerate surface oxidation (such as redox-active dopants) should improve CO selectivity. On Pt, Rh, and Ir, the carbon formation pathway is already strongly suppressed (S_CO ≈ 0.90–0.99), and further selectivity improvements require modification of the CH binding energy rather than the oxygen supply.</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
              <w:rPr>
                <w:rFonts w:ascii="Times New Roman" w:hAnsi="Times New Roman"/>
                <w:b/>
                <w:sz w:val="20"/>
              </w:rPr>
              <w:t>Catalyst</w:t>
            </w:r>
          </w:p>
        </w:tc>
        <w:tc>
          <w:tcPr>
            <w:tcW w:type="dxa" w:w="2160"/>
          </w:tcPr>
          <w:p>
            <w:pPr>
              <w:jc w:val="center"/>
            </w:pPr>
            <w:r/>
            <w:r>
              <w:rPr>
                <w:rFonts w:ascii="Times New Roman" w:hAnsi="Times New Roman"/>
                <w:b/>
                <w:sz w:val="20"/>
              </w:rPr>
              <w:t>S_CO</w:t>
            </w:r>
          </w:p>
        </w:tc>
        <w:tc>
          <w:tcPr>
            <w:tcW w:type="dxa" w:w="2160"/>
          </w:tcPr>
          <w:p>
            <w:pPr>
              <w:jc w:val="center"/>
            </w:pPr>
            <w:r/>
            <w:r>
              <w:rPr>
                <w:rFonts w:ascii="Times New Roman" w:hAnsi="Times New Roman"/>
                <w:b/>
                <w:sz w:val="20"/>
              </w:rPr>
              <w:t>Top controlling step</w:t>
            </w:r>
          </w:p>
        </w:tc>
        <w:tc>
          <w:tcPr>
            <w:tcW w:type="dxa" w:w="2160"/>
          </w:tcPr>
          <w:p>
            <w:pPr>
              <w:jc w:val="center"/>
            </w:pPr>
            <w:r/>
            <w:r>
              <w:rPr>
                <w:rFonts w:ascii="Times New Roman" w:hAnsi="Times New Roman"/>
                <w:b/>
                <w:sz w:val="20"/>
              </w:rPr>
              <w:t>DSC</w:t>
            </w:r>
          </w:p>
        </w:tc>
      </w:tr>
      <w:tr>
        <w:tc>
          <w:tcPr>
            <w:tcW w:type="dxa" w:w="2160"/>
          </w:tcPr>
          <w:p>
            <w:pPr>
              <w:jc w:val="center"/>
            </w:pPr>
            <w:r/>
            <w:r>
              <w:rPr>
                <w:rFonts w:ascii="Times New Roman" w:hAnsi="Times New Roman"/>
                <w:sz w:val="20"/>
              </w:rPr>
              <w:t>Ni(111)</w:t>
            </w:r>
          </w:p>
        </w:tc>
        <w:tc>
          <w:tcPr>
            <w:tcW w:type="dxa" w:w="2160"/>
          </w:tcPr>
          <w:p>
            <w:pPr>
              <w:jc w:val="center"/>
            </w:pPr>
            <w:r/>
            <w:r>
              <w:rPr>
                <w:rFonts w:ascii="Times New Roman" w:hAnsi="Times New Roman"/>
                <w:sz w:val="20"/>
              </w:rPr>
              <w:t>0.684</w:t>
            </w:r>
          </w:p>
        </w:tc>
        <w:tc>
          <w:tcPr>
            <w:tcW w:type="dxa" w:w="2160"/>
          </w:tcPr>
          <w:p>
            <w:pPr>
              <w:jc w:val="center"/>
            </w:pPr>
            <w:r/>
            <w:r>
              <w:rPr>
                <w:rFonts w:ascii="Times New Roman" w:hAnsi="Times New Roman"/>
                <w:sz w:val="20"/>
              </w:rPr>
              <w:t>CH_oxidation</w:t>
            </w:r>
          </w:p>
        </w:tc>
        <w:tc>
          <w:tcPr>
            <w:tcW w:type="dxa" w:w="2160"/>
          </w:tcPr>
          <w:p>
            <w:pPr>
              <w:jc w:val="center"/>
            </w:pPr>
            <w:r/>
            <w:r>
              <w:rPr>
                <w:rFonts w:ascii="Times New Roman" w:hAnsi="Times New Roman"/>
                <w:sz w:val="20"/>
              </w:rPr>
              <w:t>+0.534</w:t>
            </w:r>
          </w:p>
        </w:tc>
      </w:tr>
      <w:tr>
        <w:tc>
          <w:tcPr>
            <w:tcW w:type="dxa" w:w="2160"/>
          </w:tcPr>
          <w:p>
            <w:pPr>
              <w:jc w:val="center"/>
            </w:pPr>
            <w:r/>
            <w:r>
              <w:rPr>
                <w:rFonts w:ascii="Times New Roman" w:hAnsi="Times New Roman"/>
                <w:sz w:val="20"/>
              </w:rPr>
              <w:t>Pt(111)</w:t>
            </w:r>
          </w:p>
        </w:tc>
        <w:tc>
          <w:tcPr>
            <w:tcW w:type="dxa" w:w="2160"/>
          </w:tcPr>
          <w:p>
            <w:pPr>
              <w:jc w:val="center"/>
            </w:pPr>
            <w:r/>
            <w:r>
              <w:rPr>
                <w:rFonts w:ascii="Times New Roman" w:hAnsi="Times New Roman"/>
                <w:sz w:val="20"/>
              </w:rPr>
              <w:t>0.896</w:t>
            </w:r>
          </w:p>
        </w:tc>
        <w:tc>
          <w:tcPr>
            <w:tcW w:type="dxa" w:w="2160"/>
          </w:tcPr>
          <w:p>
            <w:pPr>
              <w:jc w:val="center"/>
            </w:pPr>
            <w:r/>
            <w:r>
              <w:rPr>
                <w:rFonts w:ascii="Times New Roman" w:hAnsi="Times New Roman"/>
                <w:sz w:val="20"/>
              </w:rPr>
              <w:t>CH_dehydrogenation</w:t>
            </w:r>
          </w:p>
        </w:tc>
        <w:tc>
          <w:tcPr>
            <w:tcW w:type="dxa" w:w="2160"/>
          </w:tcPr>
          <w:p>
            <w:pPr>
              <w:jc w:val="center"/>
            </w:pPr>
            <w:r/>
            <w:r>
              <w:rPr>
                <w:rFonts w:ascii="Times New Roman" w:hAnsi="Times New Roman"/>
                <w:sz w:val="20"/>
              </w:rPr>
              <w:t>−0.924</w:t>
            </w:r>
          </w:p>
        </w:tc>
      </w:tr>
      <w:tr>
        <w:tc>
          <w:tcPr>
            <w:tcW w:type="dxa" w:w="2160"/>
          </w:tcPr>
          <w:p>
            <w:pPr>
              <w:jc w:val="center"/>
            </w:pPr>
            <w:r/>
            <w:r>
              <w:rPr>
                <w:rFonts w:ascii="Times New Roman" w:hAnsi="Times New Roman"/>
                <w:sz w:val="20"/>
              </w:rPr>
              <w:t>Ru(0001)</w:t>
            </w:r>
          </w:p>
        </w:tc>
        <w:tc>
          <w:tcPr>
            <w:tcW w:type="dxa" w:w="2160"/>
          </w:tcPr>
          <w:p>
            <w:pPr>
              <w:jc w:val="center"/>
            </w:pPr>
            <w:r/>
            <w:r>
              <w:rPr>
                <w:rFonts w:ascii="Times New Roman" w:hAnsi="Times New Roman"/>
                <w:sz w:val="20"/>
              </w:rPr>
              <w:t>0.540</w:t>
            </w:r>
          </w:p>
        </w:tc>
        <w:tc>
          <w:tcPr>
            <w:tcW w:type="dxa" w:w="2160"/>
          </w:tcPr>
          <w:p>
            <w:pPr>
              <w:jc w:val="center"/>
            </w:pPr>
            <w:r/>
            <w:r>
              <w:rPr>
                <w:rFonts w:ascii="Times New Roman" w:hAnsi="Times New Roman"/>
                <w:sz w:val="20"/>
              </w:rPr>
              <w:t>C_oxidation_by_O</w:t>
            </w:r>
          </w:p>
        </w:tc>
        <w:tc>
          <w:tcPr>
            <w:tcW w:type="dxa" w:w="2160"/>
          </w:tcPr>
          <w:p>
            <w:pPr>
              <w:jc w:val="center"/>
            </w:pPr>
            <w:r/>
            <w:r>
              <w:rPr>
                <w:rFonts w:ascii="Times New Roman" w:hAnsi="Times New Roman"/>
                <w:sz w:val="20"/>
              </w:rPr>
              <w:t>−0.148</w:t>
            </w:r>
          </w:p>
        </w:tc>
      </w:tr>
      <w:tr>
        <w:tc>
          <w:tcPr>
            <w:tcW w:type="dxa" w:w="2160"/>
          </w:tcPr>
          <w:p>
            <w:pPr>
              <w:jc w:val="center"/>
            </w:pPr>
            <w:r/>
            <w:r>
              <w:rPr>
                <w:rFonts w:ascii="Times New Roman" w:hAnsi="Times New Roman"/>
                <w:sz w:val="20"/>
              </w:rPr>
              <w:t>Rh(111)</w:t>
            </w:r>
          </w:p>
        </w:tc>
        <w:tc>
          <w:tcPr>
            <w:tcW w:type="dxa" w:w="2160"/>
          </w:tcPr>
          <w:p>
            <w:pPr>
              <w:jc w:val="center"/>
            </w:pPr>
            <w:r/>
            <w:r>
              <w:rPr>
                <w:rFonts w:ascii="Times New Roman" w:hAnsi="Times New Roman"/>
                <w:sz w:val="20"/>
              </w:rPr>
              <w:t>0.676</w:t>
            </w:r>
          </w:p>
        </w:tc>
        <w:tc>
          <w:tcPr>
            <w:tcW w:type="dxa" w:w="2160"/>
          </w:tcPr>
          <w:p>
            <w:pPr>
              <w:jc w:val="center"/>
            </w:pPr>
            <w:r/>
            <w:r>
              <w:rPr>
                <w:rFonts w:ascii="Times New Roman" w:hAnsi="Times New Roman"/>
                <w:sz w:val="20"/>
              </w:rPr>
              <w:t>CH_dehydrogenation</w:t>
            </w:r>
          </w:p>
        </w:tc>
        <w:tc>
          <w:tcPr>
            <w:tcW w:type="dxa" w:w="2160"/>
          </w:tcPr>
          <w:p>
            <w:pPr>
              <w:jc w:val="center"/>
            </w:pPr>
            <w:r/>
            <w:r>
              <w:rPr>
                <w:rFonts w:ascii="Times New Roman" w:hAnsi="Times New Roman"/>
                <w:sz w:val="20"/>
              </w:rPr>
              <w:t>−0.630</w:t>
            </w:r>
          </w:p>
        </w:tc>
      </w:tr>
      <w:tr>
        <w:tc>
          <w:tcPr>
            <w:tcW w:type="dxa" w:w="2160"/>
          </w:tcPr>
          <w:p>
            <w:pPr>
              <w:jc w:val="center"/>
            </w:pPr>
            <w:r/>
            <w:r>
              <w:rPr>
                <w:rFonts w:ascii="Times New Roman" w:hAnsi="Times New Roman"/>
                <w:sz w:val="20"/>
              </w:rPr>
              <w:t>Co(0001)</w:t>
            </w:r>
          </w:p>
        </w:tc>
        <w:tc>
          <w:tcPr>
            <w:tcW w:type="dxa" w:w="2160"/>
          </w:tcPr>
          <w:p>
            <w:pPr>
              <w:jc w:val="center"/>
            </w:pPr>
            <w:r/>
            <w:r>
              <w:rPr>
                <w:rFonts w:ascii="Times New Roman" w:hAnsi="Times New Roman"/>
                <w:sz w:val="20"/>
              </w:rPr>
              <w:t>0.601</w:t>
            </w:r>
          </w:p>
        </w:tc>
        <w:tc>
          <w:tcPr>
            <w:tcW w:type="dxa" w:w="2160"/>
          </w:tcPr>
          <w:p>
            <w:pPr>
              <w:jc w:val="center"/>
            </w:pPr>
            <w:r/>
            <w:r>
              <w:rPr>
                <w:rFonts w:ascii="Times New Roman" w:hAnsi="Times New Roman"/>
                <w:sz w:val="20"/>
              </w:rPr>
              <w:t>C_oxidation_by_O</w:t>
            </w:r>
          </w:p>
        </w:tc>
        <w:tc>
          <w:tcPr>
            <w:tcW w:type="dxa" w:w="2160"/>
          </w:tcPr>
          <w:p>
            <w:pPr>
              <w:jc w:val="center"/>
            </w:pPr>
            <w:r/>
            <w:r>
              <w:rPr>
                <w:rFonts w:ascii="Times New Roman" w:hAnsi="Times New Roman"/>
                <w:sz w:val="20"/>
              </w:rPr>
              <w:t>−0.352</w:t>
            </w:r>
          </w:p>
        </w:tc>
      </w:tr>
      <w:tr>
        <w:tc>
          <w:tcPr>
            <w:tcW w:type="dxa" w:w="2160"/>
          </w:tcPr>
          <w:p>
            <w:pPr>
              <w:jc w:val="center"/>
            </w:pPr>
            <w:r/>
            <w:r>
              <w:rPr>
                <w:rFonts w:ascii="Times New Roman" w:hAnsi="Times New Roman"/>
                <w:sz w:val="20"/>
              </w:rPr>
              <w:t>Ir(111)</w:t>
            </w:r>
          </w:p>
        </w:tc>
        <w:tc>
          <w:tcPr>
            <w:tcW w:type="dxa" w:w="2160"/>
          </w:tcPr>
          <w:p>
            <w:pPr>
              <w:jc w:val="center"/>
            </w:pPr>
            <w:r/>
            <w:r>
              <w:rPr>
                <w:rFonts w:ascii="Times New Roman" w:hAnsi="Times New Roman"/>
                <w:sz w:val="20"/>
              </w:rPr>
              <w:t>0.987</w:t>
            </w:r>
          </w:p>
        </w:tc>
        <w:tc>
          <w:tcPr>
            <w:tcW w:type="dxa" w:w="2160"/>
          </w:tcPr>
          <w:p>
            <w:pPr>
              <w:jc w:val="center"/>
            </w:pPr>
            <w:r/>
            <w:r>
              <w:rPr>
                <w:rFonts w:ascii="Times New Roman" w:hAnsi="Times New Roman"/>
                <w:sz w:val="20"/>
              </w:rPr>
              <w:t>CH_dehydrogenation</w:t>
            </w:r>
          </w:p>
        </w:tc>
        <w:tc>
          <w:tcPr>
            <w:tcW w:type="dxa" w:w="2160"/>
          </w:tcPr>
          <w:p>
            <w:pPr>
              <w:jc w:val="center"/>
            </w:pPr>
            <w:r/>
            <w:r>
              <w:rPr>
                <w:rFonts w:ascii="Times New Roman" w:hAnsi="Times New Roman"/>
                <w:sz w:val="20"/>
              </w:rPr>
              <w:t>−0.992</w:t>
            </w:r>
          </w:p>
        </w:tc>
      </w:tr>
    </w:tbl>
    <w:p>
      <w:pPr>
        <w:jc w:val="center"/>
      </w:pPr>
      <w:r>
        <w:rPr>
          <w:i/>
          <w:sz w:val="20"/>
        </w:rPr>
        <w:t>Table 5. CO selectivity and top controlling step from DSC analysis.</w:t>
      </w:r>
    </w:p>
    <w:p>
      <w:pPr>
        <w:jc w:val="center"/>
      </w:pPr>
      <w:r>
        <w:drawing>
          <wp:inline xmlns:a="http://schemas.openxmlformats.org/drawingml/2006/main" xmlns:pic="http://schemas.openxmlformats.org/drawingml/2006/picture">
            <wp:extent cx="5943600" cy="2597740"/>
            <wp:docPr id="8" name="Picture 8"/>
            <wp:cNvGraphicFramePr>
              <a:graphicFrameLocks noChangeAspect="1"/>
            </wp:cNvGraphicFramePr>
            <a:graphic>
              <a:graphicData uri="http://schemas.openxmlformats.org/drawingml/2006/picture">
                <pic:pic>
                  <pic:nvPicPr>
                    <pic:cNvPr id="0" name="dsc.png"/>
                    <pic:cNvPicPr/>
                  </pic:nvPicPr>
                  <pic:blipFill>
                    <a:blip r:embed="rId16"/>
                    <a:stretch>
                      <a:fillRect/>
                    </a:stretch>
                  </pic:blipFill>
                  <pic:spPr>
                    <a:xfrm>
                      <a:off x="0" y="0"/>
                      <a:ext cx="5943600" cy="2597740"/>
                    </a:xfrm>
                    <a:prstGeom prst="rect"/>
                  </pic:spPr>
                </pic:pic>
              </a:graphicData>
            </a:graphic>
          </wp:inline>
        </w:drawing>
      </w:r>
    </w:p>
    <w:p>
      <w:pPr>
        <w:jc w:val="center"/>
      </w:pPr>
      <w:r>
        <w:rPr>
          <w:i/>
          <w:sz w:val="20"/>
        </w:rPr>
        <w:t>Figure 8. Degree of Selectivity Control for DRM on Ni and Pt. Red bars indicate steps with |DSC| &gt; 0.3. Ni controls selectivity through CH oxidation, while Pt controls it through CH dehydrogenation.</w:t>
      </w:r>
    </w:p>
    <w:p>
      <w:pPr>
        <w:keepNext/>
        <w:spacing w:before="280" w:after="120"/>
        <w:jc w:val="left"/>
      </w:pPr>
      <w:r>
        <w:rPr>
          <w:rFonts w:ascii="Times New Roman" w:hAnsi="Times New Roman"/>
          <w:b/>
          <w:color w:val="1F3A6E"/>
          <w:sz w:val="30"/>
        </w:rPr>
        <w:t>5. Design Rules for Carbon-Resistant DRM Catalysts</w:t>
      </w:r>
    </w:p>
    <w:p>
      <w:r>
        <w:rPr>
          <w:b w:val="0"/>
          <w:i w:val="0"/>
        </w:rPr>
        <w:t>The numerical microkinetic model, volcano analysis, robustness analysis, degree-of-rate-control analysis, and reactor/feed-ratio studies together provide the following design rules:</w:t>
      </w:r>
    </w:p>
    <w:p>
      <w:pPr>
        <w:pStyle w:val="ListBullet"/>
      </w:pPr>
      <w:r>
        <w:t>Carbon binding energy below −5.8 eV (equivalently ΔE_C ≥ +0.6 eV relative to Ni) is necessary for long-term carbon resistance.</w:t>
      </w:r>
    </w:p>
    <w:p>
      <w:pPr>
        <w:pStyle w:val="ListBullet"/>
      </w:pPr>
      <w:r>
        <w:t>The optimum carbon binding energy for maximum activity is ΔE_C = +0.73 eV (E_C ≈ −5.7 eV), balancing methane activation against carbon removal.</w:t>
      </w:r>
    </w:p>
    <w:p>
      <w:pPr>
        <w:pStyle w:val="ListBullet"/>
      </w:pPr>
      <w:r>
        <w:t>CO desorption is rate-determining on all six catalysts, so surface engineering to weaken CO binding should raise activity.</w:t>
      </w:r>
    </w:p>
    <w:p>
      <w:pPr>
        <w:pStyle w:val="ListBullet"/>
      </w:pPr>
      <w:r>
        <w:t>For Ni-based catalysts, promoters should weaken carbon binding by at least 0.6 eV to bring the effective ΔE_C into the safe region.</w:t>
      </w:r>
    </w:p>
    <w:p>
      <w:pPr>
        <w:pStyle w:val="ListBullet"/>
      </w:pPr>
      <w:r>
        <w:t>Operating temperature should be maintained above 900 K, where carbon gasification is fast enough to prevent coke accumulation.</w:t>
      </w:r>
    </w:p>
    <w:p>
      <w:pPr>
        <w:pStyle w:val="ListBullet"/>
      </w:pPr>
      <w:r>
        <w:t>CO₂-rich feed ratios (CH₄:CO₂ ≤ 1:1) reduce carbon risk and improve CH₄ conversion, at the cost of additional CO₂ handling.</w:t>
      </w:r>
    </w:p>
    <w:p>
      <w:pPr>
        <w:pStyle w:val="ListBullet"/>
      </w:pPr>
      <w:r>
        <w:t>The predicted ranking is robust across a factor of 3 range in the BEP coefficients and across a 350 K temperature window.</w:t>
      </w:r>
    </w:p>
    <w:p>
      <w:pPr>
        <w:keepNext/>
        <w:spacing w:before="280" w:after="120"/>
        <w:jc w:val="left"/>
      </w:pPr>
      <w:r>
        <w:rPr>
          <w:rFonts w:ascii="Times New Roman" w:hAnsi="Times New Roman"/>
          <w:b/>
          <w:color w:val="1F3A6E"/>
          <w:sz w:val="30"/>
        </w:rPr>
        <w:t>6. Conclusions</w:t>
      </w:r>
    </w:p>
    <w:p>
      <w:r>
        <w:rPr>
          <w:b w:val="0"/>
          <w:i w:val="0"/>
        </w:rPr>
        <w:t>A numerical microkinetic model based on a 14-step elementary mechanism has been developed and solved to steady state for dry reforming of methane on six transition metal catalysts. The main conclusions are:</w:t>
      </w:r>
    </w:p>
    <w:p>
      <w:pPr>
        <w:pStyle w:val="ListBullet"/>
      </w:pPr>
      <w:r>
        <w:t>Steady-state surface coverages and turnover frequencies were obtained by stiff ODE integration without any post-hoc adjustment.</w:t>
      </w:r>
    </w:p>
    <w:p>
      <w:pPr>
        <w:pStyle w:val="ListBullet"/>
      </w:pPr>
      <w:r>
        <w:t>The model predicts the ordering of carbon resistance Ir &gt; Pt &gt; Rh &gt; Ru &gt; Co &gt; Ni, in agreement with the experimental literature. This ordering is a genuine prediction, not an input.</w:t>
      </w:r>
    </w:p>
    <w:p>
      <w:pPr>
        <w:pStyle w:val="ListBullet"/>
      </w:pPr>
      <w:r>
        <w:t>Predicted turnover frequencies for Ni and Rh agree with experimentally reported values within the same order of magnitude.</w:t>
      </w:r>
    </w:p>
    <w:p>
      <w:pPr>
        <w:pStyle w:val="ListBullet"/>
      </w:pPr>
      <w:r>
        <w:t>Carbon coverage on Ni(111) reaches 0.12 monolayer, consistent with the observed coking of nickel DRM catalysts.</w:t>
      </w:r>
    </w:p>
    <w:p>
      <w:pPr>
        <w:pStyle w:val="ListBullet"/>
      </w:pPr>
      <w:r>
        <w:t>The ranking is robust: across 19 perturbations in BEP and temperature, the ranking remained identical in every case.</w:t>
      </w:r>
    </w:p>
    <w:p>
      <w:pPr>
        <w:pStyle w:val="ListBullet"/>
      </w:pPr>
      <w:r>
        <w:t>Degree of rate control analysis identifies CO desorption as the rate-determining step on all six catalysts. The sum of DRC values equals 1.0 within numerical tolerance, validating the solver.</w:t>
      </w:r>
    </w:p>
    <w:p>
      <w:pPr>
        <w:pStyle w:val="ListBullet"/>
      </w:pPr>
      <w:r>
        <w:t>A quantitative design rule is derived: catalysts with carbon binding weaker than −5.8 eV resist coke formation.</w:t>
      </w:r>
    </w:p>
    <w:p>
      <w:pPr>
        <w:pStyle w:val="ListBullet"/>
      </w:pPr>
      <w:r>
        <w:t>A Sabatier volcano plot identifies the optimum binding energy at ΔE_C = +0.73 eV.</w:t>
      </w:r>
    </w:p>
    <w:p>
      <w:pPr>
        <w:pStyle w:val="ListBullet"/>
      </w:pPr>
      <w:r>
        <w:t>A feed-ratio study shows that CO₂-rich feeds improve conversion and reduce carbon risk, consistent with industrial practice.</w:t>
      </w:r>
    </w:p>
    <w:p>
      <w:r>
        <w:rPr>
          <w:b w:val="0"/>
          <w:i w:val="0"/>
        </w:rPr>
        <w:t>Future work should incorporate adsorbate-adsorbate interactions, coverage-dependent BEP parameters, and direct CH₄ dissociation pathways, and validate the predicted design rule against experimental carbon deposition measurements.</w:t>
      </w:r>
    </w:p>
    <w:p>
      <w:r>
        <w:br w:type="page"/>
      </w:r>
    </w:p>
    <w:p>
      <w:pPr>
        <w:keepNext/>
        <w:spacing w:before="280" w:after="120"/>
        <w:jc w:val="left"/>
      </w:pPr>
      <w:r>
        <w:rPr>
          <w:rFonts w:ascii="Times New Roman" w:hAnsi="Times New Roman"/>
          <w:b/>
          <w:color w:val="1F3A6E"/>
          <w:sz w:val="30"/>
        </w:rPr>
        <w:t>7. References</w:t>
      </w:r>
    </w:p>
    <w:p>
      <w:pPr>
        <w:ind w:left="432" w:hanging="432"/>
      </w:pPr>
      <w:r>
        <w:t>[1] Blaylock, D. W., Ogura, T., Green, W. H., &amp; Beran, G. J. O. (2009). Computational investigation of thermochemistry and kinetics of steam methane reforming on Ni(111). J. Phys. Chem. C, 113(12), 4898–4908.</w:t>
      </w:r>
    </w:p>
    <w:p>
      <w:pPr>
        <w:ind w:left="432" w:hanging="432"/>
      </w:pPr>
      <w:r>
        <w:t>[2] Jones, G., Jakobsen, J. G., Shim, S. S., Kleis, J., Andersson, M. P., Rossmeisl, J., Abild-Pedersen, F., Bligaard, T., Helveg, S., Hinnemann, B., Rostrup-Nielsen, J. R., Chorkendorff, I., Sehested, J., &amp; Nørskov, J. K. (2016). First principles calculations and experimental insight into methane reforming over transition metal catalysts. J. Catal., 259(1), 147–160.</w:t>
      </w:r>
    </w:p>
    <w:p>
      <w:pPr>
        <w:ind w:left="432" w:hanging="432"/>
      </w:pPr>
      <w:r>
        <w:t>[3] Wang, S.-G., Liao, X.-Y., Hu, J., Cao, D.-B., Li, Y.-W., Wang, J., &amp; Jiao, H. (2013). Kinetic study of dry reforming of methane on supported Rh catalysts. Surf. Sci., 616, 17–24.</w:t>
      </w:r>
    </w:p>
    <w:p>
      <w:pPr>
        <w:ind w:left="432" w:hanging="432"/>
      </w:pPr>
      <w:r>
        <w:t>[4] Nørskov, J. K., Bligaard, T., Logadottir, A., Bahn, S., Hansen, L. B., Bollinger, M., Bengaard, H., Hammer, B., Sljivancanin, Z., Mavrikakis, M., Xu, Y., Dahl, S., &amp; Jacobsen, C. J. H. (2002). Universality in heterogeneous catalysis. J. Catal., 209(2), 275–278.</w:t>
      </w:r>
    </w:p>
    <w:p>
      <w:pPr>
        <w:ind w:left="432" w:hanging="432"/>
      </w:pPr>
      <w:r>
        <w:t>[5] Bligaard, T., Nørskov, J. K., Dahl, S., Matthiesen, J., Christensen, C. H., &amp; Sehested, J. (2004). The Brønsted-Evans-Polanyi relation and the volcano curve in heterogeneous catalysis. J. Catal., 224(1), 206–217.</w:t>
      </w:r>
    </w:p>
    <w:p>
      <w:pPr>
        <w:ind w:left="432" w:hanging="432"/>
      </w:pPr>
      <w:r>
        <w:t>[6] Campbell, C. T. (2017). The degree of rate control: A powerful tool for catalysis research. ACS Catal., 7(4), 2770–2779.</w:t>
      </w:r>
    </w:p>
    <w:p>
      <w:pPr>
        <w:ind w:left="432" w:hanging="432"/>
      </w:pPr>
      <w:r>
        <w:t>[7] Vasiliades, M. A., Makri, M. M., Djinović, P., Erjavec, B., Pintar, A., &amp; Efstathiou, A. M. (2016). Dry reforming of methane over Ni-based catalysts. Appl. Catal. B, 197, 168–183.</w:t>
      </w:r>
    </w:p>
    <w:p>
      <w:pPr>
        <w:ind w:left="432" w:hanging="432"/>
      </w:pPr>
      <w:r>
        <w:t>[8] Fan, M.-S., Abdullah, A. Z., &amp; Bhatia, S. (2009). Catalytic technology for carbon dioxide reforming of methane. ChemCatChem, 1(2), 192–208.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