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Machine-Learning-Guided Design of Doped AgSbTe2 Thermoelectrics:</w:t>
      </w:r>
    </w:p>
    <w:p>
      <w:pPr>
        <w:jc w:val="center"/>
      </w:pPr>
      <w:r>
        <w:rPr>
          <w:i/>
          <w:sz w:val="28"/>
        </w:rPr>
        <w:t>Literature Data Extraction, Descriptor Engineering, Model Benchmarking, SHAP Interpretability, and Inverse-Design Screening</w:t>
      </w:r>
    </w:p>
    <w:p/>
    <w:p>
      <w:pPr>
        <w:pStyle w:val="Heading1"/>
      </w:pPr>
      <w:r>
        <w:rPr>
          <w:color w:val="1B2A4A"/>
        </w:rPr>
        <w:t>Abstract</w:t>
      </w:r>
    </w:p>
    <w:p>
      <w:r>
        <w:t>Five thermoelectric (TE) properties of AgSbTe2-family compounds -- Seebeck coefficient, electrical conductivity, thermal conductivity, power factor, and the figure of merit ZT -- were compiled from a large corpus of journal-article PDFs via an LLM-based text/table/figure extraction pipeline, harmonized to consistent units, and modeled with five regression algorithms (Decision Tree, Random Forest, Gradient Boosting, XGBoost, CatBoost) using composition-based (matminer/magpie) and physics-informed descriptors, including a cation disorder descriptor set (dopant-to-host-ion charge and ionic-radius mismatch) motivated by the Ag+/Sb3+ site-disorder mechanism central to the Kanishka Biswas group's AgSbTe2 work. The best ZT model (CatBoost) achieved a test-set R2 of 0.83. SHAP analysis identifies temperature and composition-disorder descriptors as dominant drivers, with the dopant-host ionic-radius mismatch typically outranking simple charge mismatch. An inverse-design screen over dopant element x site x ratio x temperature recommends Cd doping on the Sb site at 8% and 573 K (predicted ZT = 2.67). Cd-on-Sb doping at this site is strongly and concordantly represented in the training corpus itself (five independent papers, including the original report of ZT ~ 2.6 at 573 K, at reported ratios of 2%, 4%, and 6%), so this result is best read as the model correctly recovering, and mildly interpolating beyond (8% falls just outside the exact reported ratios), a known literature optimum -- a useful sanity check that it is not ranking something worse above a known result, but not independent external validation of extrapolative power. The genuinely out-of-sample tests are Section 7's novel-dopant screen (Be, never reported as an AgSbTe2 dopant anywhere in this corpus) and the co-doped screen, which recombines individually-known dopants into pairings no paper has actually tested together.</w:t>
      </w:r>
    </w:p>
    <w:p>
      <w:pPr>
        <w:pStyle w:val="Heading1"/>
      </w:pPr>
      <w:r>
        <w:rPr>
          <w:color w:val="1B2A4A"/>
        </w:rPr>
        <w:t>1. Data Extraction Methodology</w:t>
      </w:r>
    </w:p>
    <w:p>
      <w:r>
        <w:t>A corpus of 173 journal-article PDFs on AgSbTe2-family thermoelectrics was processed with an automated extraction pipeline (Google Gemini, structured JSON output) that performed two passes per paper: (i) a text/table pass over the full extracted text and pdfplumber-parsed tables, and (ii) a figure/vision pass over rendered page images, asked to read approximate values off temperature-dependent property plots. Each extracted data point records the base composition, full reported formula, dopant element(s) and site(s) (Ag, Sb, Te, interstitial, or unclear), doping ratio/percentage, co-doping status, the property value and unit exactly as reported, the measurement temperature, and provenance (text/table/figure).</w:t>
      </w:r>
    </w:p>
    <w:p>
      <w:r>
        <w:t>Because both passes can catch the same reported value, and because units vary widely across papers (e.g. S/cm vs. S/m vs. Ω·cm resistivity for electrical conductivity; µW/cm·K² vs. mW/m·K² for power factor), each property's dataset was built with the following funnel: numeric-value and formula parsing, unit harmonization to one canonical unit per property (resistivity units correctly inverted to conductivity; Hall-mobility units, a different physical quantity, excluded), a physical-plausibility filter (values outside a generous literature-consistent range are treated as extraction-time unit/decimal errors and dropped), and exact-duplicate removal across the two extraction passes.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B2A4A"/>
          </w:tcPr>
          <w:p>
            <w:pPr>
              <w:jc w:val="center"/>
            </w:pPr>
            <w:r>
              <w:rPr>
                <w:b/>
                <w:color w:val="FFFFFF"/>
                <w:sz w:val="18"/>
              </w:rPr>
              <w:t>Property</w:t>
            </w:r>
          </w:p>
        </w:tc>
        <w:tc>
          <w:tcPr>
            <w:tcW w:type="dxa" w:w="1234"/>
            <w:shd w:fill="1B2A4A"/>
          </w:tcPr>
          <w:p>
            <w:pPr>
              <w:jc w:val="center"/>
            </w:pPr>
            <w:r>
              <w:rPr>
                <w:b/>
                <w:color w:val="FFFFFF"/>
                <w:sz w:val="18"/>
              </w:rPr>
              <w:t>Raw rows matched</w:t>
            </w:r>
          </w:p>
        </w:tc>
        <w:tc>
          <w:tcPr>
            <w:tcW w:type="dxa" w:w="1234"/>
            <w:shd w:fill="1B2A4A"/>
          </w:tcPr>
          <w:p>
            <w:pPr>
              <w:jc w:val="center"/>
            </w:pPr>
            <w:r>
              <w:rPr>
                <w:b/>
                <w:color w:val="FFFFFF"/>
                <w:sz w:val="18"/>
              </w:rPr>
              <w:t>Unit-converted</w:t>
            </w:r>
          </w:p>
        </w:tc>
        <w:tc>
          <w:tcPr>
            <w:tcW w:type="dxa" w:w="1234"/>
            <w:shd w:fill="1B2A4A"/>
          </w:tcPr>
          <w:p>
            <w:pPr>
              <w:jc w:val="center"/>
            </w:pPr>
            <w:r>
              <w:rPr>
                <w:b/>
                <w:color w:val="FFFFFF"/>
                <w:sz w:val="18"/>
              </w:rPr>
              <w:t>Dropped (implausible)</w:t>
            </w:r>
          </w:p>
        </w:tc>
        <w:tc>
          <w:tcPr>
            <w:tcW w:type="dxa" w:w="1234"/>
            <w:shd w:fill="1B2A4A"/>
          </w:tcPr>
          <w:p>
            <w:pPr>
              <w:jc w:val="center"/>
            </w:pPr>
            <w:r>
              <w:rPr>
                <w:b/>
                <w:color w:val="FFFFFF"/>
                <w:sz w:val="18"/>
              </w:rPr>
              <w:t>After de-dup</w:t>
            </w:r>
          </w:p>
        </w:tc>
        <w:tc>
          <w:tcPr>
            <w:tcW w:type="dxa" w:w="1234"/>
            <w:shd w:fill="1B2A4A"/>
          </w:tcPr>
          <w:p>
            <w:pPr>
              <w:jc w:val="center"/>
            </w:pPr>
            <w:r>
              <w:rPr>
                <w:b/>
                <w:color w:val="FFFFFF"/>
                <w:sz w:val="18"/>
              </w:rPr>
              <w:t>Formula-parse failures</w:t>
            </w:r>
          </w:p>
        </w:tc>
        <w:tc>
          <w:tcPr>
            <w:tcW w:type="dxa" w:w="1234"/>
            <w:shd w:fill="1B2A4A"/>
          </w:tcPr>
          <w:p>
            <w:pPr>
              <w:jc w:val="center"/>
            </w:pPr>
            <w:r>
              <w:rPr>
                <w:b/>
                <w:color w:val="FFFFFF"/>
                <w:sz w:val="18"/>
              </w:rPr>
              <w:t>Final featurized rows</w:t>
            </w:r>
          </w:p>
        </w:tc>
      </w:tr>
      <w:tr>
        <w:tc>
          <w:tcPr>
            <w:tcW w:type="dxa" w:w="1234"/>
          </w:tcPr>
          <w:p>
            <w:pPr>
              <w:jc w:val="center"/>
            </w:pPr>
            <w:r>
              <w:rPr>
                <w:sz w:val="18"/>
              </w:rPr>
              <w:t>Seebeck coefficient</w:t>
            </w:r>
          </w:p>
        </w:tc>
        <w:tc>
          <w:tcPr>
            <w:tcW w:type="dxa" w:w="1234"/>
          </w:tcPr>
          <w:p>
            <w:pPr>
              <w:jc w:val="center"/>
            </w:pPr>
            <w:r>
              <w:rPr>
                <w:sz w:val="18"/>
              </w:rPr>
              <w:t>810</w:t>
            </w:r>
          </w:p>
        </w:tc>
        <w:tc>
          <w:tcPr>
            <w:tcW w:type="dxa" w:w="1234"/>
          </w:tcPr>
          <w:p>
            <w:pPr>
              <w:jc w:val="center"/>
            </w:pPr>
            <w:r>
              <w:rPr>
                <w:sz w:val="18"/>
              </w:rPr>
              <w:t>798</w:t>
            </w:r>
          </w:p>
        </w:tc>
        <w:tc>
          <w:tcPr>
            <w:tcW w:type="dxa" w:w="1234"/>
          </w:tcPr>
          <w:p>
            <w:pPr>
              <w:jc w:val="center"/>
            </w:pPr>
            <w:r>
              <w:rPr>
                <w:sz w:val="18"/>
              </w:rPr>
              <w:t>56</w:t>
            </w:r>
          </w:p>
        </w:tc>
        <w:tc>
          <w:tcPr>
            <w:tcW w:type="dxa" w:w="1234"/>
          </w:tcPr>
          <w:p>
            <w:pPr>
              <w:jc w:val="center"/>
            </w:pPr>
            <w:r>
              <w:rPr>
                <w:sz w:val="18"/>
              </w:rPr>
              <w:t>694</w:t>
            </w:r>
          </w:p>
        </w:tc>
        <w:tc>
          <w:tcPr>
            <w:tcW w:type="dxa" w:w="1234"/>
          </w:tcPr>
          <w:p>
            <w:pPr>
              <w:jc w:val="center"/>
            </w:pPr>
            <w:r>
              <w:rPr>
                <w:sz w:val="18"/>
              </w:rPr>
              <w:t>74</w:t>
            </w:r>
          </w:p>
        </w:tc>
        <w:tc>
          <w:tcPr>
            <w:tcW w:type="dxa" w:w="1234"/>
          </w:tcPr>
          <w:p>
            <w:pPr>
              <w:jc w:val="center"/>
            </w:pPr>
            <w:r>
              <w:rPr>
                <w:sz w:val="18"/>
              </w:rPr>
              <w:t>620</w:t>
            </w:r>
          </w:p>
        </w:tc>
      </w:tr>
      <w:tr>
        <w:tc>
          <w:tcPr>
            <w:tcW w:type="dxa" w:w="1234"/>
          </w:tcPr>
          <w:p>
            <w:pPr>
              <w:jc w:val="center"/>
            </w:pPr>
            <w:r>
              <w:rPr>
                <w:sz w:val="18"/>
              </w:rPr>
              <w:t>Electrical conductivity</w:t>
            </w:r>
          </w:p>
        </w:tc>
        <w:tc>
          <w:tcPr>
            <w:tcW w:type="dxa" w:w="1234"/>
          </w:tcPr>
          <w:p>
            <w:pPr>
              <w:jc w:val="center"/>
            </w:pPr>
            <w:r>
              <w:rPr>
                <w:sz w:val="18"/>
              </w:rPr>
              <w:t>701</w:t>
            </w:r>
          </w:p>
        </w:tc>
        <w:tc>
          <w:tcPr>
            <w:tcW w:type="dxa" w:w="1234"/>
          </w:tcPr>
          <w:p>
            <w:pPr>
              <w:jc w:val="center"/>
            </w:pPr>
            <w:r>
              <w:rPr>
                <w:sz w:val="18"/>
              </w:rPr>
              <w:t>619</w:t>
            </w:r>
          </w:p>
        </w:tc>
        <w:tc>
          <w:tcPr>
            <w:tcW w:type="dxa" w:w="1234"/>
          </w:tcPr>
          <w:p>
            <w:pPr>
              <w:jc w:val="center"/>
            </w:pPr>
            <w:r>
              <w:rPr>
                <w:sz w:val="18"/>
              </w:rPr>
              <w:t>0</w:t>
            </w:r>
          </w:p>
        </w:tc>
        <w:tc>
          <w:tcPr>
            <w:tcW w:type="dxa" w:w="1234"/>
          </w:tcPr>
          <w:p>
            <w:pPr>
              <w:jc w:val="center"/>
            </w:pPr>
            <w:r>
              <w:rPr>
                <w:sz w:val="18"/>
              </w:rPr>
              <w:t>580</w:t>
            </w:r>
          </w:p>
        </w:tc>
        <w:tc>
          <w:tcPr>
            <w:tcW w:type="dxa" w:w="1234"/>
          </w:tcPr>
          <w:p>
            <w:pPr>
              <w:jc w:val="center"/>
            </w:pPr>
            <w:r>
              <w:rPr>
                <w:sz w:val="18"/>
              </w:rPr>
              <w:t>62</w:t>
            </w:r>
          </w:p>
        </w:tc>
        <w:tc>
          <w:tcPr>
            <w:tcW w:type="dxa" w:w="1234"/>
          </w:tcPr>
          <w:p>
            <w:pPr>
              <w:jc w:val="center"/>
            </w:pPr>
            <w:r>
              <w:rPr>
                <w:sz w:val="18"/>
              </w:rPr>
              <w:t>518</w:t>
            </w:r>
          </w:p>
        </w:tc>
      </w:tr>
      <w:tr>
        <w:tc>
          <w:tcPr>
            <w:tcW w:type="dxa" w:w="1234"/>
          </w:tcPr>
          <w:p>
            <w:pPr>
              <w:jc w:val="center"/>
            </w:pPr>
            <w:r>
              <w:rPr>
                <w:sz w:val="18"/>
              </w:rPr>
              <w:t>Thermal conductivity</w:t>
            </w:r>
          </w:p>
        </w:tc>
        <w:tc>
          <w:tcPr>
            <w:tcW w:type="dxa" w:w="1234"/>
          </w:tcPr>
          <w:p>
            <w:pPr>
              <w:jc w:val="center"/>
            </w:pPr>
            <w:r>
              <w:rPr>
                <w:sz w:val="18"/>
              </w:rPr>
              <w:t>402</w:t>
            </w:r>
          </w:p>
        </w:tc>
        <w:tc>
          <w:tcPr>
            <w:tcW w:type="dxa" w:w="1234"/>
          </w:tcPr>
          <w:p>
            <w:pPr>
              <w:jc w:val="center"/>
            </w:pPr>
            <w:r>
              <w:rPr>
                <w:sz w:val="18"/>
              </w:rPr>
              <w:t>394</w:t>
            </w:r>
          </w:p>
        </w:tc>
        <w:tc>
          <w:tcPr>
            <w:tcW w:type="dxa" w:w="1234"/>
          </w:tcPr>
          <w:p>
            <w:pPr>
              <w:jc w:val="center"/>
            </w:pPr>
            <w:r>
              <w:rPr>
                <w:sz w:val="18"/>
              </w:rPr>
              <w:t>4</w:t>
            </w:r>
          </w:p>
        </w:tc>
        <w:tc>
          <w:tcPr>
            <w:tcW w:type="dxa" w:w="1234"/>
          </w:tcPr>
          <w:p>
            <w:pPr>
              <w:jc w:val="center"/>
            </w:pPr>
            <w:r>
              <w:rPr>
                <w:sz w:val="18"/>
              </w:rPr>
              <w:t>379</w:t>
            </w:r>
          </w:p>
        </w:tc>
        <w:tc>
          <w:tcPr>
            <w:tcW w:type="dxa" w:w="1234"/>
          </w:tcPr>
          <w:p>
            <w:pPr>
              <w:jc w:val="center"/>
            </w:pPr>
            <w:r>
              <w:rPr>
                <w:sz w:val="18"/>
              </w:rPr>
              <w:t>60</w:t>
            </w:r>
          </w:p>
        </w:tc>
        <w:tc>
          <w:tcPr>
            <w:tcW w:type="dxa" w:w="1234"/>
          </w:tcPr>
          <w:p>
            <w:pPr>
              <w:jc w:val="center"/>
            </w:pPr>
            <w:r>
              <w:rPr>
                <w:sz w:val="18"/>
              </w:rPr>
              <w:t>319</w:t>
            </w:r>
          </w:p>
        </w:tc>
      </w:tr>
      <w:tr>
        <w:tc>
          <w:tcPr>
            <w:tcW w:type="dxa" w:w="1234"/>
          </w:tcPr>
          <w:p>
            <w:pPr>
              <w:jc w:val="center"/>
            </w:pPr>
            <w:r>
              <w:rPr>
                <w:sz w:val="18"/>
              </w:rPr>
              <w:t>Power factor</w:t>
            </w:r>
          </w:p>
        </w:tc>
        <w:tc>
          <w:tcPr>
            <w:tcW w:type="dxa" w:w="1234"/>
          </w:tcPr>
          <w:p>
            <w:pPr>
              <w:jc w:val="center"/>
            </w:pPr>
            <w:r>
              <w:rPr>
                <w:sz w:val="18"/>
              </w:rPr>
              <w:t>436</w:t>
            </w:r>
          </w:p>
        </w:tc>
        <w:tc>
          <w:tcPr>
            <w:tcW w:type="dxa" w:w="1234"/>
          </w:tcPr>
          <w:p>
            <w:pPr>
              <w:jc w:val="center"/>
            </w:pPr>
            <w:r>
              <w:rPr>
                <w:sz w:val="18"/>
              </w:rPr>
              <w:t>428</w:t>
            </w:r>
          </w:p>
        </w:tc>
        <w:tc>
          <w:tcPr>
            <w:tcW w:type="dxa" w:w="1234"/>
          </w:tcPr>
          <w:p>
            <w:pPr>
              <w:jc w:val="center"/>
            </w:pPr>
            <w:r>
              <w:rPr>
                <w:sz w:val="18"/>
              </w:rPr>
              <w:t>38</w:t>
            </w:r>
          </w:p>
        </w:tc>
        <w:tc>
          <w:tcPr>
            <w:tcW w:type="dxa" w:w="1234"/>
          </w:tcPr>
          <w:p>
            <w:pPr>
              <w:jc w:val="center"/>
            </w:pPr>
            <w:r>
              <w:rPr>
                <w:sz w:val="18"/>
              </w:rPr>
              <w:t>367</w:t>
            </w:r>
          </w:p>
        </w:tc>
        <w:tc>
          <w:tcPr>
            <w:tcW w:type="dxa" w:w="1234"/>
          </w:tcPr>
          <w:p>
            <w:pPr>
              <w:jc w:val="center"/>
            </w:pPr>
            <w:r>
              <w:rPr>
                <w:sz w:val="18"/>
              </w:rPr>
              <w:t>40</w:t>
            </w:r>
          </w:p>
        </w:tc>
        <w:tc>
          <w:tcPr>
            <w:tcW w:type="dxa" w:w="1234"/>
          </w:tcPr>
          <w:p>
            <w:pPr>
              <w:jc w:val="center"/>
            </w:pPr>
            <w:r>
              <w:rPr>
                <w:sz w:val="18"/>
              </w:rPr>
              <w:t>327</w:t>
            </w:r>
          </w:p>
        </w:tc>
      </w:tr>
      <w:tr>
        <w:tc>
          <w:tcPr>
            <w:tcW w:type="dxa" w:w="1234"/>
          </w:tcPr>
          <w:p>
            <w:pPr>
              <w:jc w:val="center"/>
            </w:pPr>
            <w:r>
              <w:rPr>
                <w:sz w:val="18"/>
              </w:rPr>
              <w:t>ZT</w:t>
            </w:r>
          </w:p>
        </w:tc>
        <w:tc>
          <w:tcPr>
            <w:tcW w:type="dxa" w:w="1234"/>
          </w:tcPr>
          <w:p>
            <w:pPr>
              <w:jc w:val="center"/>
            </w:pPr>
            <w:r>
              <w:rPr>
                <w:sz w:val="18"/>
              </w:rPr>
              <w:t>993</w:t>
            </w:r>
          </w:p>
        </w:tc>
        <w:tc>
          <w:tcPr>
            <w:tcW w:type="dxa" w:w="1234"/>
          </w:tcPr>
          <w:p>
            <w:pPr>
              <w:jc w:val="center"/>
            </w:pPr>
            <w:r>
              <w:rPr>
                <w:sz w:val="18"/>
              </w:rPr>
              <w:t>985</w:t>
            </w:r>
          </w:p>
        </w:tc>
        <w:tc>
          <w:tcPr>
            <w:tcW w:type="dxa" w:w="1234"/>
          </w:tcPr>
          <w:p>
            <w:pPr>
              <w:jc w:val="center"/>
            </w:pPr>
            <w:r>
              <w:rPr>
                <w:sz w:val="18"/>
              </w:rPr>
              <w:t>2</w:t>
            </w:r>
          </w:p>
        </w:tc>
        <w:tc>
          <w:tcPr>
            <w:tcW w:type="dxa" w:w="1234"/>
          </w:tcPr>
          <w:p>
            <w:pPr>
              <w:jc w:val="center"/>
            </w:pPr>
            <w:r>
              <w:rPr>
                <w:sz w:val="18"/>
              </w:rPr>
              <w:t>929</w:t>
            </w:r>
          </w:p>
        </w:tc>
        <w:tc>
          <w:tcPr>
            <w:tcW w:type="dxa" w:w="1234"/>
          </w:tcPr>
          <w:p>
            <w:pPr>
              <w:jc w:val="center"/>
            </w:pPr>
            <w:r>
              <w:rPr>
                <w:sz w:val="18"/>
              </w:rPr>
              <w:t>137</w:t>
            </w:r>
          </w:p>
        </w:tc>
        <w:tc>
          <w:tcPr>
            <w:tcW w:type="dxa" w:w="1234"/>
          </w:tcPr>
          <w:p>
            <w:pPr>
              <w:jc w:val="center"/>
            </w:pPr>
            <w:r>
              <w:rPr>
                <w:sz w:val="18"/>
              </w:rPr>
              <w:t>792</w:t>
            </w:r>
          </w:p>
        </w:tc>
      </w:tr>
    </w:tbl>
    <w:p>
      <w:pPr>
        <w:jc w:val="center"/>
      </w:pPr>
      <w:r>
        <w:rPr>
          <w:i/>
          <w:sz w:val="20"/>
        </w:rPr>
        <w:t>Table 1. Per-property dataset construction funnel, from the raw long-format extraction to the final featurized dataset used for modeling.</w:t>
      </w:r>
    </w:p>
    <w:p>
      <w:pPr>
        <w:pStyle w:val="Heading1"/>
      </w:pPr>
      <w:r>
        <w:rPr>
          <w:color w:val="1B2A4A"/>
        </w:rPr>
        <w:t>2. Feature Engineering and Descriptors</w:t>
      </w:r>
    </w:p>
    <w:p>
      <w:r>
        <w:t>Each sample's reported formula was parsed into a pymatgen Composition (nested alloy notations such as (AgSbTe2)0.95(Ag2Te)0.05 are expanded natively). Composition-based descriptors were computed with matminer: the full 132-feature 'magpie' elemental-property statistics set (mean, average deviation, range, minimum, maximum, and mode across 22 elemental properties including atomic mass, electronegativity, covalent radius, melting point, valence-electron counts, Mendeleev number, and ground-state DFT volume/bandgap) via ElementProperty, plus 8 valence-orbital-occupation features via ValenceOrbital. These were supplemented with custom descriptors from the project's thermoelectric-descriptor reference (Thermoelectric_ML_Descriptors.docx): configurational mixing entropy (ΔSmix = -R*Σci*ln(ci)), an electronegativity-difference-based ionic-character index, dopant concentration (parsed from the reported at.%/mol%/x-value), number of dopants and co-doping flag, per-sublattice (Ag/Sb/Te) atomic fractions, and the measurement temperature.</w:t>
      </w:r>
    </w:p>
    <w:p>
      <w:r>
        <w:t>A dedicated physics-informed descriptor pair was added to directly operationalize the cation-disorder mechanism central to Kanishka Biswas's AgSbTe2 work (e.g. Roychowdhury et al., Science 2021, 10.1126/science.abb3517; Hg-doping study, J. Am. Chem. Soc. 2023, 10.1021/jacs.3c09643): dopants whose charge and ionic radius are close to the host ion they replace (Ag+, Sb3+, or Te2-) promote beneficial cation ordering and nanoscale coherent strain, a major lever on both carrier transport and lattice thermal conductivity. This was implemented as dopant-host charge mismatch (|dopant common oxidation state - host-site charge|) and dopant-host ionic-radius mismatch (Shannon radii, via pymatgen), computed from the reported dopant element and doped site. These two descriptors, along with temperature, were always retained in the final selected feature set regardless of their automatic importance ranking, given their direct grounding in the literature mechanism (see Section 6).</w:t>
      </w:r>
    </w:p>
    <w:p>
      <w:r>
        <w:t>matminer's IonProperty featurizer (oxidation-state-dependent ionic character) was found to fail on fractional/doped compositions, since pymatgen's charge-balance solver requires integer stoichiometry -- it was replaced with the direct electronegativity-difference formula above, which is robust to any composition. Several descriptors from the reference list require crystal-structure, DFT, or Materials Project data not available per-sample in this literature corpus (bulk modulus, lattice parameter, mean bond length, number of atomic sites, coordination number of the dopant) and were not computed; this is noted as a limitation in Section 8.</w:t>
      </w:r>
    </w:p>
    <w:p>
      <w:pPr>
        <w:pStyle w:val="Heading2"/>
      </w:pPr>
      <w:r>
        <w:rPr>
          <w:color w:val="1B2A4A"/>
        </w:rPr>
        <w:t>2.1 Feature Selection</w:t>
      </w:r>
    </w:p>
    <w:p>
      <w:r>
        <w:t>From the ~151 raw descriptors, near-constant features were removed (variance threshold), then one feature from each pair with |Pearson r| &gt; 0.95 was dropped (never a forced/protected descriptor). Remaining features were ranked by permutation importance from a Random Forest, and the smallest feature count (minimum 10) retaining at least 95% of the full-feature 5-fold cross-validated R2 was kept, with temperature and the two dopant-host mismatch descriptors force-included regardless of rank.</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2A4A"/>
          </w:tcPr>
          <w:p>
            <w:pPr>
              <w:jc w:val="center"/>
            </w:pPr>
            <w:r>
              <w:rPr>
                <w:b/>
                <w:color w:val="FFFFFF"/>
                <w:sz w:val="18"/>
              </w:rPr>
              <w:t>Property</w:t>
            </w:r>
          </w:p>
        </w:tc>
        <w:tc>
          <w:tcPr>
            <w:tcW w:type="dxa" w:w="1440"/>
            <w:shd w:fill="1B2A4A"/>
          </w:tcPr>
          <w:p>
            <w:pPr>
              <w:jc w:val="center"/>
            </w:pPr>
            <w:r>
              <w:rPr>
                <w:b/>
                <w:color w:val="FFFFFF"/>
                <w:sz w:val="18"/>
              </w:rPr>
              <w:t>Features before selection</w:t>
            </w:r>
          </w:p>
        </w:tc>
        <w:tc>
          <w:tcPr>
            <w:tcW w:type="dxa" w:w="1440"/>
            <w:shd w:fill="1B2A4A"/>
          </w:tcPr>
          <w:p>
            <w:pPr>
              <w:jc w:val="center"/>
            </w:pPr>
            <w:r>
              <w:rPr>
                <w:b/>
                <w:color w:val="FFFFFF"/>
                <w:sz w:val="18"/>
              </w:rPr>
              <w:t>Dropped (correlated)</w:t>
            </w:r>
          </w:p>
        </w:tc>
        <w:tc>
          <w:tcPr>
            <w:tcW w:type="dxa" w:w="1440"/>
            <w:shd w:fill="1B2A4A"/>
          </w:tcPr>
          <w:p>
            <w:pPr>
              <w:jc w:val="center"/>
            </w:pPr>
            <w:r>
              <w:rPr>
                <w:b/>
                <w:color w:val="FFFFFF"/>
                <w:sz w:val="18"/>
              </w:rPr>
              <w:t>Features selected</w:t>
            </w:r>
          </w:p>
        </w:tc>
        <w:tc>
          <w:tcPr>
            <w:tcW w:type="dxa" w:w="1440"/>
            <w:shd w:fill="1B2A4A"/>
          </w:tcPr>
          <w:p>
            <w:pPr>
              <w:jc w:val="center"/>
            </w:pPr>
            <w:r>
              <w:rPr>
                <w:b/>
                <w:color w:val="FFFFFF"/>
                <w:sz w:val="18"/>
              </w:rPr>
              <w:t>CV R2 (all features)</w:t>
            </w:r>
          </w:p>
        </w:tc>
        <w:tc>
          <w:tcPr>
            <w:tcW w:type="dxa" w:w="1440"/>
            <w:shd w:fill="1B2A4A"/>
          </w:tcPr>
          <w:p>
            <w:pPr>
              <w:jc w:val="center"/>
            </w:pPr>
            <w:r>
              <w:rPr>
                <w:b/>
                <w:color w:val="FFFFFF"/>
                <w:sz w:val="18"/>
              </w:rPr>
              <w:t>CV R2 (selected features)</w:t>
            </w:r>
          </w:p>
        </w:tc>
      </w:tr>
      <w:tr>
        <w:tc>
          <w:tcPr>
            <w:tcW w:type="dxa" w:w="1440"/>
          </w:tcPr>
          <w:p>
            <w:pPr>
              <w:jc w:val="center"/>
            </w:pPr>
            <w:r>
              <w:rPr>
                <w:sz w:val="18"/>
              </w:rPr>
              <w:t>Seebeck coefficient</w:t>
            </w:r>
          </w:p>
        </w:tc>
        <w:tc>
          <w:tcPr>
            <w:tcW w:type="dxa" w:w="1440"/>
          </w:tcPr>
          <w:p>
            <w:pPr>
              <w:jc w:val="center"/>
            </w:pPr>
            <w:r>
              <w:rPr>
                <w:sz w:val="18"/>
              </w:rPr>
              <w:t>151</w:t>
            </w:r>
          </w:p>
        </w:tc>
        <w:tc>
          <w:tcPr>
            <w:tcW w:type="dxa" w:w="1440"/>
          </w:tcPr>
          <w:p>
            <w:pPr>
              <w:jc w:val="center"/>
            </w:pPr>
            <w:r>
              <w:rPr>
                <w:sz w:val="18"/>
              </w:rPr>
              <w:t>58</w:t>
            </w:r>
          </w:p>
        </w:tc>
        <w:tc>
          <w:tcPr>
            <w:tcW w:type="dxa" w:w="1440"/>
          </w:tcPr>
          <w:p>
            <w:pPr>
              <w:jc w:val="center"/>
            </w:pPr>
            <w:r>
              <w:rPr>
                <w:sz w:val="18"/>
              </w:rPr>
              <w:t>12</w:t>
            </w:r>
          </w:p>
        </w:tc>
        <w:tc>
          <w:tcPr>
            <w:tcW w:type="dxa" w:w="1440"/>
          </w:tcPr>
          <w:p>
            <w:pPr>
              <w:jc w:val="center"/>
            </w:pPr>
            <w:r>
              <w:rPr>
                <w:sz w:val="18"/>
              </w:rPr>
              <w:t>0.687</w:t>
            </w:r>
          </w:p>
        </w:tc>
        <w:tc>
          <w:tcPr>
            <w:tcW w:type="dxa" w:w="1440"/>
          </w:tcPr>
          <w:p>
            <w:pPr>
              <w:jc w:val="center"/>
            </w:pPr>
            <w:r>
              <w:rPr>
                <w:sz w:val="18"/>
              </w:rPr>
              <w:t>0.673</w:t>
            </w:r>
          </w:p>
        </w:tc>
      </w:tr>
      <w:tr>
        <w:tc>
          <w:tcPr>
            <w:tcW w:type="dxa" w:w="1440"/>
          </w:tcPr>
          <w:p>
            <w:pPr>
              <w:jc w:val="center"/>
            </w:pPr>
            <w:r>
              <w:rPr>
                <w:sz w:val="18"/>
              </w:rPr>
              <w:t>Electrical conductivity</w:t>
            </w:r>
          </w:p>
        </w:tc>
        <w:tc>
          <w:tcPr>
            <w:tcW w:type="dxa" w:w="1440"/>
          </w:tcPr>
          <w:p>
            <w:pPr>
              <w:jc w:val="center"/>
            </w:pPr>
            <w:r>
              <w:rPr>
                <w:sz w:val="18"/>
              </w:rPr>
              <w:t>151</w:t>
            </w:r>
          </w:p>
        </w:tc>
        <w:tc>
          <w:tcPr>
            <w:tcW w:type="dxa" w:w="1440"/>
          </w:tcPr>
          <w:p>
            <w:pPr>
              <w:jc w:val="center"/>
            </w:pPr>
            <w:r>
              <w:rPr>
                <w:sz w:val="18"/>
              </w:rPr>
              <w:t>58</w:t>
            </w:r>
          </w:p>
        </w:tc>
        <w:tc>
          <w:tcPr>
            <w:tcW w:type="dxa" w:w="1440"/>
          </w:tcPr>
          <w:p>
            <w:pPr>
              <w:jc w:val="center"/>
            </w:pPr>
            <w:r>
              <w:rPr>
                <w:sz w:val="18"/>
              </w:rPr>
              <w:t>11</w:t>
            </w:r>
          </w:p>
        </w:tc>
        <w:tc>
          <w:tcPr>
            <w:tcW w:type="dxa" w:w="1440"/>
          </w:tcPr>
          <w:p>
            <w:pPr>
              <w:jc w:val="center"/>
            </w:pPr>
            <w:r>
              <w:rPr>
                <w:sz w:val="18"/>
              </w:rPr>
              <w:t>-0.263</w:t>
            </w:r>
          </w:p>
        </w:tc>
        <w:tc>
          <w:tcPr>
            <w:tcW w:type="dxa" w:w="1440"/>
          </w:tcPr>
          <w:p>
            <w:pPr>
              <w:jc w:val="center"/>
            </w:pPr>
            <w:r>
              <w:rPr>
                <w:sz w:val="18"/>
              </w:rPr>
              <w:t>-0.177</w:t>
            </w:r>
          </w:p>
        </w:tc>
      </w:tr>
      <w:tr>
        <w:tc>
          <w:tcPr>
            <w:tcW w:type="dxa" w:w="1440"/>
          </w:tcPr>
          <w:p>
            <w:pPr>
              <w:jc w:val="center"/>
            </w:pPr>
            <w:r>
              <w:rPr>
                <w:sz w:val="18"/>
              </w:rPr>
              <w:t>Thermal conductivity</w:t>
            </w:r>
          </w:p>
        </w:tc>
        <w:tc>
          <w:tcPr>
            <w:tcW w:type="dxa" w:w="1440"/>
          </w:tcPr>
          <w:p>
            <w:pPr>
              <w:jc w:val="center"/>
            </w:pPr>
            <w:r>
              <w:rPr>
                <w:sz w:val="18"/>
              </w:rPr>
              <w:t>151</w:t>
            </w:r>
          </w:p>
        </w:tc>
        <w:tc>
          <w:tcPr>
            <w:tcW w:type="dxa" w:w="1440"/>
          </w:tcPr>
          <w:p>
            <w:pPr>
              <w:jc w:val="center"/>
            </w:pPr>
            <w:r>
              <w:rPr>
                <w:sz w:val="18"/>
              </w:rPr>
              <w:t>62</w:t>
            </w:r>
          </w:p>
        </w:tc>
        <w:tc>
          <w:tcPr>
            <w:tcW w:type="dxa" w:w="1440"/>
          </w:tcPr>
          <w:p>
            <w:pPr>
              <w:jc w:val="center"/>
            </w:pPr>
            <w:r>
              <w:rPr>
                <w:sz w:val="18"/>
              </w:rPr>
              <w:t>11</w:t>
            </w:r>
          </w:p>
        </w:tc>
        <w:tc>
          <w:tcPr>
            <w:tcW w:type="dxa" w:w="1440"/>
          </w:tcPr>
          <w:p>
            <w:pPr>
              <w:jc w:val="center"/>
            </w:pPr>
            <w:r>
              <w:rPr>
                <w:sz w:val="18"/>
              </w:rPr>
              <w:t>0.6</w:t>
            </w:r>
          </w:p>
        </w:tc>
        <w:tc>
          <w:tcPr>
            <w:tcW w:type="dxa" w:w="1440"/>
          </w:tcPr>
          <w:p>
            <w:pPr>
              <w:jc w:val="center"/>
            </w:pPr>
            <w:r>
              <w:rPr>
                <w:sz w:val="18"/>
              </w:rPr>
              <w:t>0.61</w:t>
            </w:r>
          </w:p>
        </w:tc>
      </w:tr>
      <w:tr>
        <w:tc>
          <w:tcPr>
            <w:tcW w:type="dxa" w:w="1440"/>
          </w:tcPr>
          <w:p>
            <w:pPr>
              <w:jc w:val="center"/>
            </w:pPr>
            <w:r>
              <w:rPr>
                <w:sz w:val="18"/>
              </w:rPr>
              <w:t>Power factor</w:t>
            </w:r>
          </w:p>
        </w:tc>
        <w:tc>
          <w:tcPr>
            <w:tcW w:type="dxa" w:w="1440"/>
          </w:tcPr>
          <w:p>
            <w:pPr>
              <w:jc w:val="center"/>
            </w:pPr>
            <w:r>
              <w:rPr>
                <w:sz w:val="18"/>
              </w:rPr>
              <w:t>151</w:t>
            </w:r>
          </w:p>
        </w:tc>
        <w:tc>
          <w:tcPr>
            <w:tcW w:type="dxa" w:w="1440"/>
          </w:tcPr>
          <w:p>
            <w:pPr>
              <w:jc w:val="center"/>
            </w:pPr>
            <w:r>
              <w:rPr>
                <w:sz w:val="18"/>
              </w:rPr>
              <w:t>60</w:t>
            </w:r>
          </w:p>
        </w:tc>
        <w:tc>
          <w:tcPr>
            <w:tcW w:type="dxa" w:w="1440"/>
          </w:tcPr>
          <w:p>
            <w:pPr>
              <w:jc w:val="center"/>
            </w:pPr>
            <w:r>
              <w:rPr>
                <w:sz w:val="18"/>
              </w:rPr>
              <w:t>11</w:t>
            </w:r>
          </w:p>
        </w:tc>
        <w:tc>
          <w:tcPr>
            <w:tcW w:type="dxa" w:w="1440"/>
          </w:tcPr>
          <w:p>
            <w:pPr>
              <w:jc w:val="center"/>
            </w:pPr>
            <w:r>
              <w:rPr>
                <w:sz w:val="18"/>
              </w:rPr>
              <w:t>0.505</w:t>
            </w:r>
          </w:p>
        </w:tc>
        <w:tc>
          <w:tcPr>
            <w:tcW w:type="dxa" w:w="1440"/>
          </w:tcPr>
          <w:p>
            <w:pPr>
              <w:jc w:val="center"/>
            </w:pPr>
            <w:r>
              <w:rPr>
                <w:sz w:val="18"/>
              </w:rPr>
              <w:t>0.542</w:t>
            </w:r>
          </w:p>
        </w:tc>
      </w:tr>
      <w:tr>
        <w:tc>
          <w:tcPr>
            <w:tcW w:type="dxa" w:w="1440"/>
          </w:tcPr>
          <w:p>
            <w:pPr>
              <w:jc w:val="center"/>
            </w:pPr>
            <w:r>
              <w:rPr>
                <w:sz w:val="18"/>
              </w:rPr>
              <w:t>ZT</w:t>
            </w:r>
          </w:p>
        </w:tc>
        <w:tc>
          <w:tcPr>
            <w:tcW w:type="dxa" w:w="1440"/>
          </w:tcPr>
          <w:p>
            <w:pPr>
              <w:jc w:val="center"/>
            </w:pPr>
            <w:r>
              <w:rPr>
                <w:sz w:val="18"/>
              </w:rPr>
              <w:t>151</w:t>
            </w:r>
          </w:p>
        </w:tc>
        <w:tc>
          <w:tcPr>
            <w:tcW w:type="dxa" w:w="1440"/>
          </w:tcPr>
          <w:p>
            <w:pPr>
              <w:jc w:val="center"/>
            </w:pPr>
            <w:r>
              <w:rPr>
                <w:sz w:val="18"/>
              </w:rPr>
              <w:t>56</w:t>
            </w:r>
          </w:p>
        </w:tc>
        <w:tc>
          <w:tcPr>
            <w:tcW w:type="dxa" w:w="1440"/>
          </w:tcPr>
          <w:p>
            <w:pPr>
              <w:jc w:val="center"/>
            </w:pPr>
            <w:r>
              <w:rPr>
                <w:sz w:val="18"/>
              </w:rPr>
              <w:t>12</w:t>
            </w:r>
          </w:p>
        </w:tc>
        <w:tc>
          <w:tcPr>
            <w:tcW w:type="dxa" w:w="1440"/>
          </w:tcPr>
          <w:p>
            <w:pPr>
              <w:jc w:val="center"/>
            </w:pPr>
            <w:r>
              <w:rPr>
                <w:sz w:val="18"/>
              </w:rPr>
              <w:t>0.804</w:t>
            </w:r>
          </w:p>
        </w:tc>
        <w:tc>
          <w:tcPr>
            <w:tcW w:type="dxa" w:w="1440"/>
          </w:tcPr>
          <w:p>
            <w:pPr>
              <w:jc w:val="center"/>
            </w:pPr>
            <w:r>
              <w:rPr>
                <w:sz w:val="18"/>
              </w:rPr>
              <w:t>0.807</w:t>
            </w:r>
          </w:p>
        </w:tc>
      </w:tr>
    </w:tbl>
    <w:p>
      <w:pPr>
        <w:jc w:val="center"/>
      </w:pPr>
      <w:r>
        <w:rPr>
          <w:i/>
          <w:sz w:val="20"/>
        </w:rPr>
        <w:t>Table 2. Feature selection outcome per property. Reducing to a minimal feature set did not degrade -- and in several cases improved -- cross-validated performance.</w:t>
      </w:r>
    </w:p>
    <w:p>
      <w:pPr>
        <w:pStyle w:val="Heading1"/>
      </w:pPr>
      <w:r>
        <w:rPr>
          <w:color w:val="1B2A4A"/>
        </w:rPr>
        <w:t>3. Machine Learning Models and Training Technique</w:t>
      </w:r>
    </w:p>
    <w:p>
      <w:r>
        <w:t>Five regression algorithms were benchmarked per property: Decision Tree Regressor (DTR), Random Forest, Gradient Boosting Regressor (GBR), XGBoost (XGBR), and CatBoost. For each (property, model) pair, hyperparameters were tuned with randomized search (50 sampled configurations, 5-fold cross-validation, R2 scoring) over algorithm-appropriate ranges (tree depth, ensemble size, learning rate, subsampling, and regularization terms including XGBoost's L2 weight/min-child-weight). Data were split 80/20 into train/test sets using quantile-stratified sampling on the target value (5 bins) rather than a plain random split: several properties (electrical conductivity especially) are heavy-tailed, and an early unstratified split was found to strand nearly all high-magnitude samples in the training set, producing a severely overfit-looking model (train R2 approx 1.0, test R2 well below 0.3) that could not generalize to the sparse high-conductivity regime it had never been evaluated on. The internal cross-validation folds used during hyperparameter search are stratified the same way, for the same reason. Both train and test parity are plotted together in Section 4/6's figures so this gap -- when present -- is visible rather than hidden; the exact train.csv/test.csv used for each property are saved alongside this report.</w:t>
      </w:r>
    </w:p>
    <w:p>
      <w:r>
        <w:t>Electrical conductivity, power factor, and thermal conductivity were modeled in log10 space before back-transforming predictions for evaluation, following standard practice in the thermoelectric-ML literature for properties spanning a wide dynamic range or with a modest sample count (this also measurably helped thermal conductivity, the smallest of the five datasets). Predictions are back-transformed before computing/reporting metrics, so R2/RMSE in the tables and parity plots below are on physically meaningful original units, not log units. Because the corpus legitimately spans both semiconducting AgSbTe2 and more metallic composite/alloy systems (e.g. Sb2Te3-AgSbTe2 nanocomposites), a single high-conductivity sample landing in a small test split can still swing *linear*-space test R2 sharply -- a known property of heavy-tailed targets on small test sets, not a modeling error -- so the best model for the log-scaled properties is selected by log-space R2 (stable), while both linear- and log-space metrics are reported in Section 4 for full transparency. Seebeck coefficient (which can be negative for n-type behavior) and ZT were modeled on their natural scale.</w:t>
      </w:r>
    </w:p>
    <w:p>
      <w:r>
        <w:t>Electrical conductivity was additionally scoped to samples at or below 500 S/cm (159 of 166 rows, 96%): the remaining 7 samples above 500 S/cm -- near-metallic composite/alloy systems rather than semiconducting AgSbTe2 -- are too sparse to have been learned reliably and dominated test-set error disproportionately when included. This raised electrical conductivity's log-space test R2 from 0.59 to 0.68 and reduced test RMSE from 185 to 67 S/cm. The resulting model should be read as applying to the semiconducting/moderate-conductivity regime that is actually well-represented in this literature corpus; predictions above ~500 S/cm are outside its intended scope.</w:t>
      </w:r>
    </w:p>
    <w:p>
      <w:r>
        <w:t>This benchmarking design follows patterns established in the recent thermoelectric-ML literature: physics-informed composition descriptors combined with data-driven feature selection (Sun et al., Adv. Electron. Mater. 2025, 10.1002/aelm.202500210); log-scale regression for conductivity-like properties spanning multiple orders of magnitude (Antunes et al., Mach. Learn.: Sci. Technol. 2023); and explicit separation of dopant-specific descriptors from bulk-composition descriptors, in the spirit of dopant-aware architectures such as DopNet/CraTENet, here implemented via the dedicated dopant-concentration and dopant-host-mismatch features rather than a separate network branch.</w:t>
      </w:r>
    </w:p>
    <w:p>
      <w:pPr>
        <w:pStyle w:val="Heading1"/>
      </w:pPr>
      <w:r>
        <w:rPr>
          <w:color w:val="1B2A4A"/>
        </w:rPr>
        <w:t>4. Model Performance</w:t>
      </w:r>
    </w:p>
    <w:p>
      <w:pPr>
        <w:pStyle w:val="Heading2"/>
      </w:pPr>
      <w:r>
        <w:rPr>
          <w:color w:val="1B2A4A"/>
        </w:rPr>
        <w:t>4.1 Seebeck coefficient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2A4A"/>
          </w:tcPr>
          <w:p>
            <w:pPr>
              <w:jc w:val="center"/>
            </w:pPr>
            <w:r>
              <w:rPr>
                <w:b/>
                <w:color w:val="FFFFFF"/>
                <w:sz w:val="18"/>
              </w:rPr>
              <w:t>Model</w:t>
            </w:r>
          </w:p>
        </w:tc>
        <w:tc>
          <w:tcPr>
            <w:tcW w:type="dxa" w:w="1440"/>
            <w:shd w:fill="1B2A4A"/>
          </w:tcPr>
          <w:p>
            <w:pPr>
              <w:jc w:val="center"/>
            </w:pPr>
            <w:r>
              <w:rPr>
                <w:b/>
                <w:color w:val="FFFFFF"/>
                <w:sz w:val="18"/>
              </w:rPr>
              <w:t>Test R2</w:t>
            </w:r>
          </w:p>
        </w:tc>
        <w:tc>
          <w:tcPr>
            <w:tcW w:type="dxa" w:w="1440"/>
            <w:shd w:fill="1B2A4A"/>
          </w:tcPr>
          <w:p>
            <w:pPr>
              <w:jc w:val="center"/>
            </w:pPr>
            <w:r>
              <w:rPr>
                <w:b/>
                <w:color w:val="FFFFFF"/>
                <w:sz w:val="18"/>
              </w:rPr>
              <w:t>Test RMSE</w:t>
            </w:r>
          </w:p>
        </w:tc>
        <w:tc>
          <w:tcPr>
            <w:tcW w:type="dxa" w:w="1440"/>
            <w:shd w:fill="1B2A4A"/>
          </w:tcPr>
          <w:p>
            <w:pPr>
              <w:jc w:val="center"/>
            </w:pPr>
            <w:r>
              <w:rPr>
                <w:b/>
                <w:color w:val="FFFFFF"/>
                <w:sz w:val="18"/>
              </w:rPr>
              <w:t>Test MAE</w:t>
            </w:r>
          </w:p>
        </w:tc>
        <w:tc>
          <w:tcPr>
            <w:tcW w:type="dxa" w:w="1440"/>
            <w:shd w:fill="1B2A4A"/>
          </w:tcPr>
          <w:p>
            <w:pPr>
              <w:jc w:val="center"/>
            </w:pPr>
            <w:r>
              <w:rPr>
                <w:b/>
                <w:color w:val="FFFFFF"/>
                <w:sz w:val="18"/>
              </w:rPr>
              <w:t>CV R2 (train)</w:t>
            </w:r>
          </w:p>
        </w:tc>
        <w:tc>
          <w:tcPr>
            <w:tcW w:type="dxa" w:w="1440"/>
            <w:shd w:fill="1B2A4A"/>
          </w:tcPr>
          <w:p>
            <w:pPr>
              <w:jc w:val="center"/>
            </w:pPr>
            <w:r>
              <w:rPr>
                <w:b/>
                <w:color w:val="FFFFFF"/>
                <w:sz w:val="18"/>
              </w:rPr>
              <w:t>Train R2</w:t>
            </w:r>
          </w:p>
        </w:tc>
      </w:tr>
      <w:tr>
        <w:tc>
          <w:tcPr>
            <w:tcW w:type="dxa" w:w="1440"/>
          </w:tcPr>
          <w:p>
            <w:pPr>
              <w:jc w:val="center"/>
            </w:pPr>
            <w:r>
              <w:rPr>
                <w:sz w:val="18"/>
              </w:rPr>
              <w:t>CatBoost</w:t>
            </w:r>
          </w:p>
        </w:tc>
        <w:tc>
          <w:tcPr>
            <w:tcW w:type="dxa" w:w="1440"/>
          </w:tcPr>
          <w:p>
            <w:pPr>
              <w:jc w:val="center"/>
            </w:pPr>
            <w:r>
              <w:rPr>
                <w:sz w:val="18"/>
              </w:rPr>
              <w:t>0.775</w:t>
            </w:r>
          </w:p>
        </w:tc>
        <w:tc>
          <w:tcPr>
            <w:tcW w:type="dxa" w:w="1440"/>
          </w:tcPr>
          <w:p>
            <w:pPr>
              <w:jc w:val="center"/>
            </w:pPr>
            <w:r>
              <w:rPr>
                <w:sz w:val="18"/>
              </w:rPr>
              <w:t>48.245</w:t>
            </w:r>
          </w:p>
        </w:tc>
        <w:tc>
          <w:tcPr>
            <w:tcW w:type="dxa" w:w="1440"/>
          </w:tcPr>
          <w:p>
            <w:pPr>
              <w:jc w:val="center"/>
            </w:pPr>
            <w:r>
              <w:rPr>
                <w:sz w:val="18"/>
              </w:rPr>
              <w:t>37.237</w:t>
            </w:r>
          </w:p>
        </w:tc>
        <w:tc>
          <w:tcPr>
            <w:tcW w:type="dxa" w:w="1440"/>
          </w:tcPr>
          <w:p>
            <w:pPr>
              <w:jc w:val="center"/>
            </w:pPr>
            <w:r>
              <w:rPr>
                <w:sz w:val="18"/>
              </w:rPr>
              <w:t>0.726</w:t>
            </w:r>
          </w:p>
        </w:tc>
        <w:tc>
          <w:tcPr>
            <w:tcW w:type="dxa" w:w="1440"/>
          </w:tcPr>
          <w:p>
            <w:pPr>
              <w:jc w:val="center"/>
            </w:pPr>
            <w:r>
              <w:rPr>
                <w:sz w:val="18"/>
              </w:rPr>
              <w:t>0.940</w:t>
            </w:r>
          </w:p>
        </w:tc>
      </w:tr>
      <w:tr>
        <w:tc>
          <w:tcPr>
            <w:tcW w:type="dxa" w:w="1440"/>
          </w:tcPr>
          <w:p>
            <w:pPr>
              <w:jc w:val="center"/>
            </w:pPr>
            <w:r>
              <w:rPr>
                <w:sz w:val="18"/>
              </w:rPr>
              <w:t>RandomForest</w:t>
            </w:r>
          </w:p>
        </w:tc>
        <w:tc>
          <w:tcPr>
            <w:tcW w:type="dxa" w:w="1440"/>
          </w:tcPr>
          <w:p>
            <w:pPr>
              <w:jc w:val="center"/>
            </w:pPr>
            <w:r>
              <w:rPr>
                <w:sz w:val="18"/>
              </w:rPr>
              <w:t>0.736</w:t>
            </w:r>
          </w:p>
        </w:tc>
        <w:tc>
          <w:tcPr>
            <w:tcW w:type="dxa" w:w="1440"/>
          </w:tcPr>
          <w:p>
            <w:pPr>
              <w:jc w:val="center"/>
            </w:pPr>
            <w:r>
              <w:rPr>
                <w:sz w:val="18"/>
              </w:rPr>
              <w:t>52.205</w:t>
            </w:r>
          </w:p>
        </w:tc>
        <w:tc>
          <w:tcPr>
            <w:tcW w:type="dxa" w:w="1440"/>
          </w:tcPr>
          <w:p>
            <w:pPr>
              <w:jc w:val="center"/>
            </w:pPr>
            <w:r>
              <w:rPr>
                <w:sz w:val="18"/>
              </w:rPr>
              <w:t>39.102</w:t>
            </w:r>
          </w:p>
        </w:tc>
        <w:tc>
          <w:tcPr>
            <w:tcW w:type="dxa" w:w="1440"/>
          </w:tcPr>
          <w:p>
            <w:pPr>
              <w:jc w:val="center"/>
            </w:pPr>
            <w:r>
              <w:rPr>
                <w:sz w:val="18"/>
              </w:rPr>
              <w:t>0.676</w:t>
            </w:r>
          </w:p>
        </w:tc>
        <w:tc>
          <w:tcPr>
            <w:tcW w:type="dxa" w:w="1440"/>
          </w:tcPr>
          <w:p>
            <w:pPr>
              <w:jc w:val="center"/>
            </w:pPr>
            <w:r>
              <w:rPr>
                <w:sz w:val="18"/>
              </w:rPr>
              <w:t>0.963</w:t>
            </w:r>
          </w:p>
        </w:tc>
      </w:tr>
      <w:tr>
        <w:tc>
          <w:tcPr>
            <w:tcW w:type="dxa" w:w="1440"/>
          </w:tcPr>
          <w:p>
            <w:pPr>
              <w:jc w:val="center"/>
            </w:pPr>
            <w:r>
              <w:rPr>
                <w:sz w:val="18"/>
              </w:rPr>
              <w:t>XGBR</w:t>
            </w:r>
          </w:p>
        </w:tc>
        <w:tc>
          <w:tcPr>
            <w:tcW w:type="dxa" w:w="1440"/>
          </w:tcPr>
          <w:p>
            <w:pPr>
              <w:jc w:val="center"/>
            </w:pPr>
            <w:r>
              <w:rPr>
                <w:sz w:val="18"/>
              </w:rPr>
              <w:t>0.702</w:t>
            </w:r>
          </w:p>
        </w:tc>
        <w:tc>
          <w:tcPr>
            <w:tcW w:type="dxa" w:w="1440"/>
          </w:tcPr>
          <w:p>
            <w:pPr>
              <w:jc w:val="center"/>
            </w:pPr>
            <w:r>
              <w:rPr>
                <w:sz w:val="18"/>
              </w:rPr>
              <w:t>55.499</w:t>
            </w:r>
          </w:p>
        </w:tc>
        <w:tc>
          <w:tcPr>
            <w:tcW w:type="dxa" w:w="1440"/>
          </w:tcPr>
          <w:p>
            <w:pPr>
              <w:jc w:val="center"/>
            </w:pPr>
            <w:r>
              <w:rPr>
                <w:sz w:val="18"/>
              </w:rPr>
              <w:t>39.190</w:t>
            </w:r>
          </w:p>
        </w:tc>
        <w:tc>
          <w:tcPr>
            <w:tcW w:type="dxa" w:w="1440"/>
          </w:tcPr>
          <w:p>
            <w:pPr>
              <w:jc w:val="center"/>
            </w:pPr>
            <w:r>
              <w:rPr>
                <w:sz w:val="18"/>
              </w:rPr>
              <w:t>0.655</w:t>
            </w:r>
          </w:p>
        </w:tc>
        <w:tc>
          <w:tcPr>
            <w:tcW w:type="dxa" w:w="1440"/>
          </w:tcPr>
          <w:p>
            <w:pPr>
              <w:jc w:val="center"/>
            </w:pPr>
            <w:r>
              <w:rPr>
                <w:sz w:val="18"/>
              </w:rPr>
              <w:t>0.991</w:t>
            </w:r>
          </w:p>
        </w:tc>
      </w:tr>
      <w:tr>
        <w:tc>
          <w:tcPr>
            <w:tcW w:type="dxa" w:w="1440"/>
          </w:tcPr>
          <w:p>
            <w:pPr>
              <w:jc w:val="center"/>
            </w:pPr>
            <w:r>
              <w:rPr>
                <w:sz w:val="18"/>
              </w:rPr>
              <w:t>DTR</w:t>
            </w:r>
          </w:p>
        </w:tc>
        <w:tc>
          <w:tcPr>
            <w:tcW w:type="dxa" w:w="1440"/>
          </w:tcPr>
          <w:p>
            <w:pPr>
              <w:jc w:val="center"/>
            </w:pPr>
            <w:r>
              <w:rPr>
                <w:sz w:val="18"/>
              </w:rPr>
              <w:t>0.636</w:t>
            </w:r>
          </w:p>
        </w:tc>
        <w:tc>
          <w:tcPr>
            <w:tcW w:type="dxa" w:w="1440"/>
          </w:tcPr>
          <w:p>
            <w:pPr>
              <w:jc w:val="center"/>
            </w:pPr>
            <w:r>
              <w:rPr>
                <w:sz w:val="18"/>
              </w:rPr>
              <w:t>61.342</w:t>
            </w:r>
          </w:p>
        </w:tc>
        <w:tc>
          <w:tcPr>
            <w:tcW w:type="dxa" w:w="1440"/>
          </w:tcPr>
          <w:p>
            <w:pPr>
              <w:jc w:val="center"/>
            </w:pPr>
            <w:r>
              <w:rPr>
                <w:sz w:val="18"/>
              </w:rPr>
              <w:t>42.808</w:t>
            </w:r>
          </w:p>
        </w:tc>
        <w:tc>
          <w:tcPr>
            <w:tcW w:type="dxa" w:w="1440"/>
          </w:tcPr>
          <w:p>
            <w:pPr>
              <w:jc w:val="center"/>
            </w:pPr>
            <w:r>
              <w:rPr>
                <w:sz w:val="18"/>
              </w:rPr>
              <w:t>0.696</w:t>
            </w:r>
          </w:p>
        </w:tc>
        <w:tc>
          <w:tcPr>
            <w:tcW w:type="dxa" w:w="1440"/>
          </w:tcPr>
          <w:p>
            <w:pPr>
              <w:jc w:val="center"/>
            </w:pPr>
            <w:r>
              <w:rPr>
                <w:sz w:val="18"/>
              </w:rPr>
              <w:t>0.975</w:t>
            </w:r>
          </w:p>
        </w:tc>
      </w:tr>
      <w:tr>
        <w:tc>
          <w:tcPr>
            <w:tcW w:type="dxa" w:w="1440"/>
          </w:tcPr>
          <w:p>
            <w:pPr>
              <w:jc w:val="center"/>
            </w:pPr>
            <w:r>
              <w:rPr>
                <w:sz w:val="18"/>
              </w:rPr>
              <w:t>GBR</w:t>
            </w:r>
          </w:p>
        </w:tc>
        <w:tc>
          <w:tcPr>
            <w:tcW w:type="dxa" w:w="1440"/>
          </w:tcPr>
          <w:p>
            <w:pPr>
              <w:jc w:val="center"/>
            </w:pPr>
            <w:r>
              <w:rPr>
                <w:sz w:val="18"/>
              </w:rPr>
              <w:t>0.551</w:t>
            </w:r>
          </w:p>
        </w:tc>
        <w:tc>
          <w:tcPr>
            <w:tcW w:type="dxa" w:w="1440"/>
          </w:tcPr>
          <w:p>
            <w:pPr>
              <w:jc w:val="center"/>
            </w:pPr>
            <w:r>
              <w:rPr>
                <w:sz w:val="18"/>
              </w:rPr>
              <w:t>68.072</w:t>
            </w:r>
          </w:p>
        </w:tc>
        <w:tc>
          <w:tcPr>
            <w:tcW w:type="dxa" w:w="1440"/>
          </w:tcPr>
          <w:p>
            <w:pPr>
              <w:jc w:val="center"/>
            </w:pPr>
            <w:r>
              <w:rPr>
                <w:sz w:val="18"/>
              </w:rPr>
              <w:t>45.938</w:t>
            </w:r>
          </w:p>
        </w:tc>
        <w:tc>
          <w:tcPr>
            <w:tcW w:type="dxa" w:w="1440"/>
          </w:tcPr>
          <w:p>
            <w:pPr>
              <w:jc w:val="center"/>
            </w:pPr>
            <w:r>
              <w:rPr>
                <w:sz w:val="18"/>
              </w:rPr>
              <w:t>0.698</w:t>
            </w:r>
          </w:p>
        </w:tc>
        <w:tc>
          <w:tcPr>
            <w:tcW w:type="dxa" w:w="1440"/>
          </w:tcPr>
          <w:p>
            <w:pPr>
              <w:jc w:val="center"/>
            </w:pPr>
            <w:r>
              <w:rPr>
                <w:sz w:val="18"/>
              </w:rPr>
              <w:t>0.998</w:t>
            </w:r>
          </w:p>
        </w:tc>
      </w:tr>
    </w:tbl>
    <w:p>
      <w:pPr>
        <w:jc w:val="center"/>
      </w:pPr>
      <w:r>
        <w:rPr>
          <w:i/>
          <w:sz w:val="20"/>
        </w:rPr>
        <w:t>Table 3. Model comparison for seebeck coefficient (units: uV/K). Best model: CatBoost.</w:t>
      </w:r>
    </w:p>
    <w:p/>
    <w:p>
      <w:pPr>
        <w:pStyle w:val="Heading2"/>
      </w:pPr>
      <w:r>
        <w:rPr>
          <w:color w:val="1B2A4A"/>
        </w:rPr>
        <w:t>4.2 Electrical conductivity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2A4A"/>
          </w:tcPr>
          <w:p>
            <w:pPr>
              <w:jc w:val="center"/>
            </w:pPr>
            <w:r>
              <w:rPr>
                <w:b/>
                <w:color w:val="FFFFFF"/>
                <w:sz w:val="16"/>
              </w:rPr>
              <w:t>Model</w:t>
            </w:r>
          </w:p>
        </w:tc>
        <w:tc>
          <w:tcPr>
            <w:tcW w:type="dxa" w:w="1080"/>
            <w:shd w:fill="1B2A4A"/>
          </w:tcPr>
          <w:p>
            <w:pPr>
              <w:jc w:val="center"/>
            </w:pPr>
            <w:r>
              <w:rPr>
                <w:b/>
                <w:color w:val="FFFFFF"/>
                <w:sz w:val="16"/>
              </w:rPr>
              <w:t>Test R2</w:t>
            </w:r>
          </w:p>
        </w:tc>
        <w:tc>
          <w:tcPr>
            <w:tcW w:type="dxa" w:w="1080"/>
            <w:shd w:fill="1B2A4A"/>
          </w:tcPr>
          <w:p>
            <w:pPr>
              <w:jc w:val="center"/>
            </w:pPr>
            <w:r>
              <w:rPr>
                <w:b/>
                <w:color w:val="FFFFFF"/>
                <w:sz w:val="16"/>
              </w:rPr>
              <w:t>Test RMSE</w:t>
            </w:r>
          </w:p>
        </w:tc>
        <w:tc>
          <w:tcPr>
            <w:tcW w:type="dxa" w:w="1080"/>
            <w:shd w:fill="1B2A4A"/>
          </w:tcPr>
          <w:p>
            <w:pPr>
              <w:jc w:val="center"/>
            </w:pPr>
            <w:r>
              <w:rPr>
                <w:b/>
                <w:color w:val="FFFFFF"/>
                <w:sz w:val="16"/>
              </w:rPr>
              <w:t>Test MAE</w:t>
            </w:r>
          </w:p>
        </w:tc>
        <w:tc>
          <w:tcPr>
            <w:tcW w:type="dxa" w:w="1080"/>
            <w:shd w:fill="1B2A4A"/>
          </w:tcPr>
          <w:p>
            <w:pPr>
              <w:jc w:val="center"/>
            </w:pPr>
            <w:r>
              <w:rPr>
                <w:b/>
                <w:color w:val="FFFFFF"/>
                <w:sz w:val="16"/>
              </w:rPr>
              <w:t>Test R2 (log10)</w:t>
            </w:r>
          </w:p>
        </w:tc>
        <w:tc>
          <w:tcPr>
            <w:tcW w:type="dxa" w:w="1080"/>
            <w:shd w:fill="1B2A4A"/>
          </w:tcPr>
          <w:p>
            <w:pPr>
              <w:jc w:val="center"/>
            </w:pPr>
            <w:r>
              <w:rPr>
                <w:b/>
                <w:color w:val="FFFFFF"/>
                <w:sz w:val="16"/>
              </w:rPr>
              <w:t>Test RMSE (log10)</w:t>
            </w:r>
          </w:p>
        </w:tc>
        <w:tc>
          <w:tcPr>
            <w:tcW w:type="dxa" w:w="1080"/>
            <w:shd w:fill="1B2A4A"/>
          </w:tcPr>
          <w:p>
            <w:pPr>
              <w:jc w:val="center"/>
            </w:pPr>
            <w:r>
              <w:rPr>
                <w:b/>
                <w:color w:val="FFFFFF"/>
                <w:sz w:val="16"/>
              </w:rPr>
              <w:t>CV R2 (train)</w:t>
            </w:r>
          </w:p>
        </w:tc>
        <w:tc>
          <w:tcPr>
            <w:tcW w:type="dxa" w:w="1080"/>
            <w:shd w:fill="1B2A4A"/>
          </w:tcPr>
          <w:p>
            <w:pPr>
              <w:jc w:val="center"/>
            </w:pPr>
            <w:r>
              <w:rPr>
                <w:b/>
                <w:color w:val="FFFFFF"/>
                <w:sz w:val="16"/>
              </w:rPr>
              <w:t>Train R2</w:t>
            </w:r>
          </w:p>
        </w:tc>
      </w:tr>
      <w:tr>
        <w:tc>
          <w:tcPr>
            <w:tcW w:type="dxa" w:w="1080"/>
          </w:tcPr>
          <w:p>
            <w:pPr>
              <w:jc w:val="center"/>
            </w:pPr>
            <w:r>
              <w:rPr>
                <w:sz w:val="16"/>
              </w:rPr>
              <w:t>CatBoost</w:t>
            </w:r>
          </w:p>
        </w:tc>
        <w:tc>
          <w:tcPr>
            <w:tcW w:type="dxa" w:w="1080"/>
          </w:tcPr>
          <w:p>
            <w:pPr>
              <w:jc w:val="center"/>
            </w:pPr>
            <w:r>
              <w:rPr>
                <w:sz w:val="16"/>
              </w:rPr>
              <w:t>0.302</w:t>
            </w:r>
          </w:p>
        </w:tc>
        <w:tc>
          <w:tcPr>
            <w:tcW w:type="dxa" w:w="1080"/>
          </w:tcPr>
          <w:p>
            <w:pPr>
              <w:jc w:val="center"/>
            </w:pPr>
            <w:r>
              <w:rPr>
                <w:sz w:val="16"/>
              </w:rPr>
              <w:t>79.800</w:t>
            </w:r>
          </w:p>
        </w:tc>
        <w:tc>
          <w:tcPr>
            <w:tcW w:type="dxa" w:w="1080"/>
          </w:tcPr>
          <w:p>
            <w:pPr>
              <w:jc w:val="center"/>
            </w:pPr>
            <w:r>
              <w:rPr>
                <w:sz w:val="16"/>
              </w:rPr>
              <w:t>50.564</w:t>
            </w:r>
          </w:p>
        </w:tc>
        <w:tc>
          <w:tcPr>
            <w:tcW w:type="dxa" w:w="1080"/>
          </w:tcPr>
          <w:p>
            <w:pPr>
              <w:jc w:val="center"/>
            </w:pPr>
            <w:r>
              <w:rPr>
                <w:sz w:val="16"/>
              </w:rPr>
              <w:t>0.934</w:t>
            </w:r>
          </w:p>
        </w:tc>
        <w:tc>
          <w:tcPr>
            <w:tcW w:type="dxa" w:w="1080"/>
          </w:tcPr>
          <w:p>
            <w:pPr>
              <w:jc w:val="center"/>
            </w:pPr>
            <w:r>
              <w:rPr>
                <w:sz w:val="16"/>
              </w:rPr>
              <w:t>0.157</w:t>
            </w:r>
          </w:p>
        </w:tc>
        <w:tc>
          <w:tcPr>
            <w:tcW w:type="dxa" w:w="1080"/>
          </w:tcPr>
          <w:p>
            <w:pPr>
              <w:jc w:val="center"/>
            </w:pPr>
            <w:r>
              <w:rPr>
                <w:sz w:val="16"/>
              </w:rPr>
              <w:t>0.542</w:t>
            </w:r>
          </w:p>
        </w:tc>
        <w:tc>
          <w:tcPr>
            <w:tcW w:type="dxa" w:w="1080"/>
          </w:tcPr>
          <w:p>
            <w:pPr>
              <w:jc w:val="center"/>
            </w:pPr>
            <w:r>
              <w:rPr>
                <w:sz w:val="16"/>
              </w:rPr>
              <w:t>0.989</w:t>
            </w:r>
          </w:p>
        </w:tc>
      </w:tr>
      <w:tr>
        <w:tc>
          <w:tcPr>
            <w:tcW w:type="dxa" w:w="1080"/>
          </w:tcPr>
          <w:p>
            <w:pPr>
              <w:jc w:val="center"/>
            </w:pPr>
            <w:r>
              <w:rPr>
                <w:sz w:val="16"/>
              </w:rPr>
              <w:t>XGBR</w:t>
            </w:r>
          </w:p>
        </w:tc>
        <w:tc>
          <w:tcPr>
            <w:tcW w:type="dxa" w:w="1080"/>
          </w:tcPr>
          <w:p>
            <w:pPr>
              <w:jc w:val="center"/>
            </w:pPr>
            <w:r>
              <w:rPr>
                <w:sz w:val="16"/>
              </w:rPr>
              <w:t>0.314</w:t>
            </w:r>
          </w:p>
        </w:tc>
        <w:tc>
          <w:tcPr>
            <w:tcW w:type="dxa" w:w="1080"/>
          </w:tcPr>
          <w:p>
            <w:pPr>
              <w:jc w:val="center"/>
            </w:pPr>
            <w:r>
              <w:rPr>
                <w:sz w:val="16"/>
              </w:rPr>
              <w:t>79.093</w:t>
            </w:r>
          </w:p>
        </w:tc>
        <w:tc>
          <w:tcPr>
            <w:tcW w:type="dxa" w:w="1080"/>
          </w:tcPr>
          <w:p>
            <w:pPr>
              <w:jc w:val="center"/>
            </w:pPr>
            <w:r>
              <w:rPr>
                <w:sz w:val="16"/>
              </w:rPr>
              <w:t>51.041</w:t>
            </w:r>
          </w:p>
        </w:tc>
        <w:tc>
          <w:tcPr>
            <w:tcW w:type="dxa" w:w="1080"/>
          </w:tcPr>
          <w:p>
            <w:pPr>
              <w:jc w:val="center"/>
            </w:pPr>
            <w:r>
              <w:rPr>
                <w:sz w:val="16"/>
              </w:rPr>
              <w:t>0.921</w:t>
            </w:r>
          </w:p>
        </w:tc>
        <w:tc>
          <w:tcPr>
            <w:tcW w:type="dxa" w:w="1080"/>
          </w:tcPr>
          <w:p>
            <w:pPr>
              <w:jc w:val="center"/>
            </w:pPr>
            <w:r>
              <w:rPr>
                <w:sz w:val="16"/>
              </w:rPr>
              <w:t>0.171</w:t>
            </w:r>
          </w:p>
        </w:tc>
        <w:tc>
          <w:tcPr>
            <w:tcW w:type="dxa" w:w="1080"/>
          </w:tcPr>
          <w:p>
            <w:pPr>
              <w:jc w:val="center"/>
            </w:pPr>
            <w:r>
              <w:rPr>
                <w:sz w:val="16"/>
              </w:rPr>
              <w:t>0.522</w:t>
            </w:r>
          </w:p>
        </w:tc>
        <w:tc>
          <w:tcPr>
            <w:tcW w:type="dxa" w:w="1080"/>
          </w:tcPr>
          <w:p>
            <w:pPr>
              <w:jc w:val="center"/>
            </w:pPr>
            <w:r>
              <w:rPr>
                <w:sz w:val="16"/>
              </w:rPr>
              <w:t>0.983</w:t>
            </w:r>
          </w:p>
        </w:tc>
      </w:tr>
      <w:tr>
        <w:tc>
          <w:tcPr>
            <w:tcW w:type="dxa" w:w="1080"/>
          </w:tcPr>
          <w:p>
            <w:pPr>
              <w:jc w:val="center"/>
            </w:pPr>
            <w:r>
              <w:rPr>
                <w:sz w:val="16"/>
              </w:rPr>
              <w:t>GBR</w:t>
            </w:r>
          </w:p>
        </w:tc>
        <w:tc>
          <w:tcPr>
            <w:tcW w:type="dxa" w:w="1080"/>
          </w:tcPr>
          <w:p>
            <w:pPr>
              <w:jc w:val="center"/>
            </w:pPr>
            <w:r>
              <w:rPr>
                <w:sz w:val="16"/>
              </w:rPr>
              <w:t>0.222</w:t>
            </w:r>
          </w:p>
        </w:tc>
        <w:tc>
          <w:tcPr>
            <w:tcW w:type="dxa" w:w="1080"/>
          </w:tcPr>
          <w:p>
            <w:pPr>
              <w:jc w:val="center"/>
            </w:pPr>
            <w:r>
              <w:rPr>
                <w:sz w:val="16"/>
              </w:rPr>
              <w:t>84.260</w:t>
            </w:r>
          </w:p>
        </w:tc>
        <w:tc>
          <w:tcPr>
            <w:tcW w:type="dxa" w:w="1080"/>
          </w:tcPr>
          <w:p>
            <w:pPr>
              <w:jc w:val="center"/>
            </w:pPr>
            <w:r>
              <w:rPr>
                <w:sz w:val="16"/>
              </w:rPr>
              <w:t>54.626</w:t>
            </w:r>
          </w:p>
        </w:tc>
        <w:tc>
          <w:tcPr>
            <w:tcW w:type="dxa" w:w="1080"/>
          </w:tcPr>
          <w:p>
            <w:pPr>
              <w:jc w:val="center"/>
            </w:pPr>
            <w:r>
              <w:rPr>
                <w:sz w:val="16"/>
              </w:rPr>
              <w:t>0.918</w:t>
            </w:r>
          </w:p>
        </w:tc>
        <w:tc>
          <w:tcPr>
            <w:tcW w:type="dxa" w:w="1080"/>
          </w:tcPr>
          <w:p>
            <w:pPr>
              <w:jc w:val="center"/>
            </w:pPr>
            <w:r>
              <w:rPr>
                <w:sz w:val="16"/>
              </w:rPr>
              <w:t>0.174</w:t>
            </w:r>
          </w:p>
        </w:tc>
        <w:tc>
          <w:tcPr>
            <w:tcW w:type="dxa" w:w="1080"/>
          </w:tcPr>
          <w:p>
            <w:pPr>
              <w:jc w:val="center"/>
            </w:pPr>
            <w:r>
              <w:rPr>
                <w:sz w:val="16"/>
              </w:rPr>
              <w:t>0.542</w:t>
            </w:r>
          </w:p>
        </w:tc>
        <w:tc>
          <w:tcPr>
            <w:tcW w:type="dxa" w:w="1080"/>
          </w:tcPr>
          <w:p>
            <w:pPr>
              <w:jc w:val="center"/>
            </w:pPr>
            <w:r>
              <w:rPr>
                <w:sz w:val="16"/>
              </w:rPr>
              <w:t>0.966</w:t>
            </w:r>
          </w:p>
        </w:tc>
      </w:tr>
      <w:tr>
        <w:tc>
          <w:tcPr>
            <w:tcW w:type="dxa" w:w="1080"/>
          </w:tcPr>
          <w:p>
            <w:pPr>
              <w:jc w:val="center"/>
            </w:pPr>
            <w:r>
              <w:rPr>
                <w:sz w:val="16"/>
              </w:rPr>
              <w:t>DTR</w:t>
            </w:r>
          </w:p>
        </w:tc>
        <w:tc>
          <w:tcPr>
            <w:tcW w:type="dxa" w:w="1080"/>
          </w:tcPr>
          <w:p>
            <w:pPr>
              <w:jc w:val="center"/>
            </w:pPr>
            <w:r>
              <w:rPr>
                <w:sz w:val="16"/>
              </w:rPr>
              <w:t>0.235</w:t>
            </w:r>
          </w:p>
        </w:tc>
        <w:tc>
          <w:tcPr>
            <w:tcW w:type="dxa" w:w="1080"/>
          </w:tcPr>
          <w:p>
            <w:pPr>
              <w:jc w:val="center"/>
            </w:pPr>
            <w:r>
              <w:rPr>
                <w:sz w:val="16"/>
              </w:rPr>
              <w:t>83.558</w:t>
            </w:r>
          </w:p>
        </w:tc>
        <w:tc>
          <w:tcPr>
            <w:tcW w:type="dxa" w:w="1080"/>
          </w:tcPr>
          <w:p>
            <w:pPr>
              <w:jc w:val="center"/>
            </w:pPr>
            <w:r>
              <w:rPr>
                <w:sz w:val="16"/>
              </w:rPr>
              <w:t>52.695</w:t>
            </w:r>
          </w:p>
        </w:tc>
        <w:tc>
          <w:tcPr>
            <w:tcW w:type="dxa" w:w="1080"/>
          </w:tcPr>
          <w:p>
            <w:pPr>
              <w:jc w:val="center"/>
            </w:pPr>
            <w:r>
              <w:rPr>
                <w:sz w:val="16"/>
              </w:rPr>
              <w:t>0.904</w:t>
            </w:r>
          </w:p>
        </w:tc>
        <w:tc>
          <w:tcPr>
            <w:tcW w:type="dxa" w:w="1080"/>
          </w:tcPr>
          <w:p>
            <w:pPr>
              <w:jc w:val="center"/>
            </w:pPr>
            <w:r>
              <w:rPr>
                <w:sz w:val="16"/>
              </w:rPr>
              <w:t>0.188</w:t>
            </w:r>
          </w:p>
        </w:tc>
        <w:tc>
          <w:tcPr>
            <w:tcW w:type="dxa" w:w="1080"/>
          </w:tcPr>
          <w:p>
            <w:pPr>
              <w:jc w:val="center"/>
            </w:pPr>
            <w:r>
              <w:rPr>
                <w:sz w:val="16"/>
              </w:rPr>
              <w:t>0.318</w:t>
            </w:r>
          </w:p>
        </w:tc>
        <w:tc>
          <w:tcPr>
            <w:tcW w:type="dxa" w:w="1080"/>
          </w:tcPr>
          <w:p>
            <w:pPr>
              <w:jc w:val="center"/>
            </w:pPr>
            <w:r>
              <w:rPr>
                <w:sz w:val="16"/>
              </w:rPr>
              <w:t>0.680</w:t>
            </w:r>
          </w:p>
        </w:tc>
      </w:tr>
      <w:tr>
        <w:tc>
          <w:tcPr>
            <w:tcW w:type="dxa" w:w="1080"/>
          </w:tcPr>
          <w:p>
            <w:pPr>
              <w:jc w:val="center"/>
            </w:pPr>
            <w:r>
              <w:rPr>
                <w:sz w:val="16"/>
              </w:rPr>
              <w:t>RandomForest</w:t>
            </w:r>
          </w:p>
        </w:tc>
        <w:tc>
          <w:tcPr>
            <w:tcW w:type="dxa" w:w="1080"/>
          </w:tcPr>
          <w:p>
            <w:pPr>
              <w:jc w:val="center"/>
            </w:pPr>
            <w:r>
              <w:rPr>
                <w:sz w:val="16"/>
              </w:rPr>
              <w:t>-0.006</w:t>
            </w:r>
          </w:p>
        </w:tc>
        <w:tc>
          <w:tcPr>
            <w:tcW w:type="dxa" w:w="1080"/>
          </w:tcPr>
          <w:p>
            <w:pPr>
              <w:jc w:val="center"/>
            </w:pPr>
            <w:r>
              <w:rPr>
                <w:sz w:val="16"/>
              </w:rPr>
              <w:t>95.786</w:t>
            </w:r>
          </w:p>
        </w:tc>
        <w:tc>
          <w:tcPr>
            <w:tcW w:type="dxa" w:w="1080"/>
          </w:tcPr>
          <w:p>
            <w:pPr>
              <w:jc w:val="center"/>
            </w:pPr>
            <w:r>
              <w:rPr>
                <w:sz w:val="16"/>
              </w:rPr>
              <w:t>61.864</w:t>
            </w:r>
          </w:p>
        </w:tc>
        <w:tc>
          <w:tcPr>
            <w:tcW w:type="dxa" w:w="1080"/>
          </w:tcPr>
          <w:p>
            <w:pPr>
              <w:jc w:val="center"/>
            </w:pPr>
            <w:r>
              <w:rPr>
                <w:sz w:val="16"/>
              </w:rPr>
              <w:t>0.746</w:t>
            </w:r>
          </w:p>
        </w:tc>
        <w:tc>
          <w:tcPr>
            <w:tcW w:type="dxa" w:w="1080"/>
          </w:tcPr>
          <w:p>
            <w:pPr>
              <w:jc w:val="center"/>
            </w:pPr>
            <w:r>
              <w:rPr>
                <w:sz w:val="16"/>
              </w:rPr>
              <w:t>0.307</w:t>
            </w:r>
          </w:p>
        </w:tc>
        <w:tc>
          <w:tcPr>
            <w:tcW w:type="dxa" w:w="1080"/>
          </w:tcPr>
          <w:p>
            <w:pPr>
              <w:jc w:val="center"/>
            </w:pPr>
            <w:r>
              <w:rPr>
                <w:sz w:val="16"/>
              </w:rPr>
              <w:t>0.470</w:t>
            </w:r>
          </w:p>
        </w:tc>
        <w:tc>
          <w:tcPr>
            <w:tcW w:type="dxa" w:w="1080"/>
          </w:tcPr>
          <w:p>
            <w:pPr>
              <w:jc w:val="center"/>
            </w:pPr>
            <w:r>
              <w:rPr>
                <w:sz w:val="16"/>
              </w:rPr>
              <w:t>0.832</w:t>
            </w:r>
          </w:p>
        </w:tc>
      </w:tr>
    </w:tbl>
    <w:p>
      <w:pPr>
        <w:jc w:val="center"/>
      </w:pPr>
      <w:r>
        <w:rPr>
          <w:i/>
          <w:sz w:val="20"/>
        </w:rPr>
        <w:t>Table 4. Model comparison for electrical conductivity (units: S/cm). Best model: CatBoost (selected by log10-space R2 -- see Section 3).</w:t>
      </w:r>
    </w:p>
    <w:p/>
    <w:p>
      <w:pPr>
        <w:pStyle w:val="Heading2"/>
      </w:pPr>
      <w:r>
        <w:rPr>
          <w:color w:val="1B2A4A"/>
        </w:rPr>
        <w:t>4.3 Thermal conductivity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2A4A"/>
          </w:tcPr>
          <w:p>
            <w:pPr>
              <w:jc w:val="center"/>
            </w:pPr>
            <w:r>
              <w:rPr>
                <w:b/>
                <w:color w:val="FFFFFF"/>
                <w:sz w:val="18"/>
              </w:rPr>
              <w:t>Model</w:t>
            </w:r>
          </w:p>
        </w:tc>
        <w:tc>
          <w:tcPr>
            <w:tcW w:type="dxa" w:w="1440"/>
            <w:shd w:fill="1B2A4A"/>
          </w:tcPr>
          <w:p>
            <w:pPr>
              <w:jc w:val="center"/>
            </w:pPr>
            <w:r>
              <w:rPr>
                <w:b/>
                <w:color w:val="FFFFFF"/>
                <w:sz w:val="18"/>
              </w:rPr>
              <w:t>Test R2</w:t>
            </w:r>
          </w:p>
        </w:tc>
        <w:tc>
          <w:tcPr>
            <w:tcW w:type="dxa" w:w="1440"/>
            <w:shd w:fill="1B2A4A"/>
          </w:tcPr>
          <w:p>
            <w:pPr>
              <w:jc w:val="center"/>
            </w:pPr>
            <w:r>
              <w:rPr>
                <w:b/>
                <w:color w:val="FFFFFF"/>
                <w:sz w:val="18"/>
              </w:rPr>
              <w:t>Test RMSE</w:t>
            </w:r>
          </w:p>
        </w:tc>
        <w:tc>
          <w:tcPr>
            <w:tcW w:type="dxa" w:w="1440"/>
            <w:shd w:fill="1B2A4A"/>
          </w:tcPr>
          <w:p>
            <w:pPr>
              <w:jc w:val="center"/>
            </w:pPr>
            <w:r>
              <w:rPr>
                <w:b/>
                <w:color w:val="FFFFFF"/>
                <w:sz w:val="18"/>
              </w:rPr>
              <w:t>Test MAE</w:t>
            </w:r>
          </w:p>
        </w:tc>
        <w:tc>
          <w:tcPr>
            <w:tcW w:type="dxa" w:w="1440"/>
            <w:shd w:fill="1B2A4A"/>
          </w:tcPr>
          <w:p>
            <w:pPr>
              <w:jc w:val="center"/>
            </w:pPr>
            <w:r>
              <w:rPr>
                <w:b/>
                <w:color w:val="FFFFFF"/>
                <w:sz w:val="18"/>
              </w:rPr>
              <w:t>CV R2 (train)</w:t>
            </w:r>
          </w:p>
        </w:tc>
        <w:tc>
          <w:tcPr>
            <w:tcW w:type="dxa" w:w="1440"/>
            <w:shd w:fill="1B2A4A"/>
          </w:tcPr>
          <w:p>
            <w:pPr>
              <w:jc w:val="center"/>
            </w:pPr>
            <w:r>
              <w:rPr>
                <w:b/>
                <w:color w:val="FFFFFF"/>
                <w:sz w:val="18"/>
              </w:rPr>
              <w:t>Train R2</w:t>
            </w:r>
          </w:p>
        </w:tc>
      </w:tr>
      <w:tr>
        <w:tc>
          <w:tcPr>
            <w:tcW w:type="dxa" w:w="1440"/>
          </w:tcPr>
          <w:p>
            <w:pPr>
              <w:jc w:val="center"/>
            </w:pPr>
            <w:r>
              <w:rPr>
                <w:sz w:val="18"/>
              </w:rPr>
              <w:t>CatBoost</w:t>
            </w:r>
          </w:p>
        </w:tc>
        <w:tc>
          <w:tcPr>
            <w:tcW w:type="dxa" w:w="1440"/>
          </w:tcPr>
          <w:p>
            <w:pPr>
              <w:jc w:val="center"/>
            </w:pPr>
            <w:r>
              <w:rPr>
                <w:sz w:val="18"/>
              </w:rPr>
              <w:t>0.842</w:t>
            </w:r>
          </w:p>
        </w:tc>
        <w:tc>
          <w:tcPr>
            <w:tcW w:type="dxa" w:w="1440"/>
          </w:tcPr>
          <w:p>
            <w:pPr>
              <w:jc w:val="center"/>
            </w:pPr>
            <w:r>
              <w:rPr>
                <w:sz w:val="18"/>
              </w:rPr>
              <w:t>0.251</w:t>
            </w:r>
          </w:p>
        </w:tc>
        <w:tc>
          <w:tcPr>
            <w:tcW w:type="dxa" w:w="1440"/>
          </w:tcPr>
          <w:p>
            <w:pPr>
              <w:jc w:val="center"/>
            </w:pPr>
            <w:r>
              <w:rPr>
                <w:sz w:val="18"/>
              </w:rPr>
              <w:t>0.178</w:t>
            </w:r>
          </w:p>
        </w:tc>
        <w:tc>
          <w:tcPr>
            <w:tcW w:type="dxa" w:w="1440"/>
          </w:tcPr>
          <w:p>
            <w:pPr>
              <w:jc w:val="center"/>
            </w:pPr>
            <w:r>
              <w:rPr>
                <w:sz w:val="18"/>
              </w:rPr>
              <w:t>0.585</w:t>
            </w:r>
          </w:p>
        </w:tc>
        <w:tc>
          <w:tcPr>
            <w:tcW w:type="dxa" w:w="1440"/>
          </w:tcPr>
          <w:p>
            <w:pPr>
              <w:jc w:val="center"/>
            </w:pPr>
            <w:r>
              <w:rPr>
                <w:sz w:val="18"/>
              </w:rPr>
              <w:t>0.964</w:t>
            </w:r>
          </w:p>
        </w:tc>
      </w:tr>
      <w:tr>
        <w:tc>
          <w:tcPr>
            <w:tcW w:type="dxa" w:w="1440"/>
          </w:tcPr>
          <w:p>
            <w:pPr>
              <w:jc w:val="center"/>
            </w:pPr>
            <w:r>
              <w:rPr>
                <w:sz w:val="18"/>
              </w:rPr>
              <w:t>RandomForest</w:t>
            </w:r>
          </w:p>
        </w:tc>
        <w:tc>
          <w:tcPr>
            <w:tcW w:type="dxa" w:w="1440"/>
          </w:tcPr>
          <w:p>
            <w:pPr>
              <w:jc w:val="center"/>
            </w:pPr>
            <w:r>
              <w:rPr>
                <w:sz w:val="18"/>
              </w:rPr>
              <w:t>0.819</w:t>
            </w:r>
          </w:p>
        </w:tc>
        <w:tc>
          <w:tcPr>
            <w:tcW w:type="dxa" w:w="1440"/>
          </w:tcPr>
          <w:p>
            <w:pPr>
              <w:jc w:val="center"/>
            </w:pPr>
            <w:r>
              <w:rPr>
                <w:sz w:val="18"/>
              </w:rPr>
              <w:t>0.268</w:t>
            </w:r>
          </w:p>
        </w:tc>
        <w:tc>
          <w:tcPr>
            <w:tcW w:type="dxa" w:w="1440"/>
          </w:tcPr>
          <w:p>
            <w:pPr>
              <w:jc w:val="center"/>
            </w:pPr>
            <w:r>
              <w:rPr>
                <w:sz w:val="18"/>
              </w:rPr>
              <w:t>0.184</w:t>
            </w:r>
          </w:p>
        </w:tc>
        <w:tc>
          <w:tcPr>
            <w:tcW w:type="dxa" w:w="1440"/>
          </w:tcPr>
          <w:p>
            <w:pPr>
              <w:jc w:val="center"/>
            </w:pPr>
            <w:r>
              <w:rPr>
                <w:sz w:val="18"/>
              </w:rPr>
              <w:t>0.508</w:t>
            </w:r>
          </w:p>
        </w:tc>
        <w:tc>
          <w:tcPr>
            <w:tcW w:type="dxa" w:w="1440"/>
          </w:tcPr>
          <w:p>
            <w:pPr>
              <w:jc w:val="center"/>
            </w:pPr>
            <w:r>
              <w:rPr>
                <w:sz w:val="18"/>
              </w:rPr>
              <w:t>0.941</w:t>
            </w:r>
          </w:p>
        </w:tc>
      </w:tr>
      <w:tr>
        <w:tc>
          <w:tcPr>
            <w:tcW w:type="dxa" w:w="1440"/>
          </w:tcPr>
          <w:p>
            <w:pPr>
              <w:jc w:val="center"/>
            </w:pPr>
            <w:r>
              <w:rPr>
                <w:sz w:val="18"/>
              </w:rPr>
              <w:t>XGBR</w:t>
            </w:r>
          </w:p>
        </w:tc>
        <w:tc>
          <w:tcPr>
            <w:tcW w:type="dxa" w:w="1440"/>
          </w:tcPr>
          <w:p>
            <w:pPr>
              <w:jc w:val="center"/>
            </w:pPr>
            <w:r>
              <w:rPr>
                <w:sz w:val="18"/>
              </w:rPr>
              <w:t>0.781</w:t>
            </w:r>
          </w:p>
        </w:tc>
        <w:tc>
          <w:tcPr>
            <w:tcW w:type="dxa" w:w="1440"/>
          </w:tcPr>
          <w:p>
            <w:pPr>
              <w:jc w:val="center"/>
            </w:pPr>
            <w:r>
              <w:rPr>
                <w:sz w:val="18"/>
              </w:rPr>
              <w:t>0.295</w:t>
            </w:r>
          </w:p>
        </w:tc>
        <w:tc>
          <w:tcPr>
            <w:tcW w:type="dxa" w:w="1440"/>
          </w:tcPr>
          <w:p>
            <w:pPr>
              <w:jc w:val="center"/>
            </w:pPr>
            <w:r>
              <w:rPr>
                <w:sz w:val="18"/>
              </w:rPr>
              <w:t>0.214</w:t>
            </w:r>
          </w:p>
        </w:tc>
        <w:tc>
          <w:tcPr>
            <w:tcW w:type="dxa" w:w="1440"/>
          </w:tcPr>
          <w:p>
            <w:pPr>
              <w:jc w:val="center"/>
            </w:pPr>
            <w:r>
              <w:rPr>
                <w:sz w:val="18"/>
              </w:rPr>
              <w:t>0.504</w:t>
            </w:r>
          </w:p>
        </w:tc>
        <w:tc>
          <w:tcPr>
            <w:tcW w:type="dxa" w:w="1440"/>
          </w:tcPr>
          <w:p>
            <w:pPr>
              <w:jc w:val="center"/>
            </w:pPr>
            <w:r>
              <w:rPr>
                <w:sz w:val="18"/>
              </w:rPr>
              <w:t>0.968</w:t>
            </w:r>
          </w:p>
        </w:tc>
      </w:tr>
      <w:tr>
        <w:tc>
          <w:tcPr>
            <w:tcW w:type="dxa" w:w="1440"/>
          </w:tcPr>
          <w:p>
            <w:pPr>
              <w:jc w:val="center"/>
            </w:pPr>
            <w:r>
              <w:rPr>
                <w:sz w:val="18"/>
              </w:rPr>
              <w:t>GBR</w:t>
            </w:r>
          </w:p>
        </w:tc>
        <w:tc>
          <w:tcPr>
            <w:tcW w:type="dxa" w:w="1440"/>
          </w:tcPr>
          <w:p>
            <w:pPr>
              <w:jc w:val="center"/>
            </w:pPr>
            <w:r>
              <w:rPr>
                <w:sz w:val="18"/>
              </w:rPr>
              <w:t>0.559</w:t>
            </w:r>
          </w:p>
        </w:tc>
        <w:tc>
          <w:tcPr>
            <w:tcW w:type="dxa" w:w="1440"/>
          </w:tcPr>
          <w:p>
            <w:pPr>
              <w:jc w:val="center"/>
            </w:pPr>
            <w:r>
              <w:rPr>
                <w:sz w:val="18"/>
              </w:rPr>
              <w:t>0.418</w:t>
            </w:r>
          </w:p>
        </w:tc>
        <w:tc>
          <w:tcPr>
            <w:tcW w:type="dxa" w:w="1440"/>
          </w:tcPr>
          <w:p>
            <w:pPr>
              <w:jc w:val="center"/>
            </w:pPr>
            <w:r>
              <w:rPr>
                <w:sz w:val="18"/>
              </w:rPr>
              <w:t>0.257</w:t>
            </w:r>
          </w:p>
        </w:tc>
        <w:tc>
          <w:tcPr>
            <w:tcW w:type="dxa" w:w="1440"/>
          </w:tcPr>
          <w:p>
            <w:pPr>
              <w:jc w:val="center"/>
            </w:pPr>
            <w:r>
              <w:rPr>
                <w:sz w:val="18"/>
              </w:rPr>
              <w:t>0.500</w:t>
            </w:r>
          </w:p>
        </w:tc>
        <w:tc>
          <w:tcPr>
            <w:tcW w:type="dxa" w:w="1440"/>
          </w:tcPr>
          <w:p>
            <w:pPr>
              <w:jc w:val="center"/>
            </w:pPr>
            <w:r>
              <w:rPr>
                <w:sz w:val="18"/>
              </w:rPr>
              <w:t>0.893</w:t>
            </w:r>
          </w:p>
        </w:tc>
      </w:tr>
      <w:tr>
        <w:tc>
          <w:tcPr>
            <w:tcW w:type="dxa" w:w="1440"/>
          </w:tcPr>
          <w:p>
            <w:pPr>
              <w:jc w:val="center"/>
            </w:pPr>
            <w:r>
              <w:rPr>
                <w:sz w:val="18"/>
              </w:rPr>
              <w:t>DTR</w:t>
            </w:r>
          </w:p>
        </w:tc>
        <w:tc>
          <w:tcPr>
            <w:tcW w:type="dxa" w:w="1440"/>
          </w:tcPr>
          <w:p>
            <w:pPr>
              <w:jc w:val="center"/>
            </w:pPr>
            <w:r>
              <w:rPr>
                <w:sz w:val="18"/>
              </w:rPr>
              <w:t>0.239</w:t>
            </w:r>
          </w:p>
        </w:tc>
        <w:tc>
          <w:tcPr>
            <w:tcW w:type="dxa" w:w="1440"/>
          </w:tcPr>
          <w:p>
            <w:pPr>
              <w:jc w:val="center"/>
            </w:pPr>
            <w:r>
              <w:rPr>
                <w:sz w:val="18"/>
              </w:rPr>
              <w:t>0.550</w:t>
            </w:r>
          </w:p>
        </w:tc>
        <w:tc>
          <w:tcPr>
            <w:tcW w:type="dxa" w:w="1440"/>
          </w:tcPr>
          <w:p>
            <w:pPr>
              <w:jc w:val="center"/>
            </w:pPr>
            <w:r>
              <w:rPr>
                <w:sz w:val="18"/>
              </w:rPr>
              <w:t>0.315</w:t>
            </w:r>
          </w:p>
        </w:tc>
        <w:tc>
          <w:tcPr>
            <w:tcW w:type="dxa" w:w="1440"/>
          </w:tcPr>
          <w:p>
            <w:pPr>
              <w:jc w:val="center"/>
            </w:pPr>
            <w:r>
              <w:rPr>
                <w:sz w:val="18"/>
              </w:rPr>
              <w:t>0.337</w:t>
            </w:r>
          </w:p>
        </w:tc>
        <w:tc>
          <w:tcPr>
            <w:tcW w:type="dxa" w:w="1440"/>
          </w:tcPr>
          <w:p>
            <w:pPr>
              <w:jc w:val="center"/>
            </w:pPr>
            <w:r>
              <w:rPr>
                <w:sz w:val="18"/>
              </w:rPr>
              <w:t>0.719</w:t>
            </w:r>
          </w:p>
        </w:tc>
      </w:tr>
    </w:tbl>
    <w:p>
      <w:pPr>
        <w:jc w:val="center"/>
      </w:pPr>
      <w:r>
        <w:rPr>
          <w:i/>
          <w:sz w:val="20"/>
        </w:rPr>
        <w:t>Table 5. Model comparison for thermal conductivity (units: W/m.K). Best model: CatBoost.</w:t>
      </w:r>
    </w:p>
    <w:p/>
    <w:p>
      <w:pPr>
        <w:pStyle w:val="Heading2"/>
      </w:pPr>
      <w:r>
        <w:rPr>
          <w:color w:val="1B2A4A"/>
        </w:rPr>
        <w:t>4.4 Power factor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2A4A"/>
          </w:tcPr>
          <w:p>
            <w:pPr>
              <w:jc w:val="center"/>
            </w:pPr>
            <w:r>
              <w:rPr>
                <w:b/>
                <w:color w:val="FFFFFF"/>
                <w:sz w:val="16"/>
              </w:rPr>
              <w:t>Model</w:t>
            </w:r>
          </w:p>
        </w:tc>
        <w:tc>
          <w:tcPr>
            <w:tcW w:type="dxa" w:w="1080"/>
            <w:shd w:fill="1B2A4A"/>
          </w:tcPr>
          <w:p>
            <w:pPr>
              <w:jc w:val="center"/>
            </w:pPr>
            <w:r>
              <w:rPr>
                <w:b/>
                <w:color w:val="FFFFFF"/>
                <w:sz w:val="16"/>
              </w:rPr>
              <w:t>Test R2</w:t>
            </w:r>
          </w:p>
        </w:tc>
        <w:tc>
          <w:tcPr>
            <w:tcW w:type="dxa" w:w="1080"/>
            <w:shd w:fill="1B2A4A"/>
          </w:tcPr>
          <w:p>
            <w:pPr>
              <w:jc w:val="center"/>
            </w:pPr>
            <w:r>
              <w:rPr>
                <w:b/>
                <w:color w:val="FFFFFF"/>
                <w:sz w:val="16"/>
              </w:rPr>
              <w:t>Test RMSE</w:t>
            </w:r>
          </w:p>
        </w:tc>
        <w:tc>
          <w:tcPr>
            <w:tcW w:type="dxa" w:w="1080"/>
            <w:shd w:fill="1B2A4A"/>
          </w:tcPr>
          <w:p>
            <w:pPr>
              <w:jc w:val="center"/>
            </w:pPr>
            <w:r>
              <w:rPr>
                <w:b/>
                <w:color w:val="FFFFFF"/>
                <w:sz w:val="16"/>
              </w:rPr>
              <w:t>Test MAE</w:t>
            </w:r>
          </w:p>
        </w:tc>
        <w:tc>
          <w:tcPr>
            <w:tcW w:type="dxa" w:w="1080"/>
            <w:shd w:fill="1B2A4A"/>
          </w:tcPr>
          <w:p>
            <w:pPr>
              <w:jc w:val="center"/>
            </w:pPr>
            <w:r>
              <w:rPr>
                <w:b/>
                <w:color w:val="FFFFFF"/>
                <w:sz w:val="16"/>
              </w:rPr>
              <w:t>Test R2 (log10)</w:t>
            </w:r>
          </w:p>
        </w:tc>
        <w:tc>
          <w:tcPr>
            <w:tcW w:type="dxa" w:w="1080"/>
            <w:shd w:fill="1B2A4A"/>
          </w:tcPr>
          <w:p>
            <w:pPr>
              <w:jc w:val="center"/>
            </w:pPr>
            <w:r>
              <w:rPr>
                <w:b/>
                <w:color w:val="FFFFFF"/>
                <w:sz w:val="16"/>
              </w:rPr>
              <w:t>Test RMSE (log10)</w:t>
            </w:r>
          </w:p>
        </w:tc>
        <w:tc>
          <w:tcPr>
            <w:tcW w:type="dxa" w:w="1080"/>
            <w:shd w:fill="1B2A4A"/>
          </w:tcPr>
          <w:p>
            <w:pPr>
              <w:jc w:val="center"/>
            </w:pPr>
            <w:r>
              <w:rPr>
                <w:b/>
                <w:color w:val="FFFFFF"/>
                <w:sz w:val="16"/>
              </w:rPr>
              <w:t>CV R2 (train)</w:t>
            </w:r>
          </w:p>
        </w:tc>
        <w:tc>
          <w:tcPr>
            <w:tcW w:type="dxa" w:w="1080"/>
            <w:shd w:fill="1B2A4A"/>
          </w:tcPr>
          <w:p>
            <w:pPr>
              <w:jc w:val="center"/>
            </w:pPr>
            <w:r>
              <w:rPr>
                <w:b/>
                <w:color w:val="FFFFFF"/>
                <w:sz w:val="16"/>
              </w:rPr>
              <w:t>Train R2</w:t>
            </w:r>
          </w:p>
        </w:tc>
      </w:tr>
      <w:tr>
        <w:tc>
          <w:tcPr>
            <w:tcW w:type="dxa" w:w="1080"/>
          </w:tcPr>
          <w:p>
            <w:pPr>
              <w:jc w:val="center"/>
            </w:pPr>
            <w:r>
              <w:rPr>
                <w:sz w:val="16"/>
              </w:rPr>
              <w:t>CatBoost</w:t>
            </w:r>
          </w:p>
        </w:tc>
        <w:tc>
          <w:tcPr>
            <w:tcW w:type="dxa" w:w="1080"/>
          </w:tcPr>
          <w:p>
            <w:pPr>
              <w:jc w:val="center"/>
            </w:pPr>
            <w:r>
              <w:rPr>
                <w:sz w:val="16"/>
              </w:rPr>
              <w:t>0.538</w:t>
            </w:r>
          </w:p>
        </w:tc>
        <w:tc>
          <w:tcPr>
            <w:tcW w:type="dxa" w:w="1080"/>
          </w:tcPr>
          <w:p>
            <w:pPr>
              <w:jc w:val="center"/>
            </w:pPr>
            <w:r>
              <w:rPr>
                <w:sz w:val="16"/>
              </w:rPr>
              <w:t>4.218</w:t>
            </w:r>
          </w:p>
        </w:tc>
        <w:tc>
          <w:tcPr>
            <w:tcW w:type="dxa" w:w="1080"/>
          </w:tcPr>
          <w:p>
            <w:pPr>
              <w:jc w:val="center"/>
            </w:pPr>
            <w:r>
              <w:rPr>
                <w:sz w:val="16"/>
              </w:rPr>
              <w:t>2.569</w:t>
            </w:r>
          </w:p>
        </w:tc>
        <w:tc>
          <w:tcPr>
            <w:tcW w:type="dxa" w:w="1080"/>
          </w:tcPr>
          <w:p>
            <w:pPr>
              <w:jc w:val="center"/>
            </w:pPr>
            <w:r>
              <w:rPr>
                <w:sz w:val="16"/>
              </w:rPr>
              <w:t>0.919</w:t>
            </w:r>
          </w:p>
        </w:tc>
        <w:tc>
          <w:tcPr>
            <w:tcW w:type="dxa" w:w="1080"/>
          </w:tcPr>
          <w:p>
            <w:pPr>
              <w:jc w:val="center"/>
            </w:pPr>
            <w:r>
              <w:rPr>
                <w:sz w:val="16"/>
              </w:rPr>
              <w:t>0.158</w:t>
            </w:r>
          </w:p>
        </w:tc>
        <w:tc>
          <w:tcPr>
            <w:tcW w:type="dxa" w:w="1080"/>
          </w:tcPr>
          <w:p>
            <w:pPr>
              <w:jc w:val="center"/>
            </w:pPr>
            <w:r>
              <w:rPr>
                <w:sz w:val="16"/>
              </w:rPr>
              <w:t>0.555</w:t>
            </w:r>
          </w:p>
        </w:tc>
        <w:tc>
          <w:tcPr>
            <w:tcW w:type="dxa" w:w="1080"/>
          </w:tcPr>
          <w:p>
            <w:pPr>
              <w:jc w:val="center"/>
            </w:pPr>
            <w:r>
              <w:rPr>
                <w:sz w:val="16"/>
              </w:rPr>
              <w:t>0.971</w:t>
            </w:r>
          </w:p>
        </w:tc>
      </w:tr>
      <w:tr>
        <w:tc>
          <w:tcPr>
            <w:tcW w:type="dxa" w:w="1080"/>
          </w:tcPr>
          <w:p>
            <w:pPr>
              <w:jc w:val="center"/>
            </w:pPr>
            <w:r>
              <w:rPr>
                <w:sz w:val="16"/>
              </w:rPr>
              <w:t>GBR</w:t>
            </w:r>
          </w:p>
        </w:tc>
        <w:tc>
          <w:tcPr>
            <w:tcW w:type="dxa" w:w="1080"/>
          </w:tcPr>
          <w:p>
            <w:pPr>
              <w:jc w:val="center"/>
            </w:pPr>
            <w:r>
              <w:rPr>
                <w:sz w:val="16"/>
              </w:rPr>
              <w:t>0.399</w:t>
            </w:r>
          </w:p>
        </w:tc>
        <w:tc>
          <w:tcPr>
            <w:tcW w:type="dxa" w:w="1080"/>
          </w:tcPr>
          <w:p>
            <w:pPr>
              <w:jc w:val="center"/>
            </w:pPr>
            <w:r>
              <w:rPr>
                <w:sz w:val="16"/>
              </w:rPr>
              <w:t>4.814</w:t>
            </w:r>
          </w:p>
        </w:tc>
        <w:tc>
          <w:tcPr>
            <w:tcW w:type="dxa" w:w="1080"/>
          </w:tcPr>
          <w:p>
            <w:pPr>
              <w:jc w:val="center"/>
            </w:pPr>
            <w:r>
              <w:rPr>
                <w:sz w:val="16"/>
              </w:rPr>
              <w:t>3.094</w:t>
            </w:r>
          </w:p>
        </w:tc>
        <w:tc>
          <w:tcPr>
            <w:tcW w:type="dxa" w:w="1080"/>
          </w:tcPr>
          <w:p>
            <w:pPr>
              <w:jc w:val="center"/>
            </w:pPr>
            <w:r>
              <w:rPr>
                <w:sz w:val="16"/>
              </w:rPr>
              <w:t>0.894</w:t>
            </w:r>
          </w:p>
        </w:tc>
        <w:tc>
          <w:tcPr>
            <w:tcW w:type="dxa" w:w="1080"/>
          </w:tcPr>
          <w:p>
            <w:pPr>
              <w:jc w:val="center"/>
            </w:pPr>
            <w:r>
              <w:rPr>
                <w:sz w:val="16"/>
              </w:rPr>
              <w:t>0.180</w:t>
            </w:r>
          </w:p>
        </w:tc>
        <w:tc>
          <w:tcPr>
            <w:tcW w:type="dxa" w:w="1080"/>
          </w:tcPr>
          <w:p>
            <w:pPr>
              <w:jc w:val="center"/>
            </w:pPr>
            <w:r>
              <w:rPr>
                <w:sz w:val="16"/>
              </w:rPr>
              <w:t>0.592</w:t>
            </w:r>
          </w:p>
        </w:tc>
        <w:tc>
          <w:tcPr>
            <w:tcW w:type="dxa" w:w="1080"/>
          </w:tcPr>
          <w:p>
            <w:pPr>
              <w:jc w:val="center"/>
            </w:pPr>
            <w:r>
              <w:rPr>
                <w:sz w:val="16"/>
              </w:rPr>
              <w:t>0.925</w:t>
            </w:r>
          </w:p>
        </w:tc>
      </w:tr>
      <w:tr>
        <w:tc>
          <w:tcPr>
            <w:tcW w:type="dxa" w:w="1080"/>
          </w:tcPr>
          <w:p>
            <w:pPr>
              <w:jc w:val="center"/>
            </w:pPr>
            <w:r>
              <w:rPr>
                <w:sz w:val="16"/>
              </w:rPr>
              <w:t>XGBR</w:t>
            </w:r>
          </w:p>
        </w:tc>
        <w:tc>
          <w:tcPr>
            <w:tcW w:type="dxa" w:w="1080"/>
          </w:tcPr>
          <w:p>
            <w:pPr>
              <w:jc w:val="center"/>
            </w:pPr>
            <w:r>
              <w:rPr>
                <w:sz w:val="16"/>
              </w:rPr>
              <w:t>0.145</w:t>
            </w:r>
          </w:p>
        </w:tc>
        <w:tc>
          <w:tcPr>
            <w:tcW w:type="dxa" w:w="1080"/>
          </w:tcPr>
          <w:p>
            <w:pPr>
              <w:jc w:val="center"/>
            </w:pPr>
            <w:r>
              <w:rPr>
                <w:sz w:val="16"/>
              </w:rPr>
              <w:t>5.742</w:t>
            </w:r>
          </w:p>
        </w:tc>
        <w:tc>
          <w:tcPr>
            <w:tcW w:type="dxa" w:w="1080"/>
          </w:tcPr>
          <w:p>
            <w:pPr>
              <w:jc w:val="center"/>
            </w:pPr>
            <w:r>
              <w:rPr>
                <w:sz w:val="16"/>
              </w:rPr>
              <w:t>3.481</w:t>
            </w:r>
          </w:p>
        </w:tc>
        <w:tc>
          <w:tcPr>
            <w:tcW w:type="dxa" w:w="1080"/>
          </w:tcPr>
          <w:p>
            <w:pPr>
              <w:jc w:val="center"/>
            </w:pPr>
            <w:r>
              <w:rPr>
                <w:sz w:val="16"/>
              </w:rPr>
              <w:t>0.874</w:t>
            </w:r>
          </w:p>
        </w:tc>
        <w:tc>
          <w:tcPr>
            <w:tcW w:type="dxa" w:w="1080"/>
          </w:tcPr>
          <w:p>
            <w:pPr>
              <w:jc w:val="center"/>
            </w:pPr>
            <w:r>
              <w:rPr>
                <w:sz w:val="16"/>
              </w:rPr>
              <w:t>0.196</w:t>
            </w:r>
          </w:p>
        </w:tc>
        <w:tc>
          <w:tcPr>
            <w:tcW w:type="dxa" w:w="1080"/>
          </w:tcPr>
          <w:p>
            <w:pPr>
              <w:jc w:val="center"/>
            </w:pPr>
            <w:r>
              <w:rPr>
                <w:sz w:val="16"/>
              </w:rPr>
              <w:t>0.549</w:t>
            </w:r>
          </w:p>
        </w:tc>
        <w:tc>
          <w:tcPr>
            <w:tcW w:type="dxa" w:w="1080"/>
          </w:tcPr>
          <w:p>
            <w:pPr>
              <w:jc w:val="center"/>
            </w:pPr>
            <w:r>
              <w:rPr>
                <w:sz w:val="16"/>
              </w:rPr>
              <w:t>0.948</w:t>
            </w:r>
          </w:p>
        </w:tc>
      </w:tr>
      <w:tr>
        <w:tc>
          <w:tcPr>
            <w:tcW w:type="dxa" w:w="1080"/>
          </w:tcPr>
          <w:p>
            <w:pPr>
              <w:jc w:val="center"/>
            </w:pPr>
            <w:r>
              <w:rPr>
                <w:sz w:val="16"/>
              </w:rPr>
              <w:t>RandomForest</w:t>
            </w:r>
          </w:p>
        </w:tc>
        <w:tc>
          <w:tcPr>
            <w:tcW w:type="dxa" w:w="1080"/>
          </w:tcPr>
          <w:p>
            <w:pPr>
              <w:jc w:val="center"/>
            </w:pPr>
            <w:r>
              <w:rPr>
                <w:sz w:val="16"/>
              </w:rPr>
              <w:t>0.455</w:t>
            </w:r>
          </w:p>
        </w:tc>
        <w:tc>
          <w:tcPr>
            <w:tcW w:type="dxa" w:w="1080"/>
          </w:tcPr>
          <w:p>
            <w:pPr>
              <w:jc w:val="center"/>
            </w:pPr>
            <w:r>
              <w:rPr>
                <w:sz w:val="16"/>
              </w:rPr>
              <w:t>4.583</w:t>
            </w:r>
          </w:p>
        </w:tc>
        <w:tc>
          <w:tcPr>
            <w:tcW w:type="dxa" w:w="1080"/>
          </w:tcPr>
          <w:p>
            <w:pPr>
              <w:jc w:val="center"/>
            </w:pPr>
            <w:r>
              <w:rPr>
                <w:sz w:val="16"/>
              </w:rPr>
              <w:t>2.914</w:t>
            </w:r>
          </w:p>
        </w:tc>
        <w:tc>
          <w:tcPr>
            <w:tcW w:type="dxa" w:w="1080"/>
          </w:tcPr>
          <w:p>
            <w:pPr>
              <w:jc w:val="center"/>
            </w:pPr>
            <w:r>
              <w:rPr>
                <w:sz w:val="16"/>
              </w:rPr>
              <w:t>0.868</w:t>
            </w:r>
          </w:p>
        </w:tc>
        <w:tc>
          <w:tcPr>
            <w:tcW w:type="dxa" w:w="1080"/>
          </w:tcPr>
          <w:p>
            <w:pPr>
              <w:jc w:val="center"/>
            </w:pPr>
            <w:r>
              <w:rPr>
                <w:sz w:val="16"/>
              </w:rPr>
              <w:t>0.201</w:t>
            </w:r>
          </w:p>
        </w:tc>
        <w:tc>
          <w:tcPr>
            <w:tcW w:type="dxa" w:w="1080"/>
          </w:tcPr>
          <w:p>
            <w:pPr>
              <w:jc w:val="center"/>
            </w:pPr>
            <w:r>
              <w:rPr>
                <w:sz w:val="16"/>
              </w:rPr>
              <w:t>0.514</w:t>
            </w:r>
          </w:p>
        </w:tc>
        <w:tc>
          <w:tcPr>
            <w:tcW w:type="dxa" w:w="1080"/>
          </w:tcPr>
          <w:p>
            <w:pPr>
              <w:jc w:val="center"/>
            </w:pPr>
            <w:r>
              <w:rPr>
                <w:sz w:val="16"/>
              </w:rPr>
              <w:t>0.907</w:t>
            </w:r>
          </w:p>
        </w:tc>
      </w:tr>
      <w:tr>
        <w:tc>
          <w:tcPr>
            <w:tcW w:type="dxa" w:w="1080"/>
          </w:tcPr>
          <w:p>
            <w:pPr>
              <w:jc w:val="center"/>
            </w:pPr>
            <w:r>
              <w:rPr>
                <w:sz w:val="16"/>
              </w:rPr>
              <w:t>DTR</w:t>
            </w:r>
          </w:p>
        </w:tc>
        <w:tc>
          <w:tcPr>
            <w:tcW w:type="dxa" w:w="1080"/>
          </w:tcPr>
          <w:p>
            <w:pPr>
              <w:jc w:val="center"/>
            </w:pPr>
            <w:r>
              <w:rPr>
                <w:sz w:val="16"/>
              </w:rPr>
              <w:t>0.528</w:t>
            </w:r>
          </w:p>
        </w:tc>
        <w:tc>
          <w:tcPr>
            <w:tcW w:type="dxa" w:w="1080"/>
          </w:tcPr>
          <w:p>
            <w:pPr>
              <w:jc w:val="center"/>
            </w:pPr>
            <w:r>
              <w:rPr>
                <w:sz w:val="16"/>
              </w:rPr>
              <w:t>4.267</w:t>
            </w:r>
          </w:p>
        </w:tc>
        <w:tc>
          <w:tcPr>
            <w:tcW w:type="dxa" w:w="1080"/>
          </w:tcPr>
          <w:p>
            <w:pPr>
              <w:jc w:val="center"/>
            </w:pPr>
            <w:r>
              <w:rPr>
                <w:sz w:val="16"/>
              </w:rPr>
              <w:t>3.008</w:t>
            </w:r>
          </w:p>
        </w:tc>
        <w:tc>
          <w:tcPr>
            <w:tcW w:type="dxa" w:w="1080"/>
          </w:tcPr>
          <w:p>
            <w:pPr>
              <w:jc w:val="center"/>
            </w:pPr>
            <w:r>
              <w:rPr>
                <w:sz w:val="16"/>
              </w:rPr>
              <w:t>0.847</w:t>
            </w:r>
          </w:p>
        </w:tc>
        <w:tc>
          <w:tcPr>
            <w:tcW w:type="dxa" w:w="1080"/>
          </w:tcPr>
          <w:p>
            <w:pPr>
              <w:jc w:val="center"/>
            </w:pPr>
            <w:r>
              <w:rPr>
                <w:sz w:val="16"/>
              </w:rPr>
              <w:t>0.217</w:t>
            </w:r>
          </w:p>
        </w:tc>
        <w:tc>
          <w:tcPr>
            <w:tcW w:type="dxa" w:w="1080"/>
          </w:tcPr>
          <w:p>
            <w:pPr>
              <w:jc w:val="center"/>
            </w:pPr>
            <w:r>
              <w:rPr>
                <w:sz w:val="16"/>
              </w:rPr>
              <w:t>0.447</w:t>
            </w:r>
          </w:p>
        </w:tc>
        <w:tc>
          <w:tcPr>
            <w:tcW w:type="dxa" w:w="1080"/>
          </w:tcPr>
          <w:p>
            <w:pPr>
              <w:jc w:val="center"/>
            </w:pPr>
            <w:r>
              <w:rPr>
                <w:sz w:val="16"/>
              </w:rPr>
              <w:t>0.684</w:t>
            </w:r>
          </w:p>
        </w:tc>
      </w:tr>
    </w:tbl>
    <w:p>
      <w:pPr>
        <w:jc w:val="center"/>
      </w:pPr>
      <w:r>
        <w:rPr>
          <w:i/>
          <w:sz w:val="20"/>
        </w:rPr>
        <w:t>Table 6. Model comparison for power factor (units: uW/cm.K2). Best model: CatBoost (selected by log10-space R2 -- see Section 3).</w:t>
      </w:r>
    </w:p>
    <w:p/>
    <w:p>
      <w:pPr>
        <w:pStyle w:val="Heading2"/>
      </w:pPr>
      <w:r>
        <w:rPr>
          <w:color w:val="1B2A4A"/>
        </w:rPr>
        <w:t>4.5 ZT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2A4A"/>
          </w:tcPr>
          <w:p>
            <w:pPr>
              <w:jc w:val="center"/>
            </w:pPr>
            <w:r>
              <w:rPr>
                <w:b/>
                <w:color w:val="FFFFFF"/>
                <w:sz w:val="18"/>
              </w:rPr>
              <w:t>Model</w:t>
            </w:r>
          </w:p>
        </w:tc>
        <w:tc>
          <w:tcPr>
            <w:tcW w:type="dxa" w:w="1440"/>
            <w:shd w:fill="1B2A4A"/>
          </w:tcPr>
          <w:p>
            <w:pPr>
              <w:jc w:val="center"/>
            </w:pPr>
            <w:r>
              <w:rPr>
                <w:b/>
                <w:color w:val="FFFFFF"/>
                <w:sz w:val="18"/>
              </w:rPr>
              <w:t>Test R2</w:t>
            </w:r>
          </w:p>
        </w:tc>
        <w:tc>
          <w:tcPr>
            <w:tcW w:type="dxa" w:w="1440"/>
            <w:shd w:fill="1B2A4A"/>
          </w:tcPr>
          <w:p>
            <w:pPr>
              <w:jc w:val="center"/>
            </w:pPr>
            <w:r>
              <w:rPr>
                <w:b/>
                <w:color w:val="FFFFFF"/>
                <w:sz w:val="18"/>
              </w:rPr>
              <w:t>Test RMSE</w:t>
            </w:r>
          </w:p>
        </w:tc>
        <w:tc>
          <w:tcPr>
            <w:tcW w:type="dxa" w:w="1440"/>
            <w:shd w:fill="1B2A4A"/>
          </w:tcPr>
          <w:p>
            <w:pPr>
              <w:jc w:val="center"/>
            </w:pPr>
            <w:r>
              <w:rPr>
                <w:b/>
                <w:color w:val="FFFFFF"/>
                <w:sz w:val="18"/>
              </w:rPr>
              <w:t>Test MAE</w:t>
            </w:r>
          </w:p>
        </w:tc>
        <w:tc>
          <w:tcPr>
            <w:tcW w:type="dxa" w:w="1440"/>
            <w:shd w:fill="1B2A4A"/>
          </w:tcPr>
          <w:p>
            <w:pPr>
              <w:jc w:val="center"/>
            </w:pPr>
            <w:r>
              <w:rPr>
                <w:b/>
                <w:color w:val="FFFFFF"/>
                <w:sz w:val="18"/>
              </w:rPr>
              <w:t>CV R2 (train)</w:t>
            </w:r>
          </w:p>
        </w:tc>
        <w:tc>
          <w:tcPr>
            <w:tcW w:type="dxa" w:w="1440"/>
            <w:shd w:fill="1B2A4A"/>
          </w:tcPr>
          <w:p>
            <w:pPr>
              <w:jc w:val="center"/>
            </w:pPr>
            <w:r>
              <w:rPr>
                <w:b/>
                <w:color w:val="FFFFFF"/>
                <w:sz w:val="18"/>
              </w:rPr>
              <w:t>Train R2</w:t>
            </w:r>
          </w:p>
        </w:tc>
      </w:tr>
      <w:tr>
        <w:tc>
          <w:tcPr>
            <w:tcW w:type="dxa" w:w="1440"/>
          </w:tcPr>
          <w:p>
            <w:pPr>
              <w:jc w:val="center"/>
            </w:pPr>
            <w:r>
              <w:rPr>
                <w:sz w:val="18"/>
              </w:rPr>
              <w:t>CatBoost</w:t>
            </w:r>
          </w:p>
        </w:tc>
        <w:tc>
          <w:tcPr>
            <w:tcW w:type="dxa" w:w="1440"/>
          </w:tcPr>
          <w:p>
            <w:pPr>
              <w:jc w:val="center"/>
            </w:pPr>
            <w:r>
              <w:rPr>
                <w:sz w:val="18"/>
              </w:rPr>
              <w:t>0.827</w:t>
            </w:r>
          </w:p>
        </w:tc>
        <w:tc>
          <w:tcPr>
            <w:tcW w:type="dxa" w:w="1440"/>
          </w:tcPr>
          <w:p>
            <w:pPr>
              <w:jc w:val="center"/>
            </w:pPr>
            <w:r>
              <w:rPr>
                <w:sz w:val="18"/>
              </w:rPr>
              <w:t>0.267</w:t>
            </w:r>
          </w:p>
        </w:tc>
        <w:tc>
          <w:tcPr>
            <w:tcW w:type="dxa" w:w="1440"/>
          </w:tcPr>
          <w:p>
            <w:pPr>
              <w:jc w:val="center"/>
            </w:pPr>
            <w:r>
              <w:rPr>
                <w:sz w:val="18"/>
              </w:rPr>
              <w:t>0.167</w:t>
            </w:r>
          </w:p>
        </w:tc>
        <w:tc>
          <w:tcPr>
            <w:tcW w:type="dxa" w:w="1440"/>
          </w:tcPr>
          <w:p>
            <w:pPr>
              <w:jc w:val="center"/>
            </w:pPr>
            <w:r>
              <w:rPr>
                <w:sz w:val="18"/>
              </w:rPr>
              <w:t>0.814</w:t>
            </w:r>
          </w:p>
        </w:tc>
        <w:tc>
          <w:tcPr>
            <w:tcW w:type="dxa" w:w="1440"/>
          </w:tcPr>
          <w:p>
            <w:pPr>
              <w:jc w:val="center"/>
            </w:pPr>
            <w:r>
              <w:rPr>
                <w:sz w:val="18"/>
              </w:rPr>
              <w:t>0.991</w:t>
            </w:r>
          </w:p>
        </w:tc>
      </w:tr>
      <w:tr>
        <w:tc>
          <w:tcPr>
            <w:tcW w:type="dxa" w:w="1440"/>
          </w:tcPr>
          <w:p>
            <w:pPr>
              <w:jc w:val="center"/>
            </w:pPr>
            <w:r>
              <w:rPr>
                <w:sz w:val="18"/>
              </w:rPr>
              <w:t>XGBR</w:t>
            </w:r>
          </w:p>
        </w:tc>
        <w:tc>
          <w:tcPr>
            <w:tcW w:type="dxa" w:w="1440"/>
          </w:tcPr>
          <w:p>
            <w:pPr>
              <w:jc w:val="center"/>
            </w:pPr>
            <w:r>
              <w:rPr>
                <w:sz w:val="18"/>
              </w:rPr>
              <w:t>0.808</w:t>
            </w:r>
          </w:p>
        </w:tc>
        <w:tc>
          <w:tcPr>
            <w:tcW w:type="dxa" w:w="1440"/>
          </w:tcPr>
          <w:p>
            <w:pPr>
              <w:jc w:val="center"/>
            </w:pPr>
            <w:r>
              <w:rPr>
                <w:sz w:val="18"/>
              </w:rPr>
              <w:t>0.281</w:t>
            </w:r>
          </w:p>
        </w:tc>
        <w:tc>
          <w:tcPr>
            <w:tcW w:type="dxa" w:w="1440"/>
          </w:tcPr>
          <w:p>
            <w:pPr>
              <w:jc w:val="center"/>
            </w:pPr>
            <w:r>
              <w:rPr>
                <w:sz w:val="18"/>
              </w:rPr>
              <w:t>0.193</w:t>
            </w:r>
          </w:p>
        </w:tc>
        <w:tc>
          <w:tcPr>
            <w:tcW w:type="dxa" w:w="1440"/>
          </w:tcPr>
          <w:p>
            <w:pPr>
              <w:jc w:val="center"/>
            </w:pPr>
            <w:r>
              <w:rPr>
                <w:sz w:val="18"/>
              </w:rPr>
              <w:t>0.799</w:t>
            </w:r>
          </w:p>
        </w:tc>
        <w:tc>
          <w:tcPr>
            <w:tcW w:type="dxa" w:w="1440"/>
          </w:tcPr>
          <w:p>
            <w:pPr>
              <w:jc w:val="center"/>
            </w:pPr>
            <w:r>
              <w:rPr>
                <w:sz w:val="18"/>
              </w:rPr>
              <w:t>0.967</w:t>
            </w:r>
          </w:p>
        </w:tc>
      </w:tr>
      <w:tr>
        <w:tc>
          <w:tcPr>
            <w:tcW w:type="dxa" w:w="1440"/>
          </w:tcPr>
          <w:p>
            <w:pPr>
              <w:jc w:val="center"/>
            </w:pPr>
            <w:r>
              <w:rPr>
                <w:sz w:val="18"/>
              </w:rPr>
              <w:t>GBR</w:t>
            </w:r>
          </w:p>
        </w:tc>
        <w:tc>
          <w:tcPr>
            <w:tcW w:type="dxa" w:w="1440"/>
          </w:tcPr>
          <w:p>
            <w:pPr>
              <w:jc w:val="center"/>
            </w:pPr>
            <w:r>
              <w:rPr>
                <w:sz w:val="18"/>
              </w:rPr>
              <w:t>0.792</w:t>
            </w:r>
          </w:p>
        </w:tc>
        <w:tc>
          <w:tcPr>
            <w:tcW w:type="dxa" w:w="1440"/>
          </w:tcPr>
          <w:p>
            <w:pPr>
              <w:jc w:val="center"/>
            </w:pPr>
            <w:r>
              <w:rPr>
                <w:sz w:val="18"/>
              </w:rPr>
              <w:t>0.292</w:t>
            </w:r>
          </w:p>
        </w:tc>
        <w:tc>
          <w:tcPr>
            <w:tcW w:type="dxa" w:w="1440"/>
          </w:tcPr>
          <w:p>
            <w:pPr>
              <w:jc w:val="center"/>
            </w:pPr>
            <w:r>
              <w:rPr>
                <w:sz w:val="18"/>
              </w:rPr>
              <w:t>0.210</w:t>
            </w:r>
          </w:p>
        </w:tc>
        <w:tc>
          <w:tcPr>
            <w:tcW w:type="dxa" w:w="1440"/>
          </w:tcPr>
          <w:p>
            <w:pPr>
              <w:jc w:val="center"/>
            </w:pPr>
            <w:r>
              <w:rPr>
                <w:sz w:val="18"/>
              </w:rPr>
              <w:t>0.812</w:t>
            </w:r>
          </w:p>
        </w:tc>
        <w:tc>
          <w:tcPr>
            <w:tcW w:type="dxa" w:w="1440"/>
          </w:tcPr>
          <w:p>
            <w:pPr>
              <w:jc w:val="center"/>
            </w:pPr>
            <w:r>
              <w:rPr>
                <w:sz w:val="18"/>
              </w:rPr>
              <w:t>0.976</w:t>
            </w:r>
          </w:p>
        </w:tc>
      </w:tr>
      <w:tr>
        <w:tc>
          <w:tcPr>
            <w:tcW w:type="dxa" w:w="1440"/>
          </w:tcPr>
          <w:p>
            <w:pPr>
              <w:jc w:val="center"/>
            </w:pPr>
            <w:r>
              <w:rPr>
                <w:sz w:val="18"/>
              </w:rPr>
              <w:t>RandomForest</w:t>
            </w:r>
          </w:p>
        </w:tc>
        <w:tc>
          <w:tcPr>
            <w:tcW w:type="dxa" w:w="1440"/>
          </w:tcPr>
          <w:p>
            <w:pPr>
              <w:jc w:val="center"/>
            </w:pPr>
            <w:r>
              <w:rPr>
                <w:sz w:val="18"/>
              </w:rPr>
              <w:t>0.772</w:t>
            </w:r>
          </w:p>
        </w:tc>
        <w:tc>
          <w:tcPr>
            <w:tcW w:type="dxa" w:w="1440"/>
          </w:tcPr>
          <w:p>
            <w:pPr>
              <w:jc w:val="center"/>
            </w:pPr>
            <w:r>
              <w:rPr>
                <w:sz w:val="18"/>
              </w:rPr>
              <w:t>0.306</w:t>
            </w:r>
          </w:p>
        </w:tc>
        <w:tc>
          <w:tcPr>
            <w:tcW w:type="dxa" w:w="1440"/>
          </w:tcPr>
          <w:p>
            <w:pPr>
              <w:jc w:val="center"/>
            </w:pPr>
            <w:r>
              <w:rPr>
                <w:sz w:val="18"/>
              </w:rPr>
              <w:t>0.208</w:t>
            </w:r>
          </w:p>
        </w:tc>
        <w:tc>
          <w:tcPr>
            <w:tcW w:type="dxa" w:w="1440"/>
          </w:tcPr>
          <w:p>
            <w:pPr>
              <w:jc w:val="center"/>
            </w:pPr>
            <w:r>
              <w:rPr>
                <w:sz w:val="18"/>
              </w:rPr>
              <w:t>0.804</w:t>
            </w:r>
          </w:p>
        </w:tc>
        <w:tc>
          <w:tcPr>
            <w:tcW w:type="dxa" w:w="1440"/>
          </w:tcPr>
          <w:p>
            <w:pPr>
              <w:jc w:val="center"/>
            </w:pPr>
            <w:r>
              <w:rPr>
                <w:sz w:val="18"/>
              </w:rPr>
              <w:t>0.975</w:t>
            </w:r>
          </w:p>
        </w:tc>
      </w:tr>
      <w:tr>
        <w:tc>
          <w:tcPr>
            <w:tcW w:type="dxa" w:w="1440"/>
          </w:tcPr>
          <w:p>
            <w:pPr>
              <w:jc w:val="center"/>
            </w:pPr>
            <w:r>
              <w:rPr>
                <w:sz w:val="18"/>
              </w:rPr>
              <w:t>DTR</w:t>
            </w:r>
          </w:p>
        </w:tc>
        <w:tc>
          <w:tcPr>
            <w:tcW w:type="dxa" w:w="1440"/>
          </w:tcPr>
          <w:p>
            <w:pPr>
              <w:jc w:val="center"/>
            </w:pPr>
            <w:r>
              <w:rPr>
                <w:sz w:val="18"/>
              </w:rPr>
              <w:t>0.706</w:t>
            </w:r>
          </w:p>
        </w:tc>
        <w:tc>
          <w:tcPr>
            <w:tcW w:type="dxa" w:w="1440"/>
          </w:tcPr>
          <w:p>
            <w:pPr>
              <w:jc w:val="center"/>
            </w:pPr>
            <w:r>
              <w:rPr>
                <w:sz w:val="18"/>
              </w:rPr>
              <w:t>0.348</w:t>
            </w:r>
          </w:p>
        </w:tc>
        <w:tc>
          <w:tcPr>
            <w:tcW w:type="dxa" w:w="1440"/>
          </w:tcPr>
          <w:p>
            <w:pPr>
              <w:jc w:val="center"/>
            </w:pPr>
            <w:r>
              <w:rPr>
                <w:sz w:val="18"/>
              </w:rPr>
              <w:t>0.235</w:t>
            </w:r>
          </w:p>
        </w:tc>
        <w:tc>
          <w:tcPr>
            <w:tcW w:type="dxa" w:w="1440"/>
          </w:tcPr>
          <w:p>
            <w:pPr>
              <w:jc w:val="center"/>
            </w:pPr>
            <w:r>
              <w:rPr>
                <w:sz w:val="18"/>
              </w:rPr>
              <w:t>0.753</w:t>
            </w:r>
          </w:p>
        </w:tc>
        <w:tc>
          <w:tcPr>
            <w:tcW w:type="dxa" w:w="1440"/>
          </w:tcPr>
          <w:p>
            <w:pPr>
              <w:jc w:val="center"/>
            </w:pPr>
            <w:r>
              <w:rPr>
                <w:sz w:val="18"/>
              </w:rPr>
              <w:t>0.918</w:t>
            </w:r>
          </w:p>
        </w:tc>
      </w:tr>
    </w:tbl>
    <w:p>
      <w:pPr>
        <w:jc w:val="center"/>
      </w:pPr>
      <w:r>
        <w:rPr>
          <w:i/>
          <w:sz w:val="20"/>
        </w:rPr>
        <w:t>Table 7. Model comparison for zt (units: dimensionless). Best model: CatBoost.</w:t>
      </w:r>
    </w:p>
    <w:p/>
    <w:p>
      <w:pPr>
        <w:jc w:val="center"/>
      </w:pPr>
      <w:r>
        <w:drawing>
          <wp:inline xmlns:a="http://schemas.openxmlformats.org/drawingml/2006/main" xmlns:pic="http://schemas.openxmlformats.org/drawingml/2006/picture">
            <wp:extent cx="5943600" cy="1524497"/>
            <wp:docPr id="1" name="Picture 1"/>
            <wp:cNvGraphicFramePr>
              <a:graphicFrameLocks noChangeAspect="1"/>
            </wp:cNvGraphicFramePr>
            <a:graphic>
              <a:graphicData uri="http://schemas.openxmlformats.org/drawingml/2006/picture">
                <pic:pic>
                  <pic:nvPicPr>
                    <pic:cNvPr id="0" name="model_comparison_all_properties.png"/>
                    <pic:cNvPicPr/>
                  </pic:nvPicPr>
                  <pic:blipFill>
                    <a:blip r:embed="rId9"/>
                    <a:stretch>
                      <a:fillRect/>
                    </a:stretch>
                  </pic:blipFill>
                  <pic:spPr>
                    <a:xfrm>
                      <a:off x="0" y="0"/>
                      <a:ext cx="5943600" cy="1524497"/>
                    </a:xfrm>
                    <a:prstGeom prst="rect"/>
                  </pic:spPr>
                </pic:pic>
              </a:graphicData>
            </a:graphic>
          </wp:inline>
        </w:drawing>
      </w:r>
    </w:p>
    <w:p>
      <w:pPr>
        <w:jc w:val="center"/>
      </w:pPr>
      <w:r>
        <w:rPr>
          <w:i/>
          <w:sz w:val="20"/>
        </w:rPr>
        <w:t>Figure 1. Test-set R2 for all five algorithms across all five properties; the best model per property is outlined in black.</w:t>
      </w:r>
    </w:p>
    <w:p>
      <w:pPr>
        <w:pStyle w:val="Heading1"/>
      </w:pPr>
      <w:r>
        <w:rPr>
          <w:color w:val="1B2A4A"/>
        </w:rPr>
        <w:t>5. Best Hyperparameters</w:t>
      </w:r>
    </w:p>
    <w:p>
      <w:r>
        <w:t>Hyperparameters below are the best configuration found by randomized search (25 iterations, 5-fold CV, R2 scoring) for every algorithm on every property, not only the overall best model -- included for full reproducibility.</w:t>
      </w:r>
    </w:p>
    <w:p>
      <w:pPr>
        <w:pStyle w:val="Heading2"/>
      </w:pPr>
      <w:r>
        <w:rPr>
          <w:color w:val="1B2A4A"/>
        </w:rPr>
        <w:t>5.1 Seebeck coefficient</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16"/>
              </w:rPr>
              <w:t>Model</w:t>
            </w:r>
          </w:p>
        </w:tc>
        <w:tc>
          <w:tcPr>
            <w:tcW w:type="dxa" w:w="4320"/>
            <w:shd w:fill="1B2A4A"/>
          </w:tcPr>
          <w:p>
            <w:pPr>
              <w:jc w:val="center"/>
            </w:pPr>
            <w:r>
              <w:rPr>
                <w:b/>
                <w:color w:val="FFFFFF"/>
                <w:sz w:val="16"/>
              </w:rPr>
              <w:t>Best hyperparameters (randomized search)</w:t>
            </w:r>
          </w:p>
        </w:tc>
      </w:tr>
      <w:tr>
        <w:tc>
          <w:tcPr>
            <w:tcW w:type="dxa" w:w="4320"/>
          </w:tcPr>
          <w:p>
            <w:pPr>
              <w:jc w:val="center"/>
            </w:pPr>
            <w:r>
              <w:rPr>
                <w:sz w:val="16"/>
              </w:rPr>
              <w:t>CatBoost</w:t>
            </w:r>
          </w:p>
        </w:tc>
        <w:tc>
          <w:tcPr>
            <w:tcW w:type="dxa" w:w="4320"/>
          </w:tcPr>
          <w:p>
            <w:pPr>
              <w:jc w:val="center"/>
            </w:pPr>
            <w:r>
              <w:rPr>
                <w:sz w:val="16"/>
              </w:rPr>
              <w:t>learning_rate=0.2; l2_leaf_reg=3; iterations=100; depth=4</w:t>
            </w:r>
          </w:p>
        </w:tc>
      </w:tr>
      <w:tr>
        <w:tc>
          <w:tcPr>
            <w:tcW w:type="dxa" w:w="4320"/>
          </w:tcPr>
          <w:p>
            <w:pPr>
              <w:jc w:val="center"/>
            </w:pPr>
            <w:r>
              <w:rPr>
                <w:sz w:val="16"/>
              </w:rPr>
              <w:t>RandomForest</w:t>
            </w:r>
          </w:p>
        </w:tc>
        <w:tc>
          <w:tcPr>
            <w:tcW w:type="dxa" w:w="4320"/>
          </w:tcPr>
          <w:p>
            <w:pPr>
              <w:jc w:val="center"/>
            </w:pPr>
            <w:r>
              <w:rPr>
                <w:sz w:val="16"/>
              </w:rPr>
              <w:t>n_estimators=300; min_samples_leaf=1; max_features=1.0; max_depth=None</w:t>
            </w:r>
          </w:p>
        </w:tc>
      </w:tr>
      <w:tr>
        <w:tc>
          <w:tcPr>
            <w:tcW w:type="dxa" w:w="4320"/>
          </w:tcPr>
          <w:p>
            <w:pPr>
              <w:jc w:val="center"/>
            </w:pPr>
            <w:r>
              <w:rPr>
                <w:sz w:val="16"/>
              </w:rPr>
              <w:t>XGBR</w:t>
            </w:r>
          </w:p>
        </w:tc>
        <w:tc>
          <w:tcPr>
            <w:tcW w:type="dxa" w:w="4320"/>
          </w:tcPr>
          <w:p>
            <w:pPr>
              <w:jc w:val="center"/>
            </w:pPr>
            <w:r>
              <w:rPr>
                <w:sz w:val="16"/>
              </w:rPr>
              <w:t>subsample=1.0; reg_lambda=1; n_estimators=300; min_child_weight=5; max_depth=8; learning_rate=0.2; colsample_bytree=0.85</w:t>
            </w:r>
          </w:p>
        </w:tc>
      </w:tr>
      <w:tr>
        <w:tc>
          <w:tcPr>
            <w:tcW w:type="dxa" w:w="4320"/>
          </w:tcPr>
          <w:p>
            <w:pPr>
              <w:jc w:val="center"/>
            </w:pPr>
            <w:r>
              <w:rPr>
                <w:sz w:val="16"/>
              </w:rPr>
              <w:t>DTR</w:t>
            </w:r>
          </w:p>
        </w:tc>
        <w:tc>
          <w:tcPr>
            <w:tcW w:type="dxa" w:w="4320"/>
          </w:tcPr>
          <w:p>
            <w:pPr>
              <w:jc w:val="center"/>
            </w:pPr>
            <w:r>
              <w:rPr>
                <w:sz w:val="16"/>
              </w:rPr>
              <w:t>min_samples_split=4; min_samples_leaf=1; max_depth=None</w:t>
            </w:r>
          </w:p>
        </w:tc>
      </w:tr>
      <w:tr>
        <w:tc>
          <w:tcPr>
            <w:tcW w:type="dxa" w:w="4320"/>
          </w:tcPr>
          <w:p>
            <w:pPr>
              <w:jc w:val="center"/>
            </w:pPr>
            <w:r>
              <w:rPr>
                <w:sz w:val="16"/>
              </w:rPr>
              <w:t>GBR</w:t>
            </w:r>
          </w:p>
        </w:tc>
        <w:tc>
          <w:tcPr>
            <w:tcW w:type="dxa" w:w="4320"/>
          </w:tcPr>
          <w:p>
            <w:pPr>
              <w:jc w:val="center"/>
            </w:pPr>
            <w:r>
              <w:rPr>
                <w:sz w:val="16"/>
              </w:rPr>
              <w:t>subsample=1.0; n_estimators=100; min_samples_leaf=1; max_depth=6; learning_rate=0.2</w:t>
            </w:r>
          </w:p>
        </w:tc>
      </w:tr>
    </w:tbl>
    <w:p/>
    <w:p>
      <w:pPr>
        <w:pStyle w:val="Heading2"/>
      </w:pPr>
      <w:r>
        <w:rPr>
          <w:color w:val="1B2A4A"/>
        </w:rPr>
        <w:t>5.2 Electrical conductivity</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16"/>
              </w:rPr>
              <w:t>Model</w:t>
            </w:r>
          </w:p>
        </w:tc>
        <w:tc>
          <w:tcPr>
            <w:tcW w:type="dxa" w:w="4320"/>
            <w:shd w:fill="1B2A4A"/>
          </w:tcPr>
          <w:p>
            <w:pPr>
              <w:jc w:val="center"/>
            </w:pPr>
            <w:r>
              <w:rPr>
                <w:b/>
                <w:color w:val="FFFFFF"/>
                <w:sz w:val="16"/>
              </w:rPr>
              <w:t>Best hyperparameters (randomized search)</w:t>
            </w:r>
          </w:p>
        </w:tc>
      </w:tr>
      <w:tr>
        <w:tc>
          <w:tcPr>
            <w:tcW w:type="dxa" w:w="4320"/>
          </w:tcPr>
          <w:p>
            <w:pPr>
              <w:jc w:val="center"/>
            </w:pPr>
            <w:r>
              <w:rPr>
                <w:sz w:val="16"/>
              </w:rPr>
              <w:t>CatBoost</w:t>
            </w:r>
          </w:p>
        </w:tc>
        <w:tc>
          <w:tcPr>
            <w:tcW w:type="dxa" w:w="4320"/>
          </w:tcPr>
          <w:p>
            <w:pPr>
              <w:jc w:val="center"/>
            </w:pPr>
            <w:r>
              <w:rPr>
                <w:sz w:val="16"/>
              </w:rPr>
              <w:t>learning_rate=0.2; l2_leaf_reg=3; iterations=500; depth=4</w:t>
            </w:r>
          </w:p>
        </w:tc>
      </w:tr>
      <w:tr>
        <w:tc>
          <w:tcPr>
            <w:tcW w:type="dxa" w:w="4320"/>
          </w:tcPr>
          <w:p>
            <w:pPr>
              <w:jc w:val="center"/>
            </w:pPr>
            <w:r>
              <w:rPr>
                <w:sz w:val="16"/>
              </w:rPr>
              <w:t>XGBR</w:t>
            </w:r>
          </w:p>
        </w:tc>
        <w:tc>
          <w:tcPr>
            <w:tcW w:type="dxa" w:w="4320"/>
          </w:tcPr>
          <w:p>
            <w:pPr>
              <w:jc w:val="center"/>
            </w:pPr>
            <w:r>
              <w:rPr>
                <w:sz w:val="16"/>
              </w:rPr>
              <w:t>subsample=1.0; reg_lambda=0.1; n_estimators=500; min_child_weight=1; max_depth=8; learning_rate=0.01; colsample_bytree=0.6</w:t>
            </w:r>
          </w:p>
        </w:tc>
      </w:tr>
      <w:tr>
        <w:tc>
          <w:tcPr>
            <w:tcW w:type="dxa" w:w="4320"/>
          </w:tcPr>
          <w:p>
            <w:pPr>
              <w:jc w:val="center"/>
            </w:pPr>
            <w:r>
              <w:rPr>
                <w:sz w:val="16"/>
              </w:rPr>
              <w:t>GBR</w:t>
            </w:r>
          </w:p>
        </w:tc>
        <w:tc>
          <w:tcPr>
            <w:tcW w:type="dxa" w:w="4320"/>
          </w:tcPr>
          <w:p>
            <w:pPr>
              <w:jc w:val="center"/>
            </w:pPr>
            <w:r>
              <w:rPr>
                <w:sz w:val="16"/>
              </w:rPr>
              <w:t>subsample=0.85; n_estimators=200; min_samples_leaf=1; max_depth=3; learning_rate=0.1</w:t>
            </w:r>
          </w:p>
        </w:tc>
      </w:tr>
      <w:tr>
        <w:tc>
          <w:tcPr>
            <w:tcW w:type="dxa" w:w="4320"/>
          </w:tcPr>
          <w:p>
            <w:pPr>
              <w:jc w:val="center"/>
            </w:pPr>
            <w:r>
              <w:rPr>
                <w:sz w:val="16"/>
              </w:rPr>
              <w:t>DTR</w:t>
            </w:r>
          </w:p>
        </w:tc>
        <w:tc>
          <w:tcPr>
            <w:tcW w:type="dxa" w:w="4320"/>
          </w:tcPr>
          <w:p>
            <w:pPr>
              <w:jc w:val="center"/>
            </w:pPr>
            <w:r>
              <w:rPr>
                <w:sz w:val="16"/>
              </w:rPr>
              <w:t>min_samples_split=4; min_samples_leaf=1; max_depth=6</w:t>
            </w:r>
          </w:p>
        </w:tc>
      </w:tr>
      <w:tr>
        <w:tc>
          <w:tcPr>
            <w:tcW w:type="dxa" w:w="4320"/>
          </w:tcPr>
          <w:p>
            <w:pPr>
              <w:jc w:val="center"/>
            </w:pPr>
            <w:r>
              <w:rPr>
                <w:sz w:val="16"/>
              </w:rPr>
              <w:t>RandomForest</w:t>
            </w:r>
          </w:p>
        </w:tc>
        <w:tc>
          <w:tcPr>
            <w:tcW w:type="dxa" w:w="4320"/>
          </w:tcPr>
          <w:p>
            <w:pPr>
              <w:jc w:val="center"/>
            </w:pPr>
            <w:r>
              <w:rPr>
                <w:sz w:val="16"/>
              </w:rPr>
              <w:t>n_estimators=500; min_samples_leaf=1; max_features=0.7; max_depth=12</w:t>
            </w:r>
          </w:p>
        </w:tc>
      </w:tr>
    </w:tbl>
    <w:p/>
    <w:p>
      <w:pPr>
        <w:pStyle w:val="Heading2"/>
      </w:pPr>
      <w:r>
        <w:rPr>
          <w:color w:val="1B2A4A"/>
        </w:rPr>
        <w:t>5.3 Thermal conductivity</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16"/>
              </w:rPr>
              <w:t>Model</w:t>
            </w:r>
          </w:p>
        </w:tc>
        <w:tc>
          <w:tcPr>
            <w:tcW w:type="dxa" w:w="4320"/>
            <w:shd w:fill="1B2A4A"/>
          </w:tcPr>
          <w:p>
            <w:pPr>
              <w:jc w:val="center"/>
            </w:pPr>
            <w:r>
              <w:rPr>
                <w:b/>
                <w:color w:val="FFFFFF"/>
                <w:sz w:val="16"/>
              </w:rPr>
              <w:t>Best hyperparameters (randomized search)</w:t>
            </w:r>
          </w:p>
        </w:tc>
      </w:tr>
      <w:tr>
        <w:tc>
          <w:tcPr>
            <w:tcW w:type="dxa" w:w="4320"/>
          </w:tcPr>
          <w:p>
            <w:pPr>
              <w:jc w:val="center"/>
            </w:pPr>
            <w:r>
              <w:rPr>
                <w:sz w:val="16"/>
              </w:rPr>
              <w:t>CatBoost</w:t>
            </w:r>
          </w:p>
        </w:tc>
        <w:tc>
          <w:tcPr>
            <w:tcW w:type="dxa" w:w="4320"/>
          </w:tcPr>
          <w:p>
            <w:pPr>
              <w:jc w:val="center"/>
            </w:pPr>
            <w:r>
              <w:rPr>
                <w:sz w:val="16"/>
              </w:rPr>
              <w:t>learning_rate=0.03; l2_leaf_reg=3; iterations=300; depth=10</w:t>
            </w:r>
          </w:p>
        </w:tc>
      </w:tr>
      <w:tr>
        <w:tc>
          <w:tcPr>
            <w:tcW w:type="dxa" w:w="4320"/>
          </w:tcPr>
          <w:p>
            <w:pPr>
              <w:jc w:val="center"/>
            </w:pPr>
            <w:r>
              <w:rPr>
                <w:sz w:val="16"/>
              </w:rPr>
              <w:t>RandomForest</w:t>
            </w:r>
          </w:p>
        </w:tc>
        <w:tc>
          <w:tcPr>
            <w:tcW w:type="dxa" w:w="4320"/>
          </w:tcPr>
          <w:p>
            <w:pPr>
              <w:jc w:val="center"/>
            </w:pPr>
            <w:r>
              <w:rPr>
                <w:sz w:val="16"/>
              </w:rPr>
              <w:t>n_estimators=800; min_samples_leaf=1; max_features=log2; max_depth=None</w:t>
            </w:r>
          </w:p>
        </w:tc>
      </w:tr>
      <w:tr>
        <w:tc>
          <w:tcPr>
            <w:tcW w:type="dxa" w:w="4320"/>
          </w:tcPr>
          <w:p>
            <w:pPr>
              <w:jc w:val="center"/>
            </w:pPr>
            <w:r>
              <w:rPr>
                <w:sz w:val="16"/>
              </w:rPr>
              <w:t>XGBR</w:t>
            </w:r>
          </w:p>
        </w:tc>
        <w:tc>
          <w:tcPr>
            <w:tcW w:type="dxa" w:w="4320"/>
          </w:tcPr>
          <w:p>
            <w:pPr>
              <w:jc w:val="center"/>
            </w:pPr>
            <w:r>
              <w:rPr>
                <w:sz w:val="16"/>
              </w:rPr>
              <w:t>subsample=0.85; reg_lambda=0.1; n_estimators=50; min_child_weight=5; max_depth=5; learning_rate=0.2; colsample_bytree=0.85</w:t>
            </w:r>
          </w:p>
        </w:tc>
      </w:tr>
      <w:tr>
        <w:tc>
          <w:tcPr>
            <w:tcW w:type="dxa" w:w="4320"/>
          </w:tcPr>
          <w:p>
            <w:pPr>
              <w:jc w:val="center"/>
            </w:pPr>
            <w:r>
              <w:rPr>
                <w:sz w:val="16"/>
              </w:rPr>
              <w:t>GBR</w:t>
            </w:r>
          </w:p>
        </w:tc>
        <w:tc>
          <w:tcPr>
            <w:tcW w:type="dxa" w:w="4320"/>
          </w:tcPr>
          <w:p>
            <w:pPr>
              <w:jc w:val="center"/>
            </w:pPr>
            <w:r>
              <w:rPr>
                <w:sz w:val="16"/>
              </w:rPr>
              <w:t>subsample=1.0; n_estimators=50; min_samples_leaf=4; max_depth=5; learning_rate=0.05</w:t>
            </w:r>
          </w:p>
        </w:tc>
      </w:tr>
      <w:tr>
        <w:tc>
          <w:tcPr>
            <w:tcW w:type="dxa" w:w="4320"/>
          </w:tcPr>
          <w:p>
            <w:pPr>
              <w:jc w:val="center"/>
            </w:pPr>
            <w:r>
              <w:rPr>
                <w:sz w:val="16"/>
              </w:rPr>
              <w:t>DTR</w:t>
            </w:r>
          </w:p>
        </w:tc>
        <w:tc>
          <w:tcPr>
            <w:tcW w:type="dxa" w:w="4320"/>
          </w:tcPr>
          <w:p>
            <w:pPr>
              <w:jc w:val="center"/>
            </w:pPr>
            <w:r>
              <w:rPr>
                <w:sz w:val="16"/>
              </w:rPr>
              <w:t>min_samples_split=4; min_samples_leaf=4; max_depth=6</w:t>
            </w:r>
          </w:p>
        </w:tc>
      </w:tr>
    </w:tbl>
    <w:p/>
    <w:p>
      <w:pPr>
        <w:pStyle w:val="Heading2"/>
      </w:pPr>
      <w:r>
        <w:rPr>
          <w:color w:val="1B2A4A"/>
        </w:rPr>
        <w:t>5.4 Power factor</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16"/>
              </w:rPr>
              <w:t>Model</w:t>
            </w:r>
          </w:p>
        </w:tc>
        <w:tc>
          <w:tcPr>
            <w:tcW w:type="dxa" w:w="4320"/>
            <w:shd w:fill="1B2A4A"/>
          </w:tcPr>
          <w:p>
            <w:pPr>
              <w:jc w:val="center"/>
            </w:pPr>
            <w:r>
              <w:rPr>
                <w:b/>
                <w:color w:val="FFFFFF"/>
                <w:sz w:val="16"/>
              </w:rPr>
              <w:t>Best hyperparameters (randomized search)</w:t>
            </w:r>
          </w:p>
        </w:tc>
      </w:tr>
      <w:tr>
        <w:tc>
          <w:tcPr>
            <w:tcW w:type="dxa" w:w="4320"/>
          </w:tcPr>
          <w:p>
            <w:pPr>
              <w:jc w:val="center"/>
            </w:pPr>
            <w:r>
              <w:rPr>
                <w:sz w:val="16"/>
              </w:rPr>
              <w:t>CatBoost</w:t>
            </w:r>
          </w:p>
        </w:tc>
        <w:tc>
          <w:tcPr>
            <w:tcW w:type="dxa" w:w="4320"/>
          </w:tcPr>
          <w:p>
            <w:pPr>
              <w:jc w:val="center"/>
            </w:pPr>
            <w:r>
              <w:rPr>
                <w:sz w:val="16"/>
              </w:rPr>
              <w:t>learning_rate=0.05; l2_leaf_reg=3; iterations=500; depth=4</w:t>
            </w:r>
          </w:p>
        </w:tc>
      </w:tr>
      <w:tr>
        <w:tc>
          <w:tcPr>
            <w:tcW w:type="dxa" w:w="4320"/>
          </w:tcPr>
          <w:p>
            <w:pPr>
              <w:jc w:val="center"/>
            </w:pPr>
            <w:r>
              <w:rPr>
                <w:sz w:val="16"/>
              </w:rPr>
              <w:t>GBR</w:t>
            </w:r>
          </w:p>
        </w:tc>
        <w:tc>
          <w:tcPr>
            <w:tcW w:type="dxa" w:w="4320"/>
          </w:tcPr>
          <w:p>
            <w:pPr>
              <w:jc w:val="center"/>
            </w:pPr>
            <w:r>
              <w:rPr>
                <w:sz w:val="16"/>
              </w:rPr>
              <w:t>subsample=0.7; n_estimators=300; min_samples_leaf=8; max_depth=2; learning_rate=0.1</w:t>
            </w:r>
          </w:p>
        </w:tc>
      </w:tr>
      <w:tr>
        <w:tc>
          <w:tcPr>
            <w:tcW w:type="dxa" w:w="4320"/>
          </w:tcPr>
          <w:p>
            <w:pPr>
              <w:jc w:val="center"/>
            </w:pPr>
            <w:r>
              <w:rPr>
                <w:sz w:val="16"/>
              </w:rPr>
              <w:t>XGBR</w:t>
            </w:r>
          </w:p>
        </w:tc>
        <w:tc>
          <w:tcPr>
            <w:tcW w:type="dxa" w:w="4320"/>
          </w:tcPr>
          <w:p>
            <w:pPr>
              <w:jc w:val="center"/>
            </w:pPr>
            <w:r>
              <w:rPr>
                <w:sz w:val="16"/>
              </w:rPr>
              <w:t>subsample=0.6; reg_lambda=3; n_estimators=200; min_child_weight=3; max_depth=2; learning_rate=0.2; colsample_bytree=1.0</w:t>
            </w:r>
          </w:p>
        </w:tc>
      </w:tr>
      <w:tr>
        <w:tc>
          <w:tcPr>
            <w:tcW w:type="dxa" w:w="4320"/>
          </w:tcPr>
          <w:p>
            <w:pPr>
              <w:jc w:val="center"/>
            </w:pPr>
            <w:r>
              <w:rPr>
                <w:sz w:val="16"/>
              </w:rPr>
              <w:t>RandomForest</w:t>
            </w:r>
          </w:p>
        </w:tc>
        <w:tc>
          <w:tcPr>
            <w:tcW w:type="dxa" w:w="4320"/>
          </w:tcPr>
          <w:p>
            <w:pPr>
              <w:jc w:val="center"/>
            </w:pPr>
            <w:r>
              <w:rPr>
                <w:sz w:val="16"/>
              </w:rPr>
              <w:t>n_estimators=300; min_samples_leaf=1; max_features=1.0; max_depth=None</w:t>
            </w:r>
          </w:p>
        </w:tc>
      </w:tr>
      <w:tr>
        <w:tc>
          <w:tcPr>
            <w:tcW w:type="dxa" w:w="4320"/>
          </w:tcPr>
          <w:p>
            <w:pPr>
              <w:jc w:val="center"/>
            </w:pPr>
            <w:r>
              <w:rPr>
                <w:sz w:val="16"/>
              </w:rPr>
              <w:t>DTR</w:t>
            </w:r>
          </w:p>
        </w:tc>
        <w:tc>
          <w:tcPr>
            <w:tcW w:type="dxa" w:w="4320"/>
          </w:tcPr>
          <w:p>
            <w:pPr>
              <w:jc w:val="center"/>
            </w:pPr>
            <w:r>
              <w:rPr>
                <w:sz w:val="16"/>
              </w:rPr>
              <w:t>min_samples_split=8; min_samples_leaf=1; max_depth=4</w:t>
            </w:r>
          </w:p>
        </w:tc>
      </w:tr>
    </w:tbl>
    <w:p/>
    <w:p>
      <w:pPr>
        <w:pStyle w:val="Heading2"/>
      </w:pPr>
      <w:r>
        <w:rPr>
          <w:color w:val="1B2A4A"/>
        </w:rPr>
        <w:t>5.5 ZT</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16"/>
              </w:rPr>
              <w:t>Model</w:t>
            </w:r>
          </w:p>
        </w:tc>
        <w:tc>
          <w:tcPr>
            <w:tcW w:type="dxa" w:w="4320"/>
            <w:shd w:fill="1B2A4A"/>
          </w:tcPr>
          <w:p>
            <w:pPr>
              <w:jc w:val="center"/>
            </w:pPr>
            <w:r>
              <w:rPr>
                <w:b/>
                <w:color w:val="FFFFFF"/>
                <w:sz w:val="16"/>
              </w:rPr>
              <w:t>Best hyperparameters (randomized search)</w:t>
            </w:r>
          </w:p>
        </w:tc>
      </w:tr>
      <w:tr>
        <w:tc>
          <w:tcPr>
            <w:tcW w:type="dxa" w:w="4320"/>
          </w:tcPr>
          <w:p>
            <w:pPr>
              <w:jc w:val="center"/>
            </w:pPr>
            <w:r>
              <w:rPr>
                <w:sz w:val="16"/>
              </w:rPr>
              <w:t>CatBoost</w:t>
            </w:r>
          </w:p>
        </w:tc>
        <w:tc>
          <w:tcPr>
            <w:tcW w:type="dxa" w:w="4320"/>
          </w:tcPr>
          <w:p>
            <w:pPr>
              <w:jc w:val="center"/>
            </w:pPr>
            <w:r>
              <w:rPr>
                <w:sz w:val="16"/>
              </w:rPr>
              <w:t>learning_rate=0.2; l2_leaf_reg=3; iterations=200; depth=5</w:t>
            </w:r>
          </w:p>
        </w:tc>
      </w:tr>
      <w:tr>
        <w:tc>
          <w:tcPr>
            <w:tcW w:type="dxa" w:w="4320"/>
          </w:tcPr>
          <w:p>
            <w:pPr>
              <w:jc w:val="center"/>
            </w:pPr>
            <w:r>
              <w:rPr>
                <w:sz w:val="16"/>
              </w:rPr>
              <w:t>XGBR</w:t>
            </w:r>
          </w:p>
        </w:tc>
        <w:tc>
          <w:tcPr>
            <w:tcW w:type="dxa" w:w="4320"/>
          </w:tcPr>
          <w:p>
            <w:pPr>
              <w:jc w:val="center"/>
            </w:pPr>
            <w:r>
              <w:rPr>
                <w:sz w:val="16"/>
              </w:rPr>
              <w:t>subsample=0.6; reg_lambda=1; n_estimators=200; min_child_weight=5; max_depth=4; learning_rate=0.05; colsample_bytree=0.6</w:t>
            </w:r>
          </w:p>
        </w:tc>
      </w:tr>
      <w:tr>
        <w:tc>
          <w:tcPr>
            <w:tcW w:type="dxa" w:w="4320"/>
          </w:tcPr>
          <w:p>
            <w:pPr>
              <w:jc w:val="center"/>
            </w:pPr>
            <w:r>
              <w:rPr>
                <w:sz w:val="16"/>
              </w:rPr>
              <w:t>GBR</w:t>
            </w:r>
          </w:p>
        </w:tc>
        <w:tc>
          <w:tcPr>
            <w:tcW w:type="dxa" w:w="4320"/>
          </w:tcPr>
          <w:p>
            <w:pPr>
              <w:jc w:val="center"/>
            </w:pPr>
            <w:r>
              <w:rPr>
                <w:sz w:val="16"/>
              </w:rPr>
              <w:t>subsample=0.7; n_estimators=300; min_samples_leaf=2; max_depth=6; learning_rate=0.01</w:t>
            </w:r>
          </w:p>
        </w:tc>
      </w:tr>
      <w:tr>
        <w:tc>
          <w:tcPr>
            <w:tcW w:type="dxa" w:w="4320"/>
          </w:tcPr>
          <w:p>
            <w:pPr>
              <w:jc w:val="center"/>
            </w:pPr>
            <w:r>
              <w:rPr>
                <w:sz w:val="16"/>
              </w:rPr>
              <w:t>RandomForest</w:t>
            </w:r>
          </w:p>
        </w:tc>
        <w:tc>
          <w:tcPr>
            <w:tcW w:type="dxa" w:w="4320"/>
          </w:tcPr>
          <w:p>
            <w:pPr>
              <w:jc w:val="center"/>
            </w:pPr>
            <w:r>
              <w:rPr>
                <w:sz w:val="16"/>
              </w:rPr>
              <w:t>n_estimators=300; min_samples_leaf=1; max_features=1.0; max_depth=None</w:t>
            </w:r>
          </w:p>
        </w:tc>
      </w:tr>
      <w:tr>
        <w:tc>
          <w:tcPr>
            <w:tcW w:type="dxa" w:w="4320"/>
          </w:tcPr>
          <w:p>
            <w:pPr>
              <w:jc w:val="center"/>
            </w:pPr>
            <w:r>
              <w:rPr>
                <w:sz w:val="16"/>
              </w:rPr>
              <w:t>DTR</w:t>
            </w:r>
          </w:p>
        </w:tc>
        <w:tc>
          <w:tcPr>
            <w:tcW w:type="dxa" w:w="4320"/>
          </w:tcPr>
          <w:p>
            <w:pPr>
              <w:jc w:val="center"/>
            </w:pPr>
            <w:r>
              <w:rPr>
                <w:sz w:val="16"/>
              </w:rPr>
              <w:t>min_samples_split=8; min_samples_leaf=1; max_depth=6</w:t>
            </w:r>
          </w:p>
        </w:tc>
      </w:tr>
    </w:tbl>
    <w:p/>
    <w:p>
      <w:pPr>
        <w:pStyle w:val="Heading1"/>
      </w:pPr>
      <w:r>
        <w:rPr>
          <w:color w:val="1B2A4A"/>
        </w:rPr>
        <w:t>6. SHAP Interpretability Analysis</w:t>
      </w:r>
    </w:p>
    <w:p>
      <w:r>
        <w:t>SHAP (SHapley Additive exPlanations) values were computed with TreeExplainer for each property's best model on its training set, giving both a global ranking (mean absolute SHAP value) and a per-sample beeswarm view of how each feature's value shifts the prediction.</w:t>
      </w:r>
    </w:p>
    <w:p>
      <w:pPr>
        <w:pStyle w:val="Heading2"/>
      </w:pPr>
      <w:r>
        <w:rPr>
          <w:color w:val="1B2A4A"/>
        </w:rPr>
        <w:t>6.1 Seebeck coefficient</w:t>
      </w:r>
    </w:p>
    <w:p>
      <w:pPr>
        <w:jc w:val="center"/>
      </w:pPr>
      <w:r>
        <w:drawing>
          <wp:inline xmlns:a="http://schemas.openxmlformats.org/drawingml/2006/main" xmlns:pic="http://schemas.openxmlformats.org/drawingml/2006/picture">
            <wp:extent cx="5029200" cy="3184506"/>
            <wp:docPr id="2" name="Picture 2"/>
            <wp:cNvGraphicFramePr>
              <a:graphicFrameLocks noChangeAspect="1"/>
            </wp:cNvGraphicFramePr>
            <a:graphic>
              <a:graphicData uri="http://schemas.openxmlformats.org/drawingml/2006/picture">
                <pic:pic>
                  <pic:nvPicPr>
                    <pic:cNvPr id="0" name="shap_bar_seebeck_coefficient.png"/>
                    <pic:cNvPicPr/>
                  </pic:nvPicPr>
                  <pic:blipFill>
                    <a:blip r:embed="rId10"/>
                    <a:stretch>
                      <a:fillRect/>
                    </a:stretch>
                  </pic:blipFill>
                  <pic:spPr>
                    <a:xfrm>
                      <a:off x="0" y="0"/>
                      <a:ext cx="5029200" cy="3184506"/>
                    </a:xfrm>
                    <a:prstGeom prst="rect"/>
                  </pic:spPr>
                </pic:pic>
              </a:graphicData>
            </a:graphic>
          </wp:inline>
        </w:drawing>
      </w:r>
    </w:p>
    <w:p>
      <w:pPr>
        <w:jc w:val="center"/>
      </w:pPr>
      <w:r>
        <w:rPr>
          <w:i/>
          <w:sz w:val="20"/>
        </w:rPr>
        <w:t>Global SHAP importance -- Seebeck coefficient.</w:t>
      </w:r>
    </w:p>
    <w:p>
      <w:pPr>
        <w:jc w:val="center"/>
      </w:pPr>
      <w:r>
        <w:drawing>
          <wp:inline xmlns:a="http://schemas.openxmlformats.org/drawingml/2006/main" xmlns:pic="http://schemas.openxmlformats.org/drawingml/2006/picture">
            <wp:extent cx="5029200" cy="3565180"/>
            <wp:docPr id="3" name="Picture 3"/>
            <wp:cNvGraphicFramePr>
              <a:graphicFrameLocks noChangeAspect="1"/>
            </wp:cNvGraphicFramePr>
            <a:graphic>
              <a:graphicData uri="http://schemas.openxmlformats.org/drawingml/2006/picture">
                <pic:pic>
                  <pic:nvPicPr>
                    <pic:cNvPr id="0" name="shap_beeswarm_seebeck_coefficient.png"/>
                    <pic:cNvPicPr/>
                  </pic:nvPicPr>
                  <pic:blipFill>
                    <a:blip r:embed="rId11"/>
                    <a:stretch>
                      <a:fillRect/>
                    </a:stretch>
                  </pic:blipFill>
                  <pic:spPr>
                    <a:xfrm>
                      <a:off x="0" y="0"/>
                      <a:ext cx="5029200" cy="3565180"/>
                    </a:xfrm>
                    <a:prstGeom prst="rect"/>
                  </pic:spPr>
                </pic:pic>
              </a:graphicData>
            </a:graphic>
          </wp:inline>
        </w:drawing>
      </w:r>
    </w:p>
    <w:p>
      <w:pPr>
        <w:jc w:val="center"/>
      </w:pPr>
      <w:r>
        <w:rPr>
          <w:i/>
          <w:sz w:val="20"/>
        </w:rPr>
        <w:t>SHAP beeswarm -- Seebeck coefficient.</w:t>
      </w:r>
    </w:p>
    <w:p>
      <w:pPr>
        <w:jc w:val="center"/>
      </w:pPr>
      <w:r>
        <w:drawing>
          <wp:inline xmlns:a="http://schemas.openxmlformats.org/drawingml/2006/main" xmlns:pic="http://schemas.openxmlformats.org/drawingml/2006/picture">
            <wp:extent cx="4114800" cy="4211986"/>
            <wp:docPr id="4" name="Picture 4"/>
            <wp:cNvGraphicFramePr>
              <a:graphicFrameLocks noChangeAspect="1"/>
            </wp:cNvGraphicFramePr>
            <a:graphic>
              <a:graphicData uri="http://schemas.openxmlformats.org/drawingml/2006/picture">
                <pic:pic>
                  <pic:nvPicPr>
                    <pic:cNvPr id="0" name="parity_seebeck_coefficient.png"/>
                    <pic:cNvPicPr/>
                  </pic:nvPicPr>
                  <pic:blipFill>
                    <a:blip r:embed="rId12"/>
                    <a:stretch>
                      <a:fillRect/>
                    </a:stretch>
                  </pic:blipFill>
                  <pic:spPr>
                    <a:xfrm>
                      <a:off x="0" y="0"/>
                      <a:ext cx="4114800" cy="4211986"/>
                    </a:xfrm>
                    <a:prstGeom prst="rect"/>
                  </pic:spPr>
                </pic:pic>
              </a:graphicData>
            </a:graphic>
          </wp:inline>
        </w:drawing>
      </w:r>
    </w:p>
    <w:p>
      <w:pPr>
        <w:jc w:val="center"/>
      </w:pPr>
      <w:r>
        <w:rPr>
          <w:i/>
          <w:sz w:val="20"/>
        </w:rPr>
        <w:t>Parity plot (predicted vs. actual, test set) -- Seebeck coefficient.</w:t>
      </w:r>
    </w:p>
    <w:p/>
    <w:p>
      <w:pPr>
        <w:pStyle w:val="Heading2"/>
      </w:pPr>
      <w:r>
        <w:rPr>
          <w:color w:val="1B2A4A"/>
        </w:rPr>
        <w:t>6.2 Electrical conductivity</w:t>
      </w:r>
    </w:p>
    <w:p>
      <w:pPr>
        <w:jc w:val="center"/>
      </w:pPr>
      <w:r>
        <w:drawing>
          <wp:inline xmlns:a="http://schemas.openxmlformats.org/drawingml/2006/main" xmlns:pic="http://schemas.openxmlformats.org/drawingml/2006/picture">
            <wp:extent cx="5029200" cy="3000221"/>
            <wp:docPr id="5" name="Picture 5"/>
            <wp:cNvGraphicFramePr>
              <a:graphicFrameLocks noChangeAspect="1"/>
            </wp:cNvGraphicFramePr>
            <a:graphic>
              <a:graphicData uri="http://schemas.openxmlformats.org/drawingml/2006/picture">
                <pic:pic>
                  <pic:nvPicPr>
                    <pic:cNvPr id="0" name="shap_bar_electrical_conductivity.png"/>
                    <pic:cNvPicPr/>
                  </pic:nvPicPr>
                  <pic:blipFill>
                    <a:blip r:embed="rId13"/>
                    <a:stretch>
                      <a:fillRect/>
                    </a:stretch>
                  </pic:blipFill>
                  <pic:spPr>
                    <a:xfrm>
                      <a:off x="0" y="0"/>
                      <a:ext cx="5029200" cy="3000221"/>
                    </a:xfrm>
                    <a:prstGeom prst="rect"/>
                  </pic:spPr>
                </pic:pic>
              </a:graphicData>
            </a:graphic>
          </wp:inline>
        </w:drawing>
      </w:r>
    </w:p>
    <w:p>
      <w:pPr>
        <w:jc w:val="center"/>
      </w:pPr>
      <w:r>
        <w:rPr>
          <w:i/>
          <w:sz w:val="20"/>
        </w:rPr>
        <w:t>Global SHAP importance -- Electrical conductivity.</w:t>
      </w:r>
    </w:p>
    <w:p>
      <w:pPr>
        <w:jc w:val="center"/>
      </w:pPr>
      <w:r>
        <w:drawing>
          <wp:inline xmlns:a="http://schemas.openxmlformats.org/drawingml/2006/main" xmlns:pic="http://schemas.openxmlformats.org/drawingml/2006/picture">
            <wp:extent cx="5029200" cy="3365602"/>
            <wp:docPr id="6" name="Picture 6"/>
            <wp:cNvGraphicFramePr>
              <a:graphicFrameLocks noChangeAspect="1"/>
            </wp:cNvGraphicFramePr>
            <a:graphic>
              <a:graphicData uri="http://schemas.openxmlformats.org/drawingml/2006/picture">
                <pic:pic>
                  <pic:nvPicPr>
                    <pic:cNvPr id="0" name="shap_beeswarm_electrical_conductivity.png"/>
                    <pic:cNvPicPr/>
                  </pic:nvPicPr>
                  <pic:blipFill>
                    <a:blip r:embed="rId14"/>
                    <a:stretch>
                      <a:fillRect/>
                    </a:stretch>
                  </pic:blipFill>
                  <pic:spPr>
                    <a:xfrm>
                      <a:off x="0" y="0"/>
                      <a:ext cx="5029200" cy="3365602"/>
                    </a:xfrm>
                    <a:prstGeom prst="rect"/>
                  </pic:spPr>
                </pic:pic>
              </a:graphicData>
            </a:graphic>
          </wp:inline>
        </w:drawing>
      </w:r>
    </w:p>
    <w:p>
      <w:pPr>
        <w:jc w:val="center"/>
      </w:pPr>
      <w:r>
        <w:rPr>
          <w:i/>
          <w:sz w:val="20"/>
        </w:rPr>
        <w:t>SHAP beeswarm -- Electrical conductivity.</w:t>
      </w:r>
    </w:p>
    <w:p>
      <w:pPr>
        <w:jc w:val="center"/>
      </w:pPr>
      <w:r>
        <w:drawing>
          <wp:inline xmlns:a="http://schemas.openxmlformats.org/drawingml/2006/main" xmlns:pic="http://schemas.openxmlformats.org/drawingml/2006/picture">
            <wp:extent cx="4114800" cy="4288507"/>
            <wp:docPr id="7" name="Picture 7"/>
            <wp:cNvGraphicFramePr>
              <a:graphicFrameLocks noChangeAspect="1"/>
            </wp:cNvGraphicFramePr>
            <a:graphic>
              <a:graphicData uri="http://schemas.openxmlformats.org/drawingml/2006/picture">
                <pic:pic>
                  <pic:nvPicPr>
                    <pic:cNvPr id="0" name="parity_electrical_conductivity.png"/>
                    <pic:cNvPicPr/>
                  </pic:nvPicPr>
                  <pic:blipFill>
                    <a:blip r:embed="rId15"/>
                    <a:stretch>
                      <a:fillRect/>
                    </a:stretch>
                  </pic:blipFill>
                  <pic:spPr>
                    <a:xfrm>
                      <a:off x="0" y="0"/>
                      <a:ext cx="4114800" cy="4288507"/>
                    </a:xfrm>
                    <a:prstGeom prst="rect"/>
                  </pic:spPr>
                </pic:pic>
              </a:graphicData>
            </a:graphic>
          </wp:inline>
        </w:drawing>
      </w:r>
    </w:p>
    <w:p>
      <w:pPr>
        <w:jc w:val="center"/>
      </w:pPr>
      <w:r>
        <w:rPr>
          <w:i/>
          <w:sz w:val="20"/>
        </w:rPr>
        <w:t>Parity plot (predicted vs. actual, test set) -- Electrical conductivity.</w:t>
      </w:r>
    </w:p>
    <w:p/>
    <w:p>
      <w:pPr>
        <w:pStyle w:val="Heading2"/>
      </w:pPr>
      <w:r>
        <w:rPr>
          <w:color w:val="1B2A4A"/>
        </w:rPr>
        <w:t>6.3 Thermal conductivity</w:t>
      </w:r>
    </w:p>
    <w:p>
      <w:pPr>
        <w:jc w:val="center"/>
      </w:pPr>
      <w:r>
        <w:drawing>
          <wp:inline xmlns:a="http://schemas.openxmlformats.org/drawingml/2006/main" xmlns:pic="http://schemas.openxmlformats.org/drawingml/2006/picture">
            <wp:extent cx="5029200" cy="3000221"/>
            <wp:docPr id="8" name="Picture 8"/>
            <wp:cNvGraphicFramePr>
              <a:graphicFrameLocks noChangeAspect="1"/>
            </wp:cNvGraphicFramePr>
            <a:graphic>
              <a:graphicData uri="http://schemas.openxmlformats.org/drawingml/2006/picture">
                <pic:pic>
                  <pic:nvPicPr>
                    <pic:cNvPr id="0" name="shap_bar_thermal_conductivity.png"/>
                    <pic:cNvPicPr/>
                  </pic:nvPicPr>
                  <pic:blipFill>
                    <a:blip r:embed="rId16"/>
                    <a:stretch>
                      <a:fillRect/>
                    </a:stretch>
                  </pic:blipFill>
                  <pic:spPr>
                    <a:xfrm>
                      <a:off x="0" y="0"/>
                      <a:ext cx="5029200" cy="3000221"/>
                    </a:xfrm>
                    <a:prstGeom prst="rect"/>
                  </pic:spPr>
                </pic:pic>
              </a:graphicData>
            </a:graphic>
          </wp:inline>
        </w:drawing>
      </w:r>
    </w:p>
    <w:p>
      <w:pPr>
        <w:jc w:val="center"/>
      </w:pPr>
      <w:r>
        <w:rPr>
          <w:i/>
          <w:sz w:val="20"/>
        </w:rPr>
        <w:t>Global SHAP importance -- Thermal conductivity.</w:t>
      </w:r>
    </w:p>
    <w:p>
      <w:pPr>
        <w:jc w:val="center"/>
      </w:pPr>
      <w:r>
        <w:drawing>
          <wp:inline xmlns:a="http://schemas.openxmlformats.org/drawingml/2006/main" xmlns:pic="http://schemas.openxmlformats.org/drawingml/2006/picture">
            <wp:extent cx="5029200" cy="3365602"/>
            <wp:docPr id="9" name="Picture 9"/>
            <wp:cNvGraphicFramePr>
              <a:graphicFrameLocks noChangeAspect="1"/>
            </wp:cNvGraphicFramePr>
            <a:graphic>
              <a:graphicData uri="http://schemas.openxmlformats.org/drawingml/2006/picture">
                <pic:pic>
                  <pic:nvPicPr>
                    <pic:cNvPr id="0" name="shap_beeswarm_thermal_conductivity.png"/>
                    <pic:cNvPicPr/>
                  </pic:nvPicPr>
                  <pic:blipFill>
                    <a:blip r:embed="rId17"/>
                    <a:stretch>
                      <a:fillRect/>
                    </a:stretch>
                  </pic:blipFill>
                  <pic:spPr>
                    <a:xfrm>
                      <a:off x="0" y="0"/>
                      <a:ext cx="5029200" cy="3365602"/>
                    </a:xfrm>
                    <a:prstGeom prst="rect"/>
                  </pic:spPr>
                </pic:pic>
              </a:graphicData>
            </a:graphic>
          </wp:inline>
        </w:drawing>
      </w:r>
    </w:p>
    <w:p>
      <w:pPr>
        <w:jc w:val="center"/>
      </w:pPr>
      <w:r>
        <w:rPr>
          <w:i/>
          <w:sz w:val="20"/>
        </w:rPr>
        <w:t>SHAP beeswarm -- Thermal conductivity.</w:t>
      </w:r>
    </w:p>
    <w:p>
      <w:pPr>
        <w:jc w:val="center"/>
      </w:pPr>
      <w:r>
        <w:drawing>
          <wp:inline xmlns:a="http://schemas.openxmlformats.org/drawingml/2006/main" xmlns:pic="http://schemas.openxmlformats.org/drawingml/2006/picture">
            <wp:extent cx="4114800" cy="4363664"/>
            <wp:docPr id="10" name="Picture 10"/>
            <wp:cNvGraphicFramePr>
              <a:graphicFrameLocks noChangeAspect="1"/>
            </wp:cNvGraphicFramePr>
            <a:graphic>
              <a:graphicData uri="http://schemas.openxmlformats.org/drawingml/2006/picture">
                <pic:pic>
                  <pic:nvPicPr>
                    <pic:cNvPr id="0" name="parity_thermal_conductivity.png"/>
                    <pic:cNvPicPr/>
                  </pic:nvPicPr>
                  <pic:blipFill>
                    <a:blip r:embed="rId18"/>
                    <a:stretch>
                      <a:fillRect/>
                    </a:stretch>
                  </pic:blipFill>
                  <pic:spPr>
                    <a:xfrm>
                      <a:off x="0" y="0"/>
                      <a:ext cx="4114800" cy="4363664"/>
                    </a:xfrm>
                    <a:prstGeom prst="rect"/>
                  </pic:spPr>
                </pic:pic>
              </a:graphicData>
            </a:graphic>
          </wp:inline>
        </w:drawing>
      </w:r>
    </w:p>
    <w:p>
      <w:pPr>
        <w:jc w:val="center"/>
      </w:pPr>
      <w:r>
        <w:rPr>
          <w:i/>
          <w:sz w:val="20"/>
        </w:rPr>
        <w:t>Parity plot (predicted vs. actual, test set) -- Thermal conductivity.</w:t>
      </w:r>
    </w:p>
    <w:p/>
    <w:p>
      <w:pPr>
        <w:pStyle w:val="Heading2"/>
      </w:pPr>
      <w:r>
        <w:rPr>
          <w:color w:val="1B2A4A"/>
        </w:rPr>
        <w:t>6.4 Power factor</w:t>
      </w:r>
    </w:p>
    <w:p>
      <w:pPr>
        <w:jc w:val="center"/>
      </w:pPr>
      <w:r>
        <w:drawing>
          <wp:inline xmlns:a="http://schemas.openxmlformats.org/drawingml/2006/main" xmlns:pic="http://schemas.openxmlformats.org/drawingml/2006/picture">
            <wp:extent cx="5029200" cy="3065014"/>
            <wp:docPr id="11" name="Picture 11"/>
            <wp:cNvGraphicFramePr>
              <a:graphicFrameLocks noChangeAspect="1"/>
            </wp:cNvGraphicFramePr>
            <a:graphic>
              <a:graphicData uri="http://schemas.openxmlformats.org/drawingml/2006/picture">
                <pic:pic>
                  <pic:nvPicPr>
                    <pic:cNvPr id="0" name="shap_bar_power_factor.png"/>
                    <pic:cNvPicPr/>
                  </pic:nvPicPr>
                  <pic:blipFill>
                    <a:blip r:embed="rId19"/>
                    <a:stretch>
                      <a:fillRect/>
                    </a:stretch>
                  </pic:blipFill>
                  <pic:spPr>
                    <a:xfrm>
                      <a:off x="0" y="0"/>
                      <a:ext cx="5029200" cy="3065014"/>
                    </a:xfrm>
                    <a:prstGeom prst="rect"/>
                  </pic:spPr>
                </pic:pic>
              </a:graphicData>
            </a:graphic>
          </wp:inline>
        </w:drawing>
      </w:r>
    </w:p>
    <w:p>
      <w:pPr>
        <w:jc w:val="center"/>
      </w:pPr>
      <w:r>
        <w:rPr>
          <w:i/>
          <w:sz w:val="20"/>
        </w:rPr>
        <w:t>Global SHAP importance -- Power factor.</w:t>
      </w:r>
    </w:p>
    <w:p>
      <w:pPr>
        <w:jc w:val="center"/>
      </w:pPr>
      <w:r>
        <w:drawing>
          <wp:inline xmlns:a="http://schemas.openxmlformats.org/drawingml/2006/main" xmlns:pic="http://schemas.openxmlformats.org/drawingml/2006/picture">
            <wp:extent cx="5029200" cy="3454463"/>
            <wp:docPr id="12" name="Picture 12"/>
            <wp:cNvGraphicFramePr>
              <a:graphicFrameLocks noChangeAspect="1"/>
            </wp:cNvGraphicFramePr>
            <a:graphic>
              <a:graphicData uri="http://schemas.openxmlformats.org/drawingml/2006/picture">
                <pic:pic>
                  <pic:nvPicPr>
                    <pic:cNvPr id="0" name="shap_beeswarm_power_factor.png"/>
                    <pic:cNvPicPr/>
                  </pic:nvPicPr>
                  <pic:blipFill>
                    <a:blip r:embed="rId20"/>
                    <a:stretch>
                      <a:fillRect/>
                    </a:stretch>
                  </pic:blipFill>
                  <pic:spPr>
                    <a:xfrm>
                      <a:off x="0" y="0"/>
                      <a:ext cx="5029200" cy="3454463"/>
                    </a:xfrm>
                    <a:prstGeom prst="rect"/>
                  </pic:spPr>
                </pic:pic>
              </a:graphicData>
            </a:graphic>
          </wp:inline>
        </w:drawing>
      </w:r>
    </w:p>
    <w:p>
      <w:pPr>
        <w:jc w:val="center"/>
      </w:pPr>
      <w:r>
        <w:rPr>
          <w:i/>
          <w:sz w:val="20"/>
        </w:rPr>
        <w:t>SHAP beeswarm -- Power factor.</w:t>
      </w:r>
    </w:p>
    <w:p>
      <w:pPr>
        <w:jc w:val="center"/>
      </w:pPr>
      <w:r>
        <w:drawing>
          <wp:inline xmlns:a="http://schemas.openxmlformats.org/drawingml/2006/main" xmlns:pic="http://schemas.openxmlformats.org/drawingml/2006/picture">
            <wp:extent cx="4114800" cy="4406385"/>
            <wp:docPr id="13" name="Picture 13"/>
            <wp:cNvGraphicFramePr>
              <a:graphicFrameLocks noChangeAspect="1"/>
            </wp:cNvGraphicFramePr>
            <a:graphic>
              <a:graphicData uri="http://schemas.openxmlformats.org/drawingml/2006/picture">
                <pic:pic>
                  <pic:nvPicPr>
                    <pic:cNvPr id="0" name="parity_power_factor.png"/>
                    <pic:cNvPicPr/>
                  </pic:nvPicPr>
                  <pic:blipFill>
                    <a:blip r:embed="rId21"/>
                    <a:stretch>
                      <a:fillRect/>
                    </a:stretch>
                  </pic:blipFill>
                  <pic:spPr>
                    <a:xfrm>
                      <a:off x="0" y="0"/>
                      <a:ext cx="4114800" cy="4406385"/>
                    </a:xfrm>
                    <a:prstGeom prst="rect"/>
                  </pic:spPr>
                </pic:pic>
              </a:graphicData>
            </a:graphic>
          </wp:inline>
        </w:drawing>
      </w:r>
    </w:p>
    <w:p>
      <w:pPr>
        <w:jc w:val="center"/>
      </w:pPr>
      <w:r>
        <w:rPr>
          <w:i/>
          <w:sz w:val="20"/>
        </w:rPr>
        <w:t>Parity plot (predicted vs. actual, test set) -- Power factor.</w:t>
      </w:r>
    </w:p>
    <w:p/>
    <w:p>
      <w:pPr>
        <w:pStyle w:val="Heading2"/>
      </w:pPr>
      <w:r>
        <w:rPr>
          <w:color w:val="1B2A4A"/>
        </w:rPr>
        <w:t>6.5 ZT</w:t>
      </w:r>
    </w:p>
    <w:p>
      <w:pPr>
        <w:jc w:val="center"/>
      </w:pPr>
      <w:r>
        <w:drawing>
          <wp:inline xmlns:a="http://schemas.openxmlformats.org/drawingml/2006/main" xmlns:pic="http://schemas.openxmlformats.org/drawingml/2006/picture">
            <wp:extent cx="5029200" cy="3147215"/>
            <wp:docPr id="14" name="Picture 14"/>
            <wp:cNvGraphicFramePr>
              <a:graphicFrameLocks noChangeAspect="1"/>
            </wp:cNvGraphicFramePr>
            <a:graphic>
              <a:graphicData uri="http://schemas.openxmlformats.org/drawingml/2006/picture">
                <pic:pic>
                  <pic:nvPicPr>
                    <pic:cNvPr id="0" name="shap_bar_ZT.png"/>
                    <pic:cNvPicPr/>
                  </pic:nvPicPr>
                  <pic:blipFill>
                    <a:blip r:embed="rId22"/>
                    <a:stretch>
                      <a:fillRect/>
                    </a:stretch>
                  </pic:blipFill>
                  <pic:spPr>
                    <a:xfrm>
                      <a:off x="0" y="0"/>
                      <a:ext cx="5029200" cy="3147215"/>
                    </a:xfrm>
                    <a:prstGeom prst="rect"/>
                  </pic:spPr>
                </pic:pic>
              </a:graphicData>
            </a:graphic>
          </wp:inline>
        </w:drawing>
      </w:r>
    </w:p>
    <w:p>
      <w:pPr>
        <w:jc w:val="center"/>
      </w:pPr>
      <w:r>
        <w:rPr>
          <w:i/>
          <w:sz w:val="20"/>
        </w:rPr>
        <w:t>Global SHAP importance -- ZT.</w:t>
      </w:r>
    </w:p>
    <w:p>
      <w:pPr>
        <w:jc w:val="center"/>
      </w:pPr>
      <w:r>
        <w:drawing>
          <wp:inline xmlns:a="http://schemas.openxmlformats.org/drawingml/2006/main" xmlns:pic="http://schemas.openxmlformats.org/drawingml/2006/picture">
            <wp:extent cx="5029200" cy="3514144"/>
            <wp:docPr id="15" name="Picture 15"/>
            <wp:cNvGraphicFramePr>
              <a:graphicFrameLocks noChangeAspect="1"/>
            </wp:cNvGraphicFramePr>
            <a:graphic>
              <a:graphicData uri="http://schemas.openxmlformats.org/drawingml/2006/picture">
                <pic:pic>
                  <pic:nvPicPr>
                    <pic:cNvPr id="0" name="shap_beeswarm_ZT.png"/>
                    <pic:cNvPicPr/>
                  </pic:nvPicPr>
                  <pic:blipFill>
                    <a:blip r:embed="rId23"/>
                    <a:stretch>
                      <a:fillRect/>
                    </a:stretch>
                  </pic:blipFill>
                  <pic:spPr>
                    <a:xfrm>
                      <a:off x="0" y="0"/>
                      <a:ext cx="5029200" cy="3514144"/>
                    </a:xfrm>
                    <a:prstGeom prst="rect"/>
                  </pic:spPr>
                </pic:pic>
              </a:graphicData>
            </a:graphic>
          </wp:inline>
        </w:drawing>
      </w:r>
    </w:p>
    <w:p>
      <w:pPr>
        <w:jc w:val="center"/>
      </w:pPr>
      <w:r>
        <w:rPr>
          <w:i/>
          <w:sz w:val="20"/>
        </w:rPr>
        <w:t>SHAP beeswarm -- ZT.</w:t>
      </w:r>
    </w:p>
    <w:p>
      <w:pPr>
        <w:jc w:val="center"/>
      </w:pPr>
      <w:r>
        <w:drawing>
          <wp:inline xmlns:a="http://schemas.openxmlformats.org/drawingml/2006/main" xmlns:pic="http://schemas.openxmlformats.org/drawingml/2006/picture">
            <wp:extent cx="4114800" cy="4363664"/>
            <wp:docPr id="16" name="Picture 16"/>
            <wp:cNvGraphicFramePr>
              <a:graphicFrameLocks noChangeAspect="1"/>
            </wp:cNvGraphicFramePr>
            <a:graphic>
              <a:graphicData uri="http://schemas.openxmlformats.org/drawingml/2006/picture">
                <pic:pic>
                  <pic:nvPicPr>
                    <pic:cNvPr id="0" name="parity_ZT.png"/>
                    <pic:cNvPicPr/>
                  </pic:nvPicPr>
                  <pic:blipFill>
                    <a:blip r:embed="rId24"/>
                    <a:stretch>
                      <a:fillRect/>
                    </a:stretch>
                  </pic:blipFill>
                  <pic:spPr>
                    <a:xfrm>
                      <a:off x="0" y="0"/>
                      <a:ext cx="4114800" cy="4363664"/>
                    </a:xfrm>
                    <a:prstGeom prst="rect"/>
                  </pic:spPr>
                </pic:pic>
              </a:graphicData>
            </a:graphic>
          </wp:inline>
        </w:drawing>
      </w:r>
    </w:p>
    <w:p>
      <w:pPr>
        <w:jc w:val="center"/>
      </w:pPr>
      <w:r>
        <w:rPr>
          <w:i/>
          <w:sz w:val="20"/>
        </w:rPr>
        <w:t>Parity plot (predicted vs. actual, test set) -- ZT.</w:t>
      </w:r>
    </w:p>
    <w:p/>
    <w:p>
      <w:pPr>
        <w:pStyle w:val="Heading2"/>
      </w:pPr>
      <w:r>
        <w:rPr>
          <w:color w:val="1B2A4A"/>
        </w:rPr>
        <w:t>6.6 The Cation-Disorder Descriptors in SHAP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2A4A"/>
          </w:tcPr>
          <w:p>
            <w:pPr>
              <w:jc w:val="center"/>
            </w:pPr>
            <w:r>
              <w:rPr>
                <w:b/>
                <w:color w:val="FFFFFF"/>
                <w:sz w:val="18"/>
              </w:rPr>
              <w:t>Property</w:t>
            </w:r>
          </w:p>
        </w:tc>
        <w:tc>
          <w:tcPr>
            <w:tcW w:type="dxa" w:w="2160"/>
            <w:shd w:fill="1B2A4A"/>
          </w:tcPr>
          <w:p>
            <w:pPr>
              <w:jc w:val="center"/>
            </w:pPr>
            <w:r>
              <w:rPr>
                <w:b/>
                <w:color w:val="FFFFFF"/>
                <w:sz w:val="18"/>
              </w:rPr>
              <w:t>Total features</w:t>
            </w:r>
          </w:p>
        </w:tc>
        <w:tc>
          <w:tcPr>
            <w:tcW w:type="dxa" w:w="2160"/>
            <w:shd w:fill="1B2A4A"/>
          </w:tcPr>
          <w:p>
            <w:pPr>
              <w:jc w:val="center"/>
            </w:pPr>
            <w:r>
              <w:rPr>
                <w:b/>
                <w:color w:val="FFFFFF"/>
                <w:sz w:val="18"/>
              </w:rPr>
              <w:t>Charge-mismatch rank</w:t>
            </w:r>
          </w:p>
        </w:tc>
        <w:tc>
          <w:tcPr>
            <w:tcW w:type="dxa" w:w="2160"/>
            <w:shd w:fill="1B2A4A"/>
          </w:tcPr>
          <w:p>
            <w:pPr>
              <w:jc w:val="center"/>
            </w:pPr>
            <w:r>
              <w:rPr>
                <w:b/>
                <w:color w:val="FFFFFF"/>
                <w:sz w:val="18"/>
              </w:rPr>
              <w:t>Radius-mismatch rank</w:t>
            </w:r>
          </w:p>
        </w:tc>
      </w:tr>
      <w:tr>
        <w:tc>
          <w:tcPr>
            <w:tcW w:type="dxa" w:w="2160"/>
          </w:tcPr>
          <w:p>
            <w:pPr>
              <w:jc w:val="center"/>
            </w:pPr>
            <w:r>
              <w:rPr>
                <w:sz w:val="18"/>
              </w:rPr>
              <w:t>Seebeck coefficient</w:t>
            </w:r>
          </w:p>
        </w:tc>
        <w:tc>
          <w:tcPr>
            <w:tcW w:type="dxa" w:w="2160"/>
          </w:tcPr>
          <w:p>
            <w:pPr>
              <w:jc w:val="center"/>
            </w:pPr>
            <w:r>
              <w:rPr>
                <w:sz w:val="18"/>
              </w:rPr>
              <w:t>12</w:t>
            </w:r>
          </w:p>
        </w:tc>
        <w:tc>
          <w:tcPr>
            <w:tcW w:type="dxa" w:w="2160"/>
          </w:tcPr>
          <w:p>
            <w:pPr>
              <w:jc w:val="center"/>
            </w:pPr>
            <w:r>
              <w:rPr>
                <w:sz w:val="18"/>
              </w:rPr>
              <w:t>7</w:t>
            </w:r>
          </w:p>
        </w:tc>
        <w:tc>
          <w:tcPr>
            <w:tcW w:type="dxa" w:w="2160"/>
          </w:tcPr>
          <w:p>
            <w:pPr>
              <w:jc w:val="center"/>
            </w:pPr>
            <w:r>
              <w:rPr>
                <w:sz w:val="18"/>
              </w:rPr>
              <w:t>8</w:t>
            </w:r>
          </w:p>
        </w:tc>
      </w:tr>
      <w:tr>
        <w:tc>
          <w:tcPr>
            <w:tcW w:type="dxa" w:w="2160"/>
          </w:tcPr>
          <w:p>
            <w:pPr>
              <w:jc w:val="center"/>
            </w:pPr>
            <w:r>
              <w:rPr>
                <w:sz w:val="18"/>
              </w:rPr>
              <w:t>Electrical conductivity</w:t>
            </w:r>
          </w:p>
        </w:tc>
        <w:tc>
          <w:tcPr>
            <w:tcW w:type="dxa" w:w="2160"/>
          </w:tcPr>
          <w:p>
            <w:pPr>
              <w:jc w:val="center"/>
            </w:pPr>
            <w:r>
              <w:rPr>
                <w:sz w:val="18"/>
              </w:rPr>
              <w:t>11</w:t>
            </w:r>
          </w:p>
        </w:tc>
        <w:tc>
          <w:tcPr>
            <w:tcW w:type="dxa" w:w="2160"/>
          </w:tcPr>
          <w:p>
            <w:pPr>
              <w:jc w:val="center"/>
            </w:pPr>
            <w:r>
              <w:rPr>
                <w:sz w:val="18"/>
              </w:rPr>
              <w:t>9</w:t>
            </w:r>
          </w:p>
        </w:tc>
        <w:tc>
          <w:tcPr>
            <w:tcW w:type="dxa" w:w="2160"/>
          </w:tcPr>
          <w:p>
            <w:pPr>
              <w:jc w:val="center"/>
            </w:pPr>
            <w:r>
              <w:rPr>
                <w:sz w:val="18"/>
              </w:rPr>
              <w:t>3</w:t>
            </w:r>
          </w:p>
        </w:tc>
      </w:tr>
      <w:tr>
        <w:tc>
          <w:tcPr>
            <w:tcW w:type="dxa" w:w="2160"/>
          </w:tcPr>
          <w:p>
            <w:pPr>
              <w:jc w:val="center"/>
            </w:pPr>
            <w:r>
              <w:rPr>
                <w:sz w:val="18"/>
              </w:rPr>
              <w:t>Thermal conductivity</w:t>
            </w:r>
          </w:p>
        </w:tc>
        <w:tc>
          <w:tcPr>
            <w:tcW w:type="dxa" w:w="2160"/>
          </w:tcPr>
          <w:p>
            <w:pPr>
              <w:jc w:val="center"/>
            </w:pPr>
            <w:r>
              <w:rPr>
                <w:sz w:val="18"/>
              </w:rPr>
              <w:t>11</w:t>
            </w:r>
          </w:p>
        </w:tc>
        <w:tc>
          <w:tcPr>
            <w:tcW w:type="dxa" w:w="2160"/>
          </w:tcPr>
          <w:p>
            <w:pPr>
              <w:jc w:val="center"/>
            </w:pPr>
            <w:r>
              <w:rPr>
                <w:sz w:val="18"/>
              </w:rPr>
              <w:t>7</w:t>
            </w:r>
          </w:p>
        </w:tc>
        <w:tc>
          <w:tcPr>
            <w:tcW w:type="dxa" w:w="2160"/>
          </w:tcPr>
          <w:p>
            <w:pPr>
              <w:jc w:val="center"/>
            </w:pPr>
            <w:r>
              <w:rPr>
                <w:sz w:val="18"/>
              </w:rPr>
              <w:t>4</w:t>
            </w:r>
          </w:p>
        </w:tc>
      </w:tr>
      <w:tr>
        <w:tc>
          <w:tcPr>
            <w:tcW w:type="dxa" w:w="2160"/>
          </w:tcPr>
          <w:p>
            <w:pPr>
              <w:jc w:val="center"/>
            </w:pPr>
            <w:r>
              <w:rPr>
                <w:sz w:val="18"/>
              </w:rPr>
              <w:t>Power factor</w:t>
            </w:r>
          </w:p>
        </w:tc>
        <w:tc>
          <w:tcPr>
            <w:tcW w:type="dxa" w:w="2160"/>
          </w:tcPr>
          <w:p>
            <w:pPr>
              <w:jc w:val="center"/>
            </w:pPr>
            <w:r>
              <w:rPr>
                <w:sz w:val="18"/>
              </w:rPr>
              <w:t>11</w:t>
            </w:r>
          </w:p>
        </w:tc>
        <w:tc>
          <w:tcPr>
            <w:tcW w:type="dxa" w:w="2160"/>
          </w:tcPr>
          <w:p>
            <w:pPr>
              <w:jc w:val="center"/>
            </w:pPr>
            <w:r>
              <w:rPr>
                <w:sz w:val="18"/>
              </w:rPr>
              <w:t>11</w:t>
            </w:r>
          </w:p>
        </w:tc>
        <w:tc>
          <w:tcPr>
            <w:tcW w:type="dxa" w:w="2160"/>
          </w:tcPr>
          <w:p>
            <w:pPr>
              <w:jc w:val="center"/>
            </w:pPr>
            <w:r>
              <w:rPr>
                <w:sz w:val="18"/>
              </w:rPr>
              <w:t>10</w:t>
            </w:r>
          </w:p>
        </w:tc>
      </w:tr>
      <w:tr>
        <w:tc>
          <w:tcPr>
            <w:tcW w:type="dxa" w:w="2160"/>
          </w:tcPr>
          <w:p>
            <w:pPr>
              <w:jc w:val="center"/>
            </w:pPr>
            <w:r>
              <w:rPr>
                <w:sz w:val="18"/>
              </w:rPr>
              <w:t>ZT</w:t>
            </w:r>
          </w:p>
        </w:tc>
        <w:tc>
          <w:tcPr>
            <w:tcW w:type="dxa" w:w="2160"/>
          </w:tcPr>
          <w:p>
            <w:pPr>
              <w:jc w:val="center"/>
            </w:pPr>
            <w:r>
              <w:rPr>
                <w:sz w:val="18"/>
              </w:rPr>
              <w:t>12</w:t>
            </w:r>
          </w:p>
        </w:tc>
        <w:tc>
          <w:tcPr>
            <w:tcW w:type="dxa" w:w="2160"/>
          </w:tcPr>
          <w:p>
            <w:pPr>
              <w:jc w:val="center"/>
            </w:pPr>
            <w:r>
              <w:rPr>
                <w:sz w:val="18"/>
              </w:rPr>
              <w:t>12</w:t>
            </w:r>
          </w:p>
        </w:tc>
        <w:tc>
          <w:tcPr>
            <w:tcW w:type="dxa" w:w="2160"/>
          </w:tcPr>
          <w:p>
            <w:pPr>
              <w:jc w:val="center"/>
            </w:pPr>
            <w:r>
              <w:rPr>
                <w:sz w:val="18"/>
              </w:rPr>
              <w:t>6</w:t>
            </w:r>
          </w:p>
        </w:tc>
      </w:tr>
    </w:tbl>
    <w:p>
      <w:pPr>
        <w:jc w:val="center"/>
      </w:pPr>
      <w:r>
        <w:rPr>
          <w:i/>
          <w:sz w:val="20"/>
        </w:rPr>
        <w:t>Table 8. SHAP-importance rank of the two Biswas-mechanism descriptors within each property's selected feature set (rank 1 = most important).</w:t>
      </w:r>
    </w:p>
    <w:p>
      <w:r>
        <w:t>In most of the five properties, dopant-host ionic-radius mismatch outranks dopant-host charge mismatch, in some cases substantially (Table 8). This is directionally consistent with the Biswas-group finding that local size/strain accommodation at the Ag+/Sb3+ site -- rather than simple oxidation-state balance -- is the dominant lever on cation ordering and thermoelectric performance in this material family; the model recovers this emphasis from the extracted-literature data without being told it explicitly.</w:t>
      </w:r>
    </w:p>
    <w:p>
      <w:pPr>
        <w:pStyle w:val="Heading1"/>
      </w:pPr>
      <w:r>
        <w:rPr>
          <w:color w:val="1B2A4A"/>
        </w:rPr>
        <w:t>7. Inverse Design: Optimum Dopant Prediction for Highest ZT</w:t>
      </w:r>
    </w:p>
    <w:p>
      <w:r>
        <w:t>Using the best ZT model, a grid of candidate dopant element (all elements up to Bi, excluding noble gases, radioactive elements, and the host elements Ag/Sb/Te) x doped site (Ag, Sb, Te) x doping ratio (1-20%) x temperature (300-773 K) was screened, followed by a co-doping screen among the top single-dopant candidates. Because the descriptors are composition-based (not restricted to elements seen during training), this screen extends to dopants never reported as AgSbTe2 dopants in the literature corpus, providing genuine model-guided exploration rather than interpolation only.</w:t>
      </w:r>
    </w:p>
    <w:p>
      <w:pPr>
        <w:pStyle w:val="Heading2"/>
      </w:pPr>
      <w:r>
        <w:rPr>
          <w:color w:val="1B2A4A"/>
        </w:rPr>
        <w:t>7.1 Answers to the Four Design Questions</w:t>
      </w:r>
    </w:p>
    <w:tbl>
      <w:tblPr>
        <w:tblStyle w:val="LightGrid-Accent1"/>
        <w:tblW w:type="auto" w:w="0"/>
        <w:jc w:val="center"/>
        <w:tblLook w:firstColumn="1" w:firstRow="1" w:lastColumn="0" w:lastRow="0" w:noHBand="0" w:noVBand="1" w:val="04A0"/>
      </w:tblPr>
      <w:tblGrid>
        <w:gridCol w:w="4320"/>
        <w:gridCol w:w="4320"/>
      </w:tblGrid>
      <w:tr>
        <w:tc>
          <w:tcPr>
            <w:tcW w:type="dxa" w:w="4320"/>
            <w:shd w:fill="1B2A4A"/>
          </w:tcPr>
          <w:p>
            <w:pPr>
              <w:jc w:val="center"/>
            </w:pPr>
            <w:r>
              <w:rPr>
                <w:b/>
                <w:color w:val="FFFFFF"/>
                <w:sz w:val="20"/>
              </w:rPr>
              <w:t>Question</w:t>
            </w:r>
          </w:p>
        </w:tc>
        <w:tc>
          <w:tcPr>
            <w:tcW w:type="dxa" w:w="4320"/>
            <w:shd w:fill="1B2A4A"/>
          </w:tcPr>
          <w:p>
            <w:pPr>
              <w:jc w:val="center"/>
            </w:pPr>
            <w:r>
              <w:rPr>
                <w:b/>
                <w:color w:val="FFFFFF"/>
                <w:sz w:val="20"/>
              </w:rPr>
              <w:t>Model-guided answer</w:t>
            </w:r>
          </w:p>
        </w:tc>
      </w:tr>
      <w:tr>
        <w:tc>
          <w:tcPr>
            <w:tcW w:type="dxa" w:w="4320"/>
          </w:tcPr>
          <w:p>
            <w:pPr>
              <w:jc w:val="center"/>
            </w:pPr>
            <w:r>
              <w:rPr>
                <w:sz w:val="20"/>
              </w:rPr>
              <w:t>1. Best dopant element</w:t>
            </w:r>
          </w:p>
        </w:tc>
        <w:tc>
          <w:tcPr>
            <w:tcW w:type="dxa" w:w="4320"/>
          </w:tcPr>
          <w:p>
            <w:pPr>
              <w:jc w:val="center"/>
            </w:pPr>
            <w:r>
              <w:rPr>
                <w:sz w:val="20"/>
              </w:rPr>
              <w:t>Cd (predicted ZT = 2.67 at 573 K)</w:t>
            </w:r>
          </w:p>
        </w:tc>
      </w:tr>
      <w:tr>
        <w:tc>
          <w:tcPr>
            <w:tcW w:type="dxa" w:w="4320"/>
          </w:tcPr>
          <w:p>
            <w:pPr>
              <w:jc w:val="center"/>
            </w:pPr>
            <w:r>
              <w:rPr>
                <w:sz w:val="20"/>
              </w:rPr>
              <w:t>2. Single- or co-doped, and site</w:t>
            </w:r>
          </w:p>
        </w:tc>
        <w:tc>
          <w:tcPr>
            <w:tcW w:type="dxa" w:w="4320"/>
          </w:tcPr>
          <w:p>
            <w:pPr>
              <w:jc w:val="center"/>
            </w:pPr>
            <w:r>
              <w:rPr>
                <w:sz w:val="20"/>
              </w:rPr>
              <w:t>Single-doped is predicted to outperform the best co-doped combination found (2.67 vs. 2.60); site = Sb</w:t>
            </w:r>
          </w:p>
        </w:tc>
      </w:tr>
      <w:tr>
        <w:tc>
          <w:tcPr>
            <w:tcW w:type="dxa" w:w="4320"/>
          </w:tcPr>
          <w:p>
            <w:pPr>
              <w:jc w:val="center"/>
            </w:pPr>
            <w:r>
              <w:rPr>
                <w:sz w:val="20"/>
              </w:rPr>
              <w:t>3. Dopant ratio/percentage</w:t>
            </w:r>
          </w:p>
        </w:tc>
        <w:tc>
          <w:tcPr>
            <w:tcW w:type="dxa" w:w="4320"/>
          </w:tcPr>
          <w:p>
            <w:pPr>
              <w:jc w:val="center"/>
            </w:pPr>
            <w:r>
              <w:rPr>
                <w:sz w:val="20"/>
              </w:rPr>
              <w:t>8 at.%</w:t>
            </w:r>
          </w:p>
        </w:tc>
      </w:tr>
      <w:tr>
        <w:tc>
          <w:tcPr>
            <w:tcW w:type="dxa" w:w="4320"/>
          </w:tcPr>
          <w:p>
            <w:pPr>
              <w:jc w:val="center"/>
            </w:pPr>
            <w:r>
              <w:rPr>
                <w:sz w:val="20"/>
              </w:rPr>
              <w:t>4. Best novel/unexplored dopant</w:t>
            </w:r>
          </w:p>
        </w:tc>
        <w:tc>
          <w:tcPr>
            <w:tcW w:type="dxa" w:w="4320"/>
          </w:tcPr>
          <w:p>
            <w:pPr>
              <w:jc w:val="center"/>
            </w:pPr>
            <w:r>
              <w:rPr>
                <w:sz w:val="20"/>
              </w:rPr>
              <w:t>Be on the Te site at 5% (predicted ZT = 2.28) -- not previously reported as an AgSbTe2 dopant in this corpus</w:t>
            </w:r>
          </w:p>
        </w:tc>
      </w:tr>
    </w:tbl>
    <w:p>
      <w:pPr>
        <w:jc w:val="center"/>
      </w:pPr>
      <w:r>
        <w:rPr>
          <w:i/>
          <w:sz w:val="20"/>
        </w:rPr>
        <w:t>Table 9. Direct answers to the four inverse-design questions, from the best ZT model.</w:t>
      </w:r>
    </w:p>
    <w:p/>
    <w:p>
      <w:r>
        <w:rPr>
          <w:b/>
        </w:rPr>
        <w:t>Internal consistency, not external validation: the top-ranked single-dopant prediction (Cd on the Sb site, 8%, 573 K, predicted ZT = 2.67) sits close to -- but does not exactly reproduce -- reported ratios (2%, 4%, 6%) for Cd-on-Sb doping across five papers already in the training corpus, including the original report of ZT ~ 2.6 at 573 K. Because that chemistry is heavily represented in training, this result demonstrates that the screen correctly recovers/mildly interpolates a known optimum rather than ranking something worse above it -- a useful sanity check, not proof the model extrapolates reliably to truly new chemistry. The best co-doped pair (Cd+Hg on Sb, a combination no paper has tested despite both dopants individually being well documented) and the best novel dopant (Be, absent from the corpus entirely) are the genuine extrapolation tests in this screen, and carry correspondingly more uncertainty -- treat them as hypotheses to prioritize experimentally, not validated results. See Section 8 for further caveats.</w:t>
      </w:r>
    </w:p>
    <w:p>
      <w:pPr>
        <w:pStyle w:val="Heading2"/>
      </w:pPr>
      <w:r>
        <w:rPr>
          <w:color w:val="1B2A4A"/>
        </w:rPr>
        <w:t>7.2 Top Screened Candidates</w:t>
      </w:r>
    </w:p>
    <w:p>
      <w:pPr>
        <w:jc w:val="center"/>
      </w:pPr>
      <w:r>
        <w:drawing>
          <wp:inline xmlns:a="http://schemas.openxmlformats.org/drawingml/2006/main" xmlns:pic="http://schemas.openxmlformats.org/drawingml/2006/picture">
            <wp:extent cx="5486400" cy="4940659"/>
            <wp:docPr id="17" name="Picture 17"/>
            <wp:cNvGraphicFramePr>
              <a:graphicFrameLocks noChangeAspect="1"/>
            </wp:cNvGraphicFramePr>
            <a:graphic>
              <a:graphicData uri="http://schemas.openxmlformats.org/drawingml/2006/picture">
                <pic:pic>
                  <pic:nvPicPr>
                    <pic:cNvPr id="0" name="inverse_design_top_candidates.png"/>
                    <pic:cNvPicPr/>
                  </pic:nvPicPr>
                  <pic:blipFill>
                    <a:blip r:embed="rId25"/>
                    <a:stretch>
                      <a:fillRect/>
                    </a:stretch>
                  </pic:blipFill>
                  <pic:spPr>
                    <a:xfrm>
                      <a:off x="0" y="0"/>
                      <a:ext cx="5486400" cy="4940659"/>
                    </a:xfrm>
                    <a:prstGeom prst="rect"/>
                  </pic:spPr>
                </pic:pic>
              </a:graphicData>
            </a:graphic>
          </wp:inline>
        </w:drawing>
      </w:r>
    </w:p>
    <w:p>
      <w:pPr>
        <w:jc w:val="center"/>
      </w:pPr>
      <w:r>
        <w:rPr>
          <w:i/>
          <w:sz w:val="20"/>
        </w:rPr>
        <w:t>Figure 2. Top 15 dopant/site/ratio/temperature combinations by predicted ZT. Red bars are elements never reported as AgSbTe2 dopants in the training corpus.</w:t>
      </w:r>
    </w:p>
    <w:p>
      <w:pPr>
        <w:pStyle w:val="Heading2"/>
      </w:pPr>
      <w:r>
        <w:rPr>
          <w:color w:val="1B2A4A"/>
        </w:rPr>
        <w:t>7.3 Optimum Predicted Properties for Top Candidates</w:t>
      </w:r>
    </w:p>
    <w:p>
      <w:r>
        <w:t>For the leading candidates, all five properties (not only ZT) were predicted using each property's own best model at that candidate's optimal temperature. Because each property is modeled independently (not under a joint physical constraint such as PF = S2*sigma), small self-consistency deviations between properties are expected and are not evidence of error in any single model.</w:t>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1B2A4A"/>
          </w:tcPr>
          <w:p>
            <w:pPr>
              <w:jc w:val="center"/>
            </w:pPr>
            <w:r>
              <w:rPr>
                <w:b/>
                <w:color w:val="FFFFFF"/>
                <w:sz w:val="16"/>
              </w:rPr>
              <w:t>Candidate</w:t>
            </w:r>
          </w:p>
        </w:tc>
        <w:tc>
          <w:tcPr>
            <w:tcW w:type="dxa" w:w="665"/>
            <w:shd w:fill="1B2A4A"/>
          </w:tcPr>
          <w:p>
            <w:pPr>
              <w:jc w:val="center"/>
            </w:pPr>
            <w:r>
              <w:rPr>
                <w:b/>
                <w:color w:val="FFFFFF"/>
                <w:sz w:val="16"/>
              </w:rPr>
              <w:t>Dopant 1</w:t>
            </w:r>
          </w:p>
        </w:tc>
        <w:tc>
          <w:tcPr>
            <w:tcW w:type="dxa" w:w="665"/>
            <w:shd w:fill="1B2A4A"/>
          </w:tcPr>
          <w:p>
            <w:pPr>
              <w:jc w:val="center"/>
            </w:pPr>
            <w:r>
              <w:rPr>
                <w:b/>
                <w:color w:val="FFFFFF"/>
                <w:sz w:val="16"/>
              </w:rPr>
              <w:t>Site 1</w:t>
            </w:r>
          </w:p>
        </w:tc>
        <w:tc>
          <w:tcPr>
            <w:tcW w:type="dxa" w:w="665"/>
            <w:shd w:fill="1B2A4A"/>
          </w:tcPr>
          <w:p>
            <w:pPr>
              <w:jc w:val="center"/>
            </w:pPr>
            <w:r>
              <w:rPr>
                <w:b/>
                <w:color w:val="FFFFFF"/>
                <w:sz w:val="16"/>
              </w:rPr>
              <w:t>Ratio 1</w:t>
            </w:r>
          </w:p>
        </w:tc>
        <w:tc>
          <w:tcPr>
            <w:tcW w:type="dxa" w:w="665"/>
            <w:shd w:fill="1B2A4A"/>
          </w:tcPr>
          <w:p>
            <w:pPr>
              <w:jc w:val="center"/>
            </w:pPr>
            <w:r>
              <w:rPr>
                <w:b/>
                <w:color w:val="FFFFFF"/>
                <w:sz w:val="16"/>
              </w:rPr>
              <w:t>Dopant 2</w:t>
            </w:r>
          </w:p>
        </w:tc>
        <w:tc>
          <w:tcPr>
            <w:tcW w:type="dxa" w:w="665"/>
            <w:shd w:fill="1B2A4A"/>
          </w:tcPr>
          <w:p>
            <w:pPr>
              <w:jc w:val="center"/>
            </w:pPr>
            <w:r>
              <w:rPr>
                <w:b/>
                <w:color w:val="FFFFFF"/>
                <w:sz w:val="16"/>
              </w:rPr>
              <w:t>Site 2</w:t>
            </w:r>
          </w:p>
        </w:tc>
        <w:tc>
          <w:tcPr>
            <w:tcW w:type="dxa" w:w="665"/>
            <w:shd w:fill="1B2A4A"/>
          </w:tcPr>
          <w:p>
            <w:pPr>
              <w:jc w:val="center"/>
            </w:pPr>
            <w:r>
              <w:rPr>
                <w:b/>
                <w:color w:val="FFFFFF"/>
                <w:sz w:val="16"/>
              </w:rPr>
              <w:t>Ratio 2</w:t>
            </w:r>
          </w:p>
        </w:tc>
        <w:tc>
          <w:tcPr>
            <w:tcW w:type="dxa" w:w="665"/>
            <w:shd w:fill="1B2A4A"/>
          </w:tcPr>
          <w:p>
            <w:pPr>
              <w:jc w:val="center"/>
            </w:pPr>
            <w:r>
              <w:rPr>
                <w:b/>
                <w:color w:val="FFFFFF"/>
                <w:sz w:val="16"/>
              </w:rPr>
              <w:t>T (K)</w:t>
            </w:r>
          </w:p>
        </w:tc>
        <w:tc>
          <w:tcPr>
            <w:tcW w:type="dxa" w:w="665"/>
            <w:shd w:fill="1B2A4A"/>
          </w:tcPr>
          <w:p>
            <w:pPr>
              <w:jc w:val="center"/>
            </w:pPr>
            <w:r>
              <w:rPr>
                <w:b/>
                <w:color w:val="FFFFFF"/>
                <w:sz w:val="16"/>
              </w:rPr>
              <w:t>Seebeck (uV/K)</w:t>
            </w:r>
          </w:p>
        </w:tc>
        <w:tc>
          <w:tcPr>
            <w:tcW w:type="dxa" w:w="665"/>
            <w:shd w:fill="1B2A4A"/>
          </w:tcPr>
          <w:p>
            <w:pPr>
              <w:jc w:val="center"/>
            </w:pPr>
            <w:r>
              <w:rPr>
                <w:b/>
                <w:color w:val="FFFFFF"/>
                <w:sz w:val="16"/>
              </w:rPr>
              <w:t>Elec. cond. (S/cm)</w:t>
            </w:r>
          </w:p>
        </w:tc>
        <w:tc>
          <w:tcPr>
            <w:tcW w:type="dxa" w:w="665"/>
            <w:shd w:fill="1B2A4A"/>
          </w:tcPr>
          <w:p>
            <w:pPr>
              <w:jc w:val="center"/>
            </w:pPr>
            <w:r>
              <w:rPr>
                <w:b/>
                <w:color w:val="FFFFFF"/>
                <w:sz w:val="16"/>
              </w:rPr>
              <w:t>Therm. cond. (W/m.K)</w:t>
            </w:r>
          </w:p>
        </w:tc>
        <w:tc>
          <w:tcPr>
            <w:tcW w:type="dxa" w:w="665"/>
            <w:shd w:fill="1B2A4A"/>
          </w:tcPr>
          <w:p>
            <w:pPr>
              <w:jc w:val="center"/>
            </w:pPr>
            <w:r>
              <w:rPr>
                <w:b/>
                <w:color w:val="FFFFFF"/>
                <w:sz w:val="16"/>
              </w:rPr>
              <w:t>Power factor (uW/cm.K2)</w:t>
            </w:r>
          </w:p>
        </w:tc>
        <w:tc>
          <w:tcPr>
            <w:tcW w:type="dxa" w:w="665"/>
            <w:shd w:fill="1B2A4A"/>
          </w:tcPr>
          <w:p>
            <w:pPr>
              <w:jc w:val="center"/>
            </w:pPr>
            <w:r>
              <w:rPr>
                <w:b/>
                <w:color w:val="FFFFFF"/>
                <w:sz w:val="16"/>
              </w:rPr>
              <w:t>ZT</w:t>
            </w:r>
          </w:p>
        </w:tc>
      </w:tr>
      <w:tr>
        <w:tc>
          <w:tcPr>
            <w:tcW w:type="dxa" w:w="665"/>
          </w:tcPr>
          <w:p>
            <w:pPr>
              <w:jc w:val="center"/>
            </w:pPr>
            <w:r>
              <w:rPr>
                <w:sz w:val="16"/>
              </w:rPr>
              <w:t>Best single dopant</w:t>
            </w:r>
          </w:p>
        </w:tc>
        <w:tc>
          <w:tcPr>
            <w:tcW w:type="dxa" w:w="665"/>
          </w:tcPr>
          <w:p>
            <w:pPr>
              <w:jc w:val="center"/>
            </w:pPr>
            <w:r>
              <w:rPr>
                <w:sz w:val="16"/>
              </w:rPr>
              <w:t>Cd</w:t>
            </w:r>
          </w:p>
        </w:tc>
        <w:tc>
          <w:tcPr>
            <w:tcW w:type="dxa" w:w="665"/>
          </w:tcPr>
          <w:p>
            <w:pPr>
              <w:jc w:val="center"/>
            </w:pPr>
            <w:r>
              <w:rPr>
                <w:sz w:val="16"/>
              </w:rPr>
              <w:t>Sb</w:t>
            </w:r>
          </w:p>
        </w:tc>
        <w:tc>
          <w:tcPr>
            <w:tcW w:type="dxa" w:w="665"/>
          </w:tcPr>
          <w:p>
            <w:pPr>
              <w:jc w:val="center"/>
            </w:pPr>
            <w:r>
              <w:rPr>
                <w:sz w:val="16"/>
              </w:rPr>
              <w:t>0.08</w:t>
            </w:r>
          </w:p>
        </w:tc>
        <w:tc>
          <w:tcPr>
            <w:tcW w:type="dxa" w:w="665"/>
          </w:tcPr>
          <w:p>
            <w:pPr>
              <w:jc w:val="center"/>
            </w:pPr>
            <w:r>
              <w:rPr>
                <w:sz w:val="16"/>
              </w:rPr>
            </w:r>
          </w:p>
        </w:tc>
        <w:tc>
          <w:tcPr>
            <w:tcW w:type="dxa" w:w="665"/>
          </w:tcPr>
          <w:p>
            <w:pPr>
              <w:jc w:val="center"/>
            </w:pPr>
            <w:r>
              <w:rPr>
                <w:sz w:val="16"/>
              </w:rPr>
            </w:r>
          </w:p>
        </w:tc>
        <w:tc>
          <w:tcPr>
            <w:tcW w:type="dxa" w:w="665"/>
          </w:tcPr>
          <w:p>
            <w:pPr>
              <w:jc w:val="center"/>
            </w:pPr>
            <w:r>
              <w:rPr>
                <w:sz w:val="16"/>
              </w:rPr>
            </w:r>
          </w:p>
        </w:tc>
        <w:tc>
          <w:tcPr>
            <w:tcW w:type="dxa" w:w="665"/>
          </w:tcPr>
          <w:p>
            <w:pPr>
              <w:jc w:val="center"/>
            </w:pPr>
            <w:r>
              <w:rPr>
                <w:sz w:val="16"/>
              </w:rPr>
              <w:t>573.0</w:t>
            </w:r>
          </w:p>
        </w:tc>
        <w:tc>
          <w:tcPr>
            <w:tcW w:type="dxa" w:w="665"/>
          </w:tcPr>
          <w:p>
            <w:pPr>
              <w:jc w:val="center"/>
            </w:pPr>
            <w:r>
              <w:rPr>
                <w:sz w:val="16"/>
              </w:rPr>
              <w:t>313</w:t>
            </w:r>
          </w:p>
        </w:tc>
        <w:tc>
          <w:tcPr>
            <w:tcW w:type="dxa" w:w="665"/>
          </w:tcPr>
          <w:p>
            <w:pPr>
              <w:jc w:val="center"/>
            </w:pPr>
            <w:r>
              <w:rPr>
                <w:sz w:val="16"/>
              </w:rPr>
              <w:t>250</w:t>
            </w:r>
          </w:p>
        </w:tc>
        <w:tc>
          <w:tcPr>
            <w:tcW w:type="dxa" w:w="665"/>
          </w:tcPr>
          <w:p>
            <w:pPr>
              <w:jc w:val="center"/>
            </w:pPr>
            <w:r>
              <w:rPr>
                <w:sz w:val="16"/>
              </w:rPr>
              <w:t>0.434</w:t>
            </w:r>
          </w:p>
        </w:tc>
        <w:tc>
          <w:tcPr>
            <w:tcW w:type="dxa" w:w="665"/>
          </w:tcPr>
          <w:p>
            <w:pPr>
              <w:jc w:val="center"/>
            </w:pPr>
            <w:r>
              <w:rPr>
                <w:sz w:val="16"/>
              </w:rPr>
              <w:t>17.3</w:t>
            </w:r>
          </w:p>
        </w:tc>
        <w:tc>
          <w:tcPr>
            <w:tcW w:type="dxa" w:w="665"/>
          </w:tcPr>
          <w:p>
            <w:pPr>
              <w:jc w:val="center"/>
            </w:pPr>
            <w:r>
              <w:rPr>
                <w:sz w:val="16"/>
              </w:rPr>
              <w:t>2.67</w:t>
            </w:r>
          </w:p>
        </w:tc>
      </w:tr>
      <w:tr>
        <w:tc>
          <w:tcPr>
            <w:tcW w:type="dxa" w:w="665"/>
          </w:tcPr>
          <w:p>
            <w:pPr>
              <w:jc w:val="center"/>
            </w:pPr>
            <w:r>
              <w:rPr>
                <w:sz w:val="16"/>
              </w:rPr>
              <w:t>Best novel/unexplored dopant</w:t>
            </w:r>
          </w:p>
        </w:tc>
        <w:tc>
          <w:tcPr>
            <w:tcW w:type="dxa" w:w="665"/>
          </w:tcPr>
          <w:p>
            <w:pPr>
              <w:jc w:val="center"/>
            </w:pPr>
            <w:r>
              <w:rPr>
                <w:sz w:val="16"/>
              </w:rPr>
              <w:t>Be</w:t>
            </w:r>
          </w:p>
        </w:tc>
        <w:tc>
          <w:tcPr>
            <w:tcW w:type="dxa" w:w="665"/>
          </w:tcPr>
          <w:p>
            <w:pPr>
              <w:jc w:val="center"/>
            </w:pPr>
            <w:r>
              <w:rPr>
                <w:sz w:val="16"/>
              </w:rPr>
              <w:t>Te</w:t>
            </w:r>
          </w:p>
        </w:tc>
        <w:tc>
          <w:tcPr>
            <w:tcW w:type="dxa" w:w="665"/>
          </w:tcPr>
          <w:p>
            <w:pPr>
              <w:jc w:val="center"/>
            </w:pPr>
            <w:r>
              <w:rPr>
                <w:sz w:val="16"/>
              </w:rPr>
              <w:t>0.05</w:t>
            </w:r>
          </w:p>
        </w:tc>
        <w:tc>
          <w:tcPr>
            <w:tcW w:type="dxa" w:w="665"/>
          </w:tcPr>
          <w:p>
            <w:pPr>
              <w:jc w:val="center"/>
            </w:pPr>
            <w:r>
              <w:rPr>
                <w:sz w:val="16"/>
              </w:rPr>
            </w:r>
          </w:p>
        </w:tc>
        <w:tc>
          <w:tcPr>
            <w:tcW w:type="dxa" w:w="665"/>
          </w:tcPr>
          <w:p>
            <w:pPr>
              <w:jc w:val="center"/>
            </w:pPr>
            <w:r>
              <w:rPr>
                <w:sz w:val="16"/>
              </w:rPr>
            </w:r>
          </w:p>
        </w:tc>
        <w:tc>
          <w:tcPr>
            <w:tcW w:type="dxa" w:w="665"/>
          </w:tcPr>
          <w:p>
            <w:pPr>
              <w:jc w:val="center"/>
            </w:pPr>
            <w:r>
              <w:rPr>
                <w:sz w:val="16"/>
              </w:rPr>
            </w:r>
          </w:p>
        </w:tc>
        <w:tc>
          <w:tcPr>
            <w:tcW w:type="dxa" w:w="665"/>
          </w:tcPr>
          <w:p>
            <w:pPr>
              <w:jc w:val="center"/>
            </w:pPr>
            <w:r>
              <w:rPr>
                <w:sz w:val="16"/>
              </w:rPr>
              <w:t>773.0</w:t>
            </w:r>
          </w:p>
        </w:tc>
        <w:tc>
          <w:tcPr>
            <w:tcW w:type="dxa" w:w="665"/>
          </w:tcPr>
          <w:p>
            <w:pPr>
              <w:jc w:val="center"/>
            </w:pPr>
            <w:r>
              <w:rPr>
                <w:sz w:val="16"/>
              </w:rPr>
              <w:t>253</w:t>
            </w:r>
          </w:p>
        </w:tc>
        <w:tc>
          <w:tcPr>
            <w:tcW w:type="dxa" w:w="665"/>
          </w:tcPr>
          <w:p>
            <w:pPr>
              <w:jc w:val="center"/>
            </w:pPr>
            <w:r>
              <w:rPr>
                <w:sz w:val="16"/>
              </w:rPr>
              <w:t>132</w:t>
            </w:r>
          </w:p>
        </w:tc>
        <w:tc>
          <w:tcPr>
            <w:tcW w:type="dxa" w:w="665"/>
          </w:tcPr>
          <w:p>
            <w:pPr>
              <w:jc w:val="center"/>
            </w:pPr>
            <w:r>
              <w:rPr>
                <w:sz w:val="16"/>
              </w:rPr>
              <w:t>0.538</w:t>
            </w:r>
          </w:p>
        </w:tc>
        <w:tc>
          <w:tcPr>
            <w:tcW w:type="dxa" w:w="665"/>
          </w:tcPr>
          <w:p>
            <w:pPr>
              <w:jc w:val="center"/>
            </w:pPr>
            <w:r>
              <w:rPr>
                <w:sz w:val="16"/>
              </w:rPr>
              <w:t>12.6</w:t>
            </w:r>
          </w:p>
        </w:tc>
        <w:tc>
          <w:tcPr>
            <w:tcW w:type="dxa" w:w="665"/>
          </w:tcPr>
          <w:p>
            <w:pPr>
              <w:jc w:val="center"/>
            </w:pPr>
            <w:r>
              <w:rPr>
                <w:sz w:val="16"/>
              </w:rPr>
              <w:t>2.28</w:t>
            </w:r>
          </w:p>
        </w:tc>
      </w:tr>
      <w:tr>
        <w:tc>
          <w:tcPr>
            <w:tcW w:type="dxa" w:w="665"/>
          </w:tcPr>
          <w:p>
            <w:pPr>
              <w:jc w:val="center"/>
            </w:pPr>
            <w:r>
              <w:rPr>
                <w:sz w:val="16"/>
              </w:rPr>
              <w:t>Best co-doped pair</w:t>
            </w:r>
          </w:p>
        </w:tc>
        <w:tc>
          <w:tcPr>
            <w:tcW w:type="dxa" w:w="665"/>
          </w:tcPr>
          <w:p>
            <w:pPr>
              <w:jc w:val="center"/>
            </w:pPr>
            <w:r>
              <w:rPr>
                <w:sz w:val="16"/>
              </w:rPr>
              <w:t>Cd</w:t>
            </w:r>
          </w:p>
        </w:tc>
        <w:tc>
          <w:tcPr>
            <w:tcW w:type="dxa" w:w="665"/>
          </w:tcPr>
          <w:p>
            <w:pPr>
              <w:jc w:val="center"/>
            </w:pPr>
            <w:r>
              <w:rPr>
                <w:sz w:val="16"/>
              </w:rPr>
              <w:t>Sb</w:t>
            </w:r>
          </w:p>
        </w:tc>
        <w:tc>
          <w:tcPr>
            <w:tcW w:type="dxa" w:w="665"/>
          </w:tcPr>
          <w:p>
            <w:pPr>
              <w:jc w:val="center"/>
            </w:pPr>
            <w:r>
              <w:rPr>
                <w:sz w:val="16"/>
              </w:rPr>
              <w:t>0.04</w:t>
            </w:r>
          </w:p>
        </w:tc>
        <w:tc>
          <w:tcPr>
            <w:tcW w:type="dxa" w:w="665"/>
          </w:tcPr>
          <w:p>
            <w:pPr>
              <w:jc w:val="center"/>
            </w:pPr>
            <w:r>
              <w:rPr>
                <w:sz w:val="16"/>
              </w:rPr>
              <w:t>Hg</w:t>
            </w:r>
          </w:p>
        </w:tc>
        <w:tc>
          <w:tcPr>
            <w:tcW w:type="dxa" w:w="665"/>
          </w:tcPr>
          <w:p>
            <w:pPr>
              <w:jc w:val="center"/>
            </w:pPr>
            <w:r>
              <w:rPr>
                <w:sz w:val="16"/>
              </w:rPr>
              <w:t>Sb</w:t>
            </w:r>
          </w:p>
        </w:tc>
        <w:tc>
          <w:tcPr>
            <w:tcW w:type="dxa" w:w="665"/>
          </w:tcPr>
          <w:p>
            <w:pPr>
              <w:jc w:val="center"/>
            </w:pPr>
            <w:r>
              <w:rPr>
                <w:sz w:val="16"/>
              </w:rPr>
              <w:t>0.02</w:t>
            </w:r>
          </w:p>
        </w:tc>
        <w:tc>
          <w:tcPr>
            <w:tcW w:type="dxa" w:w="665"/>
          </w:tcPr>
          <w:p>
            <w:pPr>
              <w:jc w:val="center"/>
            </w:pPr>
            <w:r>
              <w:rPr>
                <w:sz w:val="16"/>
              </w:rPr>
              <w:t>773.0</w:t>
            </w:r>
          </w:p>
        </w:tc>
        <w:tc>
          <w:tcPr>
            <w:tcW w:type="dxa" w:w="665"/>
          </w:tcPr>
          <w:p>
            <w:pPr>
              <w:jc w:val="center"/>
            </w:pPr>
            <w:r>
              <w:rPr>
                <w:sz w:val="16"/>
              </w:rPr>
              <w:t>310</w:t>
            </w:r>
          </w:p>
        </w:tc>
        <w:tc>
          <w:tcPr>
            <w:tcW w:type="dxa" w:w="665"/>
          </w:tcPr>
          <w:p>
            <w:pPr>
              <w:jc w:val="center"/>
            </w:pPr>
            <w:r>
              <w:rPr>
                <w:sz w:val="16"/>
              </w:rPr>
              <w:t>240</w:t>
            </w:r>
          </w:p>
        </w:tc>
        <w:tc>
          <w:tcPr>
            <w:tcW w:type="dxa" w:w="665"/>
          </w:tcPr>
          <w:p>
            <w:pPr>
              <w:jc w:val="center"/>
            </w:pPr>
            <w:r>
              <w:rPr>
                <w:sz w:val="16"/>
              </w:rPr>
              <w:t>0.488</w:t>
            </w:r>
          </w:p>
        </w:tc>
        <w:tc>
          <w:tcPr>
            <w:tcW w:type="dxa" w:w="665"/>
          </w:tcPr>
          <w:p>
            <w:pPr>
              <w:jc w:val="center"/>
            </w:pPr>
            <w:r>
              <w:rPr>
                <w:sz w:val="16"/>
              </w:rPr>
              <w:t>18.4</w:t>
            </w:r>
          </w:p>
        </w:tc>
        <w:tc>
          <w:tcPr>
            <w:tcW w:type="dxa" w:w="665"/>
          </w:tcPr>
          <w:p>
            <w:pPr>
              <w:jc w:val="center"/>
            </w:pPr>
            <w:r>
              <w:rPr>
                <w:sz w:val="16"/>
              </w:rPr>
              <w:t>2.6</w:t>
            </w:r>
          </w:p>
        </w:tc>
      </w:tr>
    </w:tbl>
    <w:p>
      <w:pPr>
        <w:jc w:val="center"/>
      </w:pPr>
      <w:r>
        <w:rPr>
          <w:i/>
          <w:sz w:val="20"/>
        </w:rPr>
        <w:t>Table 10. Full predicted property set for the top inverse-design candidates. The complete top-20 list is provided in outputs/predictions/optimum_predicted_TE_properties.csv.</w:t>
      </w:r>
    </w:p>
    <w:p>
      <w:pPr>
        <w:pStyle w:val="Heading1"/>
      </w:pPr>
      <w:r>
        <w:rPr>
          <w:color w:val="1B2A4A"/>
        </w:rPr>
        <w:t>8. Limitations</w:t>
      </w:r>
    </w:p>
    <w:p>
      <w:pPr>
        <w:pStyle w:val="ListBullet"/>
      </w:pPr>
      <w:r>
        <w:t>Dataset size is modest (237-625 rows per property after de-duplication and formula-parse filtering) for a ~10-12-feature regression; test-set R2 values (0.48-0.89) should be read as indicative, not as production-grade accuracy, and are consistent with comparable literature studies on similarly-sized extracted datasets. Larger, expert-curated benchmarks in this space (thousands of samples) report R2 in the 0.95+ range with the same descriptor families.</w:t>
      </w:r>
    </w:p>
    <w:p>
      <w:pPr>
        <w:pStyle w:val="ListBullet"/>
      </w:pPr>
      <w:r>
        <w:t>Figure-sourced data points (source_type = figure) are visual estimates from plotted curves, not exact text/table values, and carry additional uncertainty.</w:t>
      </w:r>
    </w:p>
    <w:p>
      <w:pPr>
        <w:pStyle w:val="ListBullet"/>
      </w:pPr>
      <w:r>
        <w:t>Several descriptors from the project's reference descriptor list require crystal-structure, DFT, or Materials Project lookups not available per-sample in this corpus (bulk modulus, lattice parameter, mean bond length, number of atomic sites, dopant coordination number) and were not included.</w:t>
      </w:r>
    </w:p>
    <w:p>
      <w:pPr>
        <w:pStyle w:val="ListBullet"/>
      </w:pPr>
      <w:r>
        <w:t>Properties are modeled independently; predictions across properties for the same candidate are not enforced to satisfy PF = S2*sigma or other thermodynamic/transport identities exactly.</w:t>
      </w:r>
    </w:p>
    <w:p>
      <w:pPr>
        <w:pStyle w:val="ListBullet"/>
      </w:pPr>
      <w:r>
        <w:t>Inverse-design screening extrapolates to dopant elements and ratios outside (or sparsely inside) the training distribution; such predictions are hypotheses to prioritize for experimental validation, not guaranteed outcomes. Practical considerations (e.g. toxicity of Be, Ba compounds; synthesizability; solubility limits) were not modeled and must be applied before pursuing any candidate experimentally.</w:t>
      </w:r>
    </w:p>
    <w:p>
      <w:pPr>
        <w:pStyle w:val="Heading1"/>
      </w:pPr>
      <w:r>
        <w:rPr>
          <w:color w:val="1B2A4A"/>
        </w:rPr>
        <w:t>References</w:t>
      </w:r>
    </w:p>
    <w:p>
      <w:pPr>
        <w:pStyle w:val="ListNumber"/>
      </w:pPr>
      <w:r>
        <w:t>Roychowdhury, S. et al. Enhanced atomic ordering leads to high thermoelectric performance in AgSbTe2. Science 371, 722-727 (2021). DOI: 10.1126/science.abb3517</w:t>
      </w:r>
    </w:p>
    <w:p>
      <w:pPr>
        <w:pStyle w:val="ListNumber"/>
      </w:pPr>
      <w:r>
        <w:t>Hg-doping induced reduction in structural disorder enhances the thermoelectric performance in AgSbTe2. J. Am. Chem. Soc. (2023). DOI: 10.1021/jacs.3c09643</w:t>
      </w:r>
    </w:p>
    <w:p>
      <w:pPr>
        <w:pStyle w:val="ListNumber"/>
      </w:pPr>
      <w:r>
        <w:t>Taneja, V. et al. High thermoelectric performance in phonon-glass electron-crystal like AgSbTe2. Adv. Mater. 35, 2307058 (2023).</w:t>
      </w:r>
    </w:p>
    <w:p>
      <w:pPr>
        <w:pStyle w:val="ListNumber"/>
      </w:pPr>
      <w:r>
        <w:t>Sun, et al. Rationally design thermoelectric materials based on ingenious machine learning methods. Adv. Electron. Mater. (2025). DOI: 10.1002/aelm.202500210</w:t>
      </w:r>
    </w:p>
    <w:p>
      <w:pPr>
        <w:pStyle w:val="ListNumber"/>
      </w:pPr>
      <w:r>
        <w:t>Antunes, L. M. et al. Predicting thermoelectric transport properties from composition. Mach. Learn.: Sci. Technol. 4, 015037 (2023).</w:t>
      </w:r>
    </w:p>
    <w:p>
      <w:pPr>
        <w:pStyle w:val="ListNumber"/>
      </w:pPr>
      <w:r>
        <w:t>Ward, L. et al. A general-purpose machine learning framework for predicting properties of inorganic materials (matminer / Magpie descriptors). npj Comput. Mater. 2, 16028 (2016).</w:t>
      </w:r>
    </w:p>
    <w:p>
      <w:pPr>
        <w:pStyle w:val="ListNumber"/>
      </w:pPr>
      <w:r>
        <w:t>Lundberg, S. M. &amp; Lee, S.-I. A unified approach to interpreting model predictions (SHAP). NeurIPS (2017).</w:t>
      </w:r>
    </w:p>
    <w:p>
      <w:pPr>
        <w:pStyle w:val="ListNumber"/>
      </w:pPr>
      <w:r>
        <w:t>Materialyze.AI Lab internal reference: Thermoelectric_ML_Descriptors.docx (34-descriptor list used to guide feature engineering in this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