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VYROTHON 2026 — Event &amp; budget overview</w:t>
      </w:r>
    </w:p>
    <w:p>
      <w:r>
        <w:t>Concise internal note for alignment on what the event is and how the USD 5,000 budget is split (prizes vs. operations).</w:t>
      </w:r>
    </w:p>
    <w:p>
      <w:pPr>
        <w:pStyle w:val="Heading1"/>
      </w:pPr>
      <w:r>
        <w:t>1. Event highlights</w:t>
      </w:r>
    </w:p>
    <w:p>
      <w:pPr>
        <w:pStyle w:val="ListBullet"/>
      </w:pPr>
      <w:r>
        <w:t>Full-day, in-person hackathon — Vyro Office, NSTP NUST — Saturday, 18 April 2026.</w:t>
      </w:r>
    </w:p>
    <w:p>
      <w:pPr>
        <w:pStyle w:val="ListBullet"/>
      </w:pPr>
      <w:r>
        <w:t>Stage 1: Individual domain challenges (Frontend, Backend, Product Design / UI·UX, AI/ML); top performers advance.</w:t>
      </w:r>
    </w:p>
    <w:p>
      <w:pPr>
        <w:pStyle w:val="ListBullet"/>
      </w:pPr>
      <w:r>
        <w:t>Stage 2: Cross-functional teams receive a real-world brief and ship a functional MVP.</w:t>
      </w:r>
    </w:p>
    <w:p>
      <w:pPr>
        <w:pStyle w:val="ListBullet"/>
      </w:pPr>
      <w:r>
        <w:t>Stage 3: Final presentations (6 minutes) to the judging panel; awards and closing.</w:t>
      </w:r>
    </w:p>
    <w:p>
      <w:pPr>
        <w:pStyle w:val="ListBullet"/>
      </w:pPr>
      <w:r>
        <w:t>Organizer: Vyro AI. Registrations via Google Form; applications reviewed; selected participants contacted by email.</w:t>
      </w:r>
    </w:p>
    <w:p>
      <w:pPr>
        <w:pStyle w:val="Heading1"/>
      </w:pPr>
      <w:r>
        <w:t>2. Budget (USD 5,000 total)</w:t>
      </w:r>
    </w:p>
    <w:p>
      <w:pPr>
        <w:pStyle w:val="Heading2"/>
      </w:pPr>
      <w:r>
        <w:t>2.1 Prize pool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Placement</w:t>
            </w:r>
          </w:p>
        </w:tc>
        <w:tc>
          <w:tcPr>
            <w:tcW w:type="dxa" w:w="4320"/>
          </w:tcPr>
          <w:p>
            <w:r>
              <w:t>Amount (USD)</w:t>
            </w:r>
          </w:p>
        </w:tc>
      </w:tr>
      <w:tr>
        <w:tc>
          <w:tcPr>
            <w:tcW w:type="dxa" w:w="4320"/>
          </w:tcPr>
          <w:p>
            <w:r>
              <w:t>Winner</w:t>
            </w:r>
          </w:p>
        </w:tc>
        <w:tc>
          <w:tcPr>
            <w:tcW w:type="dxa" w:w="4320"/>
          </w:tcPr>
          <w:p>
            <w:r>
              <w:t>$1,500</w:t>
            </w:r>
          </w:p>
        </w:tc>
      </w:tr>
      <w:tr>
        <w:tc>
          <w:tcPr>
            <w:tcW w:type="dxa" w:w="4320"/>
          </w:tcPr>
          <w:p>
            <w:r>
              <w:t>1st runner-up</w:t>
            </w:r>
          </w:p>
        </w:tc>
        <w:tc>
          <w:tcPr>
            <w:tcW w:type="dxa" w:w="4320"/>
          </w:tcPr>
          <w:p>
            <w:r>
              <w:t>$1,000</w:t>
            </w:r>
          </w:p>
        </w:tc>
      </w:tr>
      <w:tr>
        <w:tc>
          <w:tcPr>
            <w:tcW w:type="dxa" w:w="4320"/>
          </w:tcPr>
          <w:p>
            <w:r>
              <w:t>2nd runner-up</w:t>
            </w:r>
          </w:p>
        </w:tc>
        <w:tc>
          <w:tcPr>
            <w:tcW w:type="dxa" w:w="4320"/>
          </w:tcPr>
          <w:p>
            <w:r>
              <w:t>$700</w:t>
            </w:r>
          </w:p>
        </w:tc>
      </w:tr>
    </w:tbl>
    <w:p>
      <w:r>
        <w:t>Prize subtotal: $3,200.</w:t>
      </w:r>
    </w:p>
    <w:p>
      <w:pPr>
        <w:pStyle w:val="Heading2"/>
      </w:pPr>
      <w:r>
        <w:t>2.2 Branding, logistics &amp; partner marketing</w:t>
      </w:r>
    </w:p>
    <w:p>
      <w:r>
        <w:t>Remaining balance: $1,800 — reserved for event-day logistics, branding/production, and marketing support for onboard community partners. Per-partner support levels are tentative and must fit within this pool; receipts will be shared as received.</w:t>
      </w:r>
    </w:p>
    <w:p>
      <w:pPr>
        <w:pStyle w:val="Heading3"/>
      </w:pPr>
      <w:r>
        <w:t>Community partners (names)</w:t>
      </w:r>
    </w:p>
    <w:p>
      <w:pPr>
        <w:pStyle w:val="ListBullet"/>
      </w:pPr>
      <w:r>
        <w:t>GDGoC — GIKI (Ghulam Ishaq Khan Institute)</w:t>
      </w:r>
    </w:p>
    <w:p>
      <w:pPr>
        <w:pStyle w:val="ListBullet"/>
      </w:pPr>
      <w:r>
        <w:t>GDGoC — NUST (National University of Sciences &amp; Technology)</w:t>
      </w:r>
    </w:p>
    <w:p>
      <w:pPr>
        <w:pStyle w:val="ListBullet"/>
      </w:pPr>
      <w:r>
        <w:t>GDGoC — COMSATS (COMSATS University Islamabad)</w:t>
      </w:r>
    </w:p>
    <w:p>
      <w:pPr>
        <w:pStyle w:val="ListBullet"/>
      </w:pPr>
      <w:r>
        <w:t>GDGoC — AIR (Air University)</w:t>
      </w:r>
    </w:p>
    <w:p>
      <w:pPr>
        <w:pStyle w:val="ListBullet"/>
      </w:pPr>
      <w:r>
        <w:t>MLSA — SZABIST (Shaheed Zulfikar Ali Bhutto Institute of Science and Technology)</w:t>
      </w:r>
    </w:p>
    <w:p>
      <w:pPr>
        <w:pStyle w:val="Heading2"/>
      </w:pPr>
      <w:r>
        <w:t>2.3 Branding requirements</w:t>
      </w:r>
    </w:p>
    <w:p>
      <w:r>
        <w:t>Branding scope and deliverables are owned and detailed by Arish (lead). Update this section or attach an annex once the final checklist is locked.</w:t>
      </w:r>
    </w:p>
    <w:p>
      <w:pPr>
        <w:pStyle w:val="ListBullet"/>
      </w:pPr>
      <w:r>
        <w:t>Event identity, templates, and approved assets for digital + print.</w:t>
      </w:r>
    </w:p>
    <w:p>
      <w:pPr>
        <w:pStyle w:val="ListBullet"/>
      </w:pPr>
      <w:r>
        <w:t>On-site / day-of branding as agreed.</w:t>
      </w:r>
    </w:p>
    <w:p>
      <w:pPr>
        <w:pStyle w:val="ListBullet"/>
      </w:pPr>
      <w:r>
        <w:t>Partner co-brand assets where applicable.</w:t>
      </w:r>
    </w:p>
    <w:p>
      <w:pPr>
        <w:pStyle w:val="Heading1"/>
      </w:pPr>
      <w:r>
        <w:t>3. Roles</w:t>
      </w:r>
    </w:p>
    <w:p>
      <w:r>
        <w:t>Overall event execution: Muhammad Haris — Community Growth Associate, under direction of Abdullah Rafique (CTO).</w:t>
      </w:r>
    </w:p>
    <w:p>
      <w:r>
        <w:t>Core advisor: Maha Manzoor.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