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7F129" w14:textId="77777777" w:rsidR="00674FCF" w:rsidRDefault="00000000">
      <w:pPr>
        <w:spacing w:after="60"/>
        <w:jc w:val="center"/>
        <w:rPr>
          <w:rFonts w:hint="eastAsia"/>
        </w:rPr>
      </w:pPr>
      <w:r>
        <w:rPr>
          <w:rFonts w:ascii="黑体" w:eastAsia="黑体" w:hAnsi="黑体" w:cs="黑体"/>
          <w:b/>
          <w:bCs/>
          <w:color w:val="1F3864"/>
          <w:sz w:val="38"/>
          <w:szCs w:val="38"/>
        </w:rPr>
        <w:t>运动分析（上冲头机构）</w:t>
      </w:r>
    </w:p>
    <w:p w14:paraId="454B6BE4" w14:textId="77777777" w:rsidR="00674FCF" w:rsidRDefault="00000000">
      <w:pPr>
        <w:spacing w:after="200"/>
        <w:jc w:val="center"/>
        <w:rPr>
          <w:rFonts w:hint="eastAsia"/>
        </w:rPr>
      </w:pPr>
      <w:r>
        <w:rPr>
          <w:color w:val="555555"/>
          <w:sz w:val="22"/>
          <w:szCs w:val="22"/>
        </w:rPr>
        <w:t>解析法 · 并与 SolidWorks Motion 仿真对照验证</w:t>
      </w:r>
    </w:p>
    <w:p w14:paraId="7976D3EE" w14:textId="77777777" w:rsidR="00674FCF" w:rsidRDefault="00000000">
      <w:pPr>
        <w:pStyle w:val="1"/>
        <w:spacing w:before="240" w:after="130"/>
        <w:rPr>
          <w:rFonts w:hint="eastAsia"/>
        </w:rPr>
      </w:pPr>
      <w:r>
        <w:rPr>
          <w:color w:val="1F3864"/>
        </w:rPr>
        <w:t>一、分析对象与机构运动简图</w:t>
      </w:r>
    </w:p>
    <w:p w14:paraId="5EAD43F3" w14:textId="77777777" w:rsidR="00674FCF" w:rsidRDefault="00000000">
      <w:pPr>
        <w:spacing w:after="90" w:line="300" w:lineRule="auto"/>
        <w:rPr>
          <w:rFonts w:hint="eastAsia"/>
        </w:rPr>
      </w:pPr>
      <w:r>
        <w:t>选取上冲头机构作为运动分析对象。它是整机完成压片的核心执行机构，含一个凸轮高副和多个转动/移动低副，机构层次最丰富、最具代表性。该机构为：凸轮（回转中心 O1，即主轴）经滚子驱动下摆杆（支点 O2），下摆杆经长连杆 L1 带动上摆杆（支点 O3，直杆杠杆，短臂 R3、长臂 R3′ 反向共线），上摆杆经小连杆 L2 下挂冲头（销 E，沿型腔轴线 X=0 竖直导向）。机构运动简图见图1。</w:t>
      </w:r>
    </w:p>
    <w:p w14:paraId="3814B019" w14:textId="77777777" w:rsidR="00674FCF" w:rsidRDefault="00000000">
      <w:pPr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34CEB2" wp14:editId="4EEA584E">
            <wp:extent cx="2857500" cy="3790950"/>
            <wp:effectExtent l="0" t="0" r="0" b="0"/>
            <wp:docPr id="1" name="图1  上冲头机构运动简图" descr="图1  上冲头机构运动简图" title="图1  上冲头机构运动简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7B5D" w14:textId="77777777" w:rsidR="00674FCF" w:rsidRDefault="00000000">
      <w:pPr>
        <w:spacing w:after="150"/>
        <w:jc w:val="center"/>
        <w:rPr>
          <w:rFonts w:hint="eastAsia"/>
        </w:rPr>
      </w:pPr>
      <w:r>
        <w:rPr>
          <w:color w:val="555555"/>
          <w:sz w:val="18"/>
          <w:szCs w:val="18"/>
        </w:rPr>
        <w:t>图1  上冲头机构运动简图</w:t>
      </w:r>
    </w:p>
    <w:p w14:paraId="02ED4ED1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已知量：</w:t>
      </w:r>
      <w:r>
        <w:t>各杆长与支点坐标（见 §二 参数表）、凸轮赋予下摆杆的摆线运动规律、主轴转速 n=25 r/min。求：冲头尖端的位移 s、速度 v、加速度 a 随主轴转角 φ（时间 t）的变化。</w:t>
      </w:r>
    </w:p>
    <w:p w14:paraId="64F56BF5" w14:textId="77777777" w:rsidR="00674FCF" w:rsidRDefault="00000000">
      <w:pPr>
        <w:pStyle w:val="1"/>
        <w:spacing w:before="240" w:after="130"/>
        <w:rPr>
          <w:rFonts w:hint="eastAsia"/>
        </w:rPr>
      </w:pPr>
      <w:r>
        <w:rPr>
          <w:color w:val="1F3864"/>
        </w:rPr>
        <w:t>二、解析法推导</w:t>
      </w:r>
    </w:p>
    <w:p w14:paraId="363B9383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坐标系：</w:t>
      </w:r>
      <w:r>
        <w:t>以凸轮回转中心 O1 为原点，X 水平、Y 竖直。主轴匀速转动，角速度 ω=2πn/60=2.618 rad/s，主轴转角 φ=</w:t>
      </w:r>
      <w:proofErr w:type="spellStart"/>
      <w:r>
        <w:t>ωt</w:t>
      </w:r>
      <w:proofErr w:type="spellEnd"/>
      <w:r>
        <w:t xml:space="preserve">。冲头沿 X=0 竖直滑动，故其位移即销 E 的 Y 坐标减冲头长 </w:t>
      </w:r>
      <w:proofErr w:type="spellStart"/>
      <w:r>
        <w:t>Lp</w:t>
      </w:r>
      <w:proofErr w:type="spellEnd"/>
      <w:r>
        <w:t>。</w:t>
      </w:r>
    </w:p>
    <w:p w14:paraId="2696DC96" w14:textId="77777777" w:rsidR="00674FCF" w:rsidRDefault="00000000">
      <w:pPr>
        <w:pStyle w:val="2"/>
        <w:spacing w:before="160" w:after="90"/>
        <w:rPr>
          <w:rFonts w:hint="eastAsia"/>
        </w:rPr>
      </w:pPr>
      <w:r>
        <w:rPr>
          <w:color w:val="2E5496"/>
        </w:rPr>
        <w:t>2.1 输入：凸轮→下摆杆摆角 ψ(φ)</w:t>
      </w:r>
    </w:p>
    <w:p w14:paraId="049931B9" w14:textId="77777777" w:rsidR="00674FCF" w:rsidRDefault="00000000">
      <w:pPr>
        <w:spacing w:after="90" w:line="300" w:lineRule="auto"/>
        <w:rPr>
          <w:rFonts w:hint="eastAsia"/>
        </w:rPr>
      </w:pPr>
      <w:r>
        <w:t>凸轮使下摆杆绕 O2 作摆线摆动：ψ(φ)=</w:t>
      </w:r>
      <w:proofErr w:type="spellStart"/>
      <w:r>
        <w:t>ψmax·f</w:t>
      </w:r>
      <w:proofErr w:type="spellEnd"/>
      <w:r>
        <w:t>(φ)。f(φ) 为摆线位移系数，分段为：0°~120° 近休（f=0）、120°~200° 推程（f：0→1，摆线）、200°~240° 远休（f=1）、240°~300° 回程（f：1→0，摆线）、300°~360° 近休。摆线规律 f=τ−sin(2πτ)/(2π)，</w:t>
      </w:r>
      <w:r>
        <w:lastRenderedPageBreak/>
        <w:t>τ 为该段内归一化转角。</w:t>
      </w:r>
    </w:p>
    <w:p w14:paraId="041547C6" w14:textId="77777777" w:rsidR="00674FCF" w:rsidRDefault="00000000">
      <w:pPr>
        <w:pStyle w:val="2"/>
        <w:spacing w:before="160" w:after="90"/>
        <w:rPr>
          <w:rFonts w:hint="eastAsia"/>
        </w:rPr>
      </w:pPr>
      <w:r>
        <w:rPr>
          <w:color w:val="2E5496"/>
        </w:rPr>
        <w:t>2.2 下摆杆连杆臂端 B</w:t>
      </w:r>
    </w:p>
    <w:p w14:paraId="3F6F27EF" w14:textId="77777777" w:rsidR="00674FCF" w:rsidRDefault="00000000">
      <w:pPr>
        <w:spacing w:after="90" w:line="300" w:lineRule="auto"/>
        <w:rPr>
          <w:rFonts w:hint="eastAsia"/>
        </w:rPr>
      </w:pPr>
      <w:r>
        <w:t>B = O2 + LB·( cos(λ0+ψ), sin(λ0+ψ) )，其中 λ0 为装填位连杆臂方位角。</w:t>
      </w:r>
    </w:p>
    <w:p w14:paraId="265BCDB9" w14:textId="77777777" w:rsidR="00674FCF" w:rsidRDefault="00000000">
      <w:pPr>
        <w:pStyle w:val="2"/>
        <w:spacing w:before="160" w:after="90"/>
        <w:rPr>
          <w:rFonts w:hint="eastAsia"/>
        </w:rPr>
      </w:pPr>
      <w:r>
        <w:rPr>
          <w:color w:val="2E5496"/>
        </w:rPr>
        <w:t>2.3 闭环①（长连杆 L1）→ 上摆杆转角</w:t>
      </w:r>
    </w:p>
    <w:p w14:paraId="2AEFFA24" w14:textId="77777777" w:rsidR="00674FCF" w:rsidRDefault="00000000">
      <w:pPr>
        <w:spacing w:after="90" w:line="300" w:lineRule="auto"/>
        <w:rPr>
          <w:rFonts w:hint="eastAsia"/>
        </w:rPr>
      </w:pPr>
      <w:r>
        <w:t xml:space="preserve">上摆杆短臂端 D 满足两条件：在以 O3 为心、R3 为半径的圆上，且 |B−D|=L1。即两圆 (O3,R3) 与 (B,L1) 的交点。令 d=|B−O3|，a=(R3²−L1²+d²)/(2d)，h=√(R3²−a²)，则 D = O3 + a·(B−O3)/d ± </w:t>
      </w:r>
      <w:proofErr w:type="spellStart"/>
      <w:r>
        <w:t>h·n</w:t>
      </w:r>
      <w:proofErr w:type="spellEnd"/>
      <w:r>
        <w:t>̂（n̂ 为 B−O3 的单位法向，按机构装配位形选取符合连续性的一根）。上摆杆转角 θ3 = atan2(D−O3)。</w:t>
      </w:r>
    </w:p>
    <w:p w14:paraId="535BF8F0" w14:textId="77777777" w:rsidR="00674FCF" w:rsidRDefault="00000000">
      <w:pPr>
        <w:pStyle w:val="2"/>
        <w:spacing w:before="160" w:after="90"/>
        <w:rPr>
          <w:rFonts w:hint="eastAsia"/>
        </w:rPr>
      </w:pPr>
      <w:r>
        <w:rPr>
          <w:color w:val="2E5496"/>
        </w:rPr>
        <w:t>2.4 上摆杆长臂端 C 与闭环②（小连杆 L2）</w:t>
      </w:r>
    </w:p>
    <w:p w14:paraId="0A6A026E" w14:textId="77777777" w:rsidR="00674FCF" w:rsidRDefault="00000000">
      <w:pPr>
        <w:spacing w:after="90" w:line="300" w:lineRule="auto"/>
        <w:rPr>
          <w:rFonts w:hint="eastAsia"/>
        </w:rPr>
      </w:pPr>
      <w:r>
        <w:t xml:space="preserve">长臂与短臂反向共线：C = O3 − R3′·( cosθ3, sinθ3 )。冲头销 E 在 X=0 上，且 |C−E|=L2，解得 Ey = Cy − √(L2²−Cx²)（取下交点）。冲头尖端位移 s = Ey − </w:t>
      </w:r>
      <w:proofErr w:type="spellStart"/>
      <w:r>
        <w:t>Lp</w:t>
      </w:r>
      <w:proofErr w:type="spellEnd"/>
      <w:r>
        <w:t>。</w:t>
      </w:r>
    </w:p>
    <w:p w14:paraId="1FEBF760" w14:textId="77777777" w:rsidR="00674FCF" w:rsidRDefault="00000000">
      <w:pPr>
        <w:pStyle w:val="2"/>
        <w:spacing w:before="160" w:after="90"/>
        <w:rPr>
          <w:rFonts w:hint="eastAsia"/>
        </w:rPr>
      </w:pPr>
      <w:r>
        <w:rPr>
          <w:color w:val="2E5496"/>
        </w:rPr>
        <w:t>2.5 速度与加速度</w:t>
      </w:r>
    </w:p>
    <w:p w14:paraId="3A7DE74E" w14:textId="77777777" w:rsidR="00674FCF" w:rsidRDefault="00000000">
      <w:pPr>
        <w:spacing w:after="90" w:line="300" w:lineRule="auto"/>
        <w:rPr>
          <w:rFonts w:hint="eastAsia"/>
        </w:rPr>
      </w:pPr>
      <w:r>
        <w:t>由 φ=</w:t>
      </w:r>
      <w:proofErr w:type="spellStart"/>
      <w:r>
        <w:t>ωt</w:t>
      </w:r>
      <w:proofErr w:type="spellEnd"/>
      <w:r>
        <w:t>，对时间求导得 v=ds/dt、a=dv/dt。因位置解中含两次圆–圆交点反解，其闭式导数十分繁琐，故按数值法求导（中心差分），与解析位置解联立逐点计算，已编 MATLAB 程序实现（见附录）。</w:t>
      </w:r>
    </w:p>
    <w:p w14:paraId="0B1F757A" w14:textId="77777777" w:rsidR="00674FCF" w:rsidRDefault="00000000">
      <w:pPr>
        <w:pStyle w:val="2"/>
        <w:spacing w:before="160" w:after="90"/>
        <w:rPr>
          <w:rFonts w:hint="eastAsia"/>
        </w:rPr>
      </w:pPr>
      <w:r>
        <w:rPr>
          <w:color w:val="2E5496"/>
        </w:rPr>
        <w:t>2.6 参数表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2526"/>
        <w:gridCol w:w="2500"/>
      </w:tblGrid>
      <w:tr w:rsidR="00674FCF" w14:paraId="76B787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0EA9080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参数</w:t>
            </w:r>
          </w:p>
        </w:tc>
        <w:tc>
          <w:tcPr>
            <w:tcW w:w="1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1B66DC5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数值</w:t>
            </w:r>
          </w:p>
        </w:tc>
        <w:tc>
          <w:tcPr>
            <w:tcW w:w="25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E9DEE4A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参数</w:t>
            </w:r>
          </w:p>
        </w:tc>
        <w:tc>
          <w:tcPr>
            <w:tcW w:w="2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BCB70E9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数值</w:t>
            </w:r>
          </w:p>
        </w:tc>
      </w:tr>
      <w:tr w:rsidR="00674FCF" w14:paraId="2220BE0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9CE0A68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O2 (下摆杆支点)</w:t>
            </w:r>
          </w:p>
        </w:tc>
        <w:tc>
          <w:tcPr>
            <w:tcW w:w="1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072209A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(100, 35)</w:t>
            </w:r>
          </w:p>
        </w:tc>
        <w:tc>
          <w:tcPr>
            <w:tcW w:w="25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559B8A4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O3 (上摆杆支点)</w:t>
            </w:r>
          </w:p>
        </w:tc>
        <w:tc>
          <w:tcPr>
            <w:tcW w:w="2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E0D5FCB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(140, 457.04)</w:t>
            </w:r>
          </w:p>
        </w:tc>
      </w:tr>
      <w:tr w:rsidR="00674FCF" w14:paraId="14A4F61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D26A666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下摆杆连杆臂 LB</w:t>
            </w:r>
          </w:p>
        </w:tc>
        <w:tc>
          <w:tcPr>
            <w:tcW w:w="1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ECA7611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150</w:t>
            </w:r>
          </w:p>
        </w:tc>
        <w:tc>
          <w:tcPr>
            <w:tcW w:w="25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82029F1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 xml:space="preserve">λ0 / </w:t>
            </w:r>
            <w:proofErr w:type="spellStart"/>
            <w:r>
              <w:rPr>
                <w:sz w:val="19"/>
                <w:szCs w:val="19"/>
              </w:rPr>
              <w:t>ψmax</w:t>
            </w:r>
            <w:proofErr w:type="spellEnd"/>
          </w:p>
        </w:tc>
        <w:tc>
          <w:tcPr>
            <w:tcW w:w="2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4F5CC21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−9.02° / 18.22°</w:t>
            </w:r>
          </w:p>
        </w:tc>
      </w:tr>
      <w:tr w:rsidR="00674FCF" w14:paraId="3CE4C40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780A931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上摆杆短臂 R3 / 长臂 R3′</w:t>
            </w:r>
          </w:p>
        </w:tc>
        <w:tc>
          <w:tcPr>
            <w:tcW w:w="1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DE78D6D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70 / 140</w:t>
            </w:r>
          </w:p>
        </w:tc>
        <w:tc>
          <w:tcPr>
            <w:tcW w:w="25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7295327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长连杆 L1</w:t>
            </w:r>
          </w:p>
        </w:tc>
        <w:tc>
          <w:tcPr>
            <w:tcW w:w="2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7680717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423.93</w:t>
            </w:r>
          </w:p>
        </w:tc>
      </w:tr>
      <w:tr w:rsidR="00674FCF" w14:paraId="5AF8FE3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F408BF2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小连杆 L2</w:t>
            </w:r>
          </w:p>
        </w:tc>
        <w:tc>
          <w:tcPr>
            <w:tcW w:w="1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A45891F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75</w:t>
            </w:r>
          </w:p>
        </w:tc>
        <w:tc>
          <w:tcPr>
            <w:tcW w:w="25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8AA4BAB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 xml:space="preserve">冲头销→尖端 </w:t>
            </w:r>
            <w:proofErr w:type="spellStart"/>
            <w:r>
              <w:rPr>
                <w:sz w:val="19"/>
                <w:szCs w:val="19"/>
              </w:rPr>
              <w:t>Lp</w:t>
            </w:r>
            <w:proofErr w:type="spellEnd"/>
          </w:p>
        </w:tc>
        <w:tc>
          <w:tcPr>
            <w:tcW w:w="2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825BE0D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130</w:t>
            </w:r>
          </w:p>
        </w:tc>
      </w:tr>
      <w:tr w:rsidR="00674FCF" w14:paraId="6C5CC88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D3E84BD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主轴转速 n / 角速度 ω</w:t>
            </w:r>
          </w:p>
        </w:tc>
        <w:tc>
          <w:tcPr>
            <w:tcW w:w="1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27715F0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25 r/min / 2.618 rad/s</w:t>
            </w:r>
          </w:p>
        </w:tc>
        <w:tc>
          <w:tcPr>
            <w:tcW w:w="25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D915269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B133ECB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E853078" w14:textId="77777777" w:rsidR="00674FCF" w:rsidRDefault="00000000">
      <w:pPr>
        <w:pStyle w:val="1"/>
        <w:spacing w:before="240" w:after="130"/>
        <w:rPr>
          <w:rFonts w:hint="eastAsia"/>
        </w:rPr>
      </w:pPr>
      <w:r>
        <w:rPr>
          <w:color w:val="1F3864"/>
        </w:rPr>
        <w:t>三、运动曲线与关键结果</w:t>
      </w:r>
    </w:p>
    <w:p w14:paraId="16A12E35" w14:textId="77777777" w:rsidR="00674FCF" w:rsidRDefault="00000000">
      <w:pPr>
        <w:spacing w:after="90" w:line="300" w:lineRule="auto"/>
        <w:rPr>
          <w:rFonts w:hint="eastAsia"/>
        </w:rPr>
      </w:pPr>
      <w:r>
        <w:t>由上述解析模型算得冲头尖端的位移、速度、加速度随主轴转角的曲线（见图2 中的实线）。要点：行程精确为 95.000 mm（与设计一致）；近休段（0°~120°、300°~360°）与远休/保压段（200°~240°）位移恒定、速度与加速度均为零；推程（120°~200°，下压）和回程（240°~300°，退回）均按摆线规律，启停处速度、加速度连续，无刚性与柔性冲击。</w:t>
      </w:r>
    </w:p>
    <w:p w14:paraId="40766D16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关键数值：</w:t>
      </w:r>
      <w:r>
        <w:t>最大速度 |</w:t>
      </w:r>
      <w:proofErr w:type="spellStart"/>
      <w:r>
        <w:t>v|max</w:t>
      </w:r>
      <w:proofErr w:type="spellEnd"/>
      <w:r>
        <w:t xml:space="preserve"> = 476.9 mm/s，出现在回程中段（φ≈270°，回程角程较短故速度较高）；最大加速度 |</w:t>
      </w:r>
      <w:proofErr w:type="spellStart"/>
      <w:r>
        <w:t>a|max</w:t>
      </w:r>
      <w:proofErr w:type="spellEnd"/>
      <w:r>
        <w:t xml:space="preserve"> = 3757 mm/s²，出现在 φ≈286°。</w:t>
      </w:r>
    </w:p>
    <w:p w14:paraId="1A43C9EC" w14:textId="77777777" w:rsidR="00674FCF" w:rsidRDefault="00000000">
      <w:pPr>
        <w:pStyle w:val="1"/>
        <w:pageBreakBefore/>
        <w:rPr>
          <w:rFonts w:hint="eastAsia"/>
        </w:rPr>
      </w:pPr>
      <w:r>
        <w:rPr>
          <w:color w:val="1F3864"/>
        </w:rPr>
        <w:lastRenderedPageBreak/>
        <w:t>四、解析与 SolidWorks Motion 仿真对比</w:t>
      </w:r>
    </w:p>
    <w:p w14:paraId="35A62FE9" w14:textId="77777777" w:rsidR="00674FCF" w:rsidRDefault="00000000">
      <w:pPr>
        <w:spacing w:after="90" w:line="300" w:lineRule="auto"/>
        <w:rPr>
          <w:rFonts w:hint="eastAsia"/>
        </w:rPr>
      </w:pPr>
      <w:r>
        <w:t>在整机 SolidWorks Motion 分析算例中，以上冲头工作面为对象输出其线性位移、速度、加速度，按主轴转速 25 r/min（2.4 s/转）将仿真时间折算为主轴转角，与解析结果叠绘于图2，量值对比见表1。</w:t>
      </w:r>
    </w:p>
    <w:p w14:paraId="4388DAEE" w14:textId="77777777" w:rsidR="00674FCF" w:rsidRDefault="00000000">
      <w:pPr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4A99C8" wp14:editId="3BFA4148">
            <wp:extent cx="5334000" cy="6000750"/>
            <wp:effectExtent l="0" t="0" r="0" b="0"/>
            <wp:docPr id="424854199" name="图2  上冲头解析（实线）与 SolidWorks Motion（散点）对比" descr="图2  上冲头解析（实线）与 SolidWorks Motion（散点）对比" title="图2  上冲头解析（实线）与 SolidWorks Motion（散点）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BBC4" w14:textId="77777777" w:rsidR="00674FCF" w:rsidRDefault="00000000">
      <w:pPr>
        <w:spacing w:after="150"/>
        <w:jc w:val="center"/>
        <w:rPr>
          <w:rFonts w:hint="eastAsia"/>
        </w:rPr>
      </w:pPr>
      <w:r>
        <w:rPr>
          <w:color w:val="555555"/>
          <w:sz w:val="18"/>
          <w:szCs w:val="18"/>
        </w:rPr>
        <w:t>图2  上冲头解析（实线）与 SolidWorks Motion（散点）对比</w:t>
      </w:r>
    </w:p>
    <w:p w14:paraId="65875034" w14:textId="77777777" w:rsidR="00674FCF" w:rsidRDefault="00000000">
      <w:pPr>
        <w:spacing w:after="60" w:line="300" w:lineRule="auto"/>
        <w:jc w:val="center"/>
        <w:rPr>
          <w:rFonts w:hint="eastAsia"/>
        </w:rPr>
      </w:pPr>
      <w:r>
        <w:rPr>
          <w:color w:val="555555"/>
          <w:sz w:val="18"/>
          <w:szCs w:val="18"/>
        </w:rPr>
        <w:t>表1  解析与仿真量值对比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26"/>
        <w:gridCol w:w="2200"/>
        <w:gridCol w:w="2000"/>
      </w:tblGrid>
      <w:tr w:rsidR="00674FCF" w14:paraId="3C1B08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31CBA6D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量</w:t>
            </w:r>
          </w:p>
        </w:tc>
        <w:tc>
          <w:tcPr>
            <w:tcW w:w="22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028B1C7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解析（理论）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438F263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仿真（Motion）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7B7AAA9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差异</w:t>
            </w:r>
          </w:p>
        </w:tc>
      </w:tr>
      <w:tr w:rsidR="00674FCF" w14:paraId="1541BA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41E7703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行程</w:t>
            </w:r>
          </w:p>
        </w:tc>
        <w:tc>
          <w:tcPr>
            <w:tcW w:w="22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FC8AA3F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95.000 mm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0380BFA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94.99 mm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1304E89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0.01 %</w:t>
            </w:r>
          </w:p>
        </w:tc>
      </w:tr>
      <w:tr w:rsidR="00674FCF" w14:paraId="42D9DD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589A935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顶位 / 底位位移</w:t>
            </w:r>
          </w:p>
        </w:tc>
        <w:tc>
          <w:tcPr>
            <w:tcW w:w="22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D2D1EDC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300 / 205 mm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705B823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299.88 / 204.89 mm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75E4DE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≈0.12 mm</w:t>
            </w:r>
          </w:p>
        </w:tc>
      </w:tr>
      <w:tr w:rsidR="00674FCF" w14:paraId="64EBCE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B10BB6C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最大速度 |</w:t>
            </w:r>
            <w:proofErr w:type="spellStart"/>
            <w:r>
              <w:rPr>
                <w:sz w:val="19"/>
                <w:szCs w:val="19"/>
              </w:rPr>
              <w:t>v|max</w:t>
            </w:r>
            <w:proofErr w:type="spellEnd"/>
          </w:p>
        </w:tc>
        <w:tc>
          <w:tcPr>
            <w:tcW w:w="22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BF2FEBF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476.9 mm/s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4239711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568.2 mm/s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4672B0F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+19 %</w:t>
            </w:r>
          </w:p>
        </w:tc>
      </w:tr>
      <w:tr w:rsidR="00674FCF" w14:paraId="771574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54B5B0D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最大加速度 |</w:t>
            </w:r>
            <w:proofErr w:type="spellStart"/>
            <w:r>
              <w:rPr>
                <w:sz w:val="19"/>
                <w:szCs w:val="19"/>
              </w:rPr>
              <w:t>a|max</w:t>
            </w:r>
            <w:proofErr w:type="spellEnd"/>
          </w:p>
        </w:tc>
        <w:tc>
          <w:tcPr>
            <w:tcW w:w="22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6F0D544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3757 mm/s²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0327FDA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5453 mm/s²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C5F8244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+45 %</w:t>
            </w:r>
          </w:p>
        </w:tc>
      </w:tr>
      <w:tr w:rsidR="00674FCF" w14:paraId="421831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D14A833" w14:textId="77777777" w:rsidR="00674FCF" w:rsidRDefault="00000000">
            <w:pPr>
              <w:spacing w:line="264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lastRenderedPageBreak/>
              <w:t>相位</w:t>
            </w:r>
          </w:p>
        </w:tc>
        <w:tc>
          <w:tcPr>
            <w:tcW w:w="222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C856565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以 φ=0 为基准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48FCEB9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滞后约 20°~30°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BFA72F0" w14:textId="77777777" w:rsidR="00674FCF" w:rsidRDefault="00000000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凸轮装配时钟误差</w:t>
            </w:r>
          </w:p>
        </w:tc>
      </w:tr>
    </w:tbl>
    <w:p w14:paraId="35417CDD" w14:textId="77777777" w:rsidR="00674FCF" w:rsidRDefault="00000000">
      <w:pPr>
        <w:pStyle w:val="1"/>
        <w:spacing w:before="240" w:after="130"/>
        <w:rPr>
          <w:rFonts w:hint="eastAsia"/>
        </w:rPr>
      </w:pPr>
      <w:r>
        <w:rPr>
          <w:color w:val="1F3864"/>
        </w:rPr>
        <w:t>五、结果分析</w:t>
      </w:r>
    </w:p>
    <w:p w14:paraId="2C60039A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（1）位移高度吻合，验证模型正确。</w:t>
      </w:r>
      <w:r>
        <w:t>仿真与解析的顶位（299.88 vs 300）、底位（204.89 vs 205）、行程（94.99 vs 95.00，差仅 0.01 mm、0.01%）几乎完全一致，曲线形状（近休—推程—远休—回程—近休）完全相同。位移是未经微分的一阶量，其精确吻合是最有力的相互验证，说明机构尺寸综合、凸轮廓线生成与三维装配均正确。</w:t>
      </w:r>
    </w:p>
    <w:p w14:paraId="7A76F233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（2）相位偏移约 20°~30°，属装配对位误差。</w:t>
      </w:r>
      <w:r>
        <w:t>仿真曲线相对解析整体后移约 20°~30°，原因是装配时凸轮的实际安装时钟角（用“装填位对齐法”人工对位）与解析所设的 φ=0 基准存在偏差。该偏移只改变各运动阶段出现的主轴转角位置，不改变运动规律本身与各特征量的大小。</w:t>
      </w:r>
    </w:p>
    <w:p w14:paraId="403684C4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（3）速度、加速度峰值仿真偏高，属数值与离散化效应。</w:t>
      </w:r>
      <w:r>
        <w:t>仿真峰值（568 mm/s、5453 mm/s²）高于解析（477、3757）。原因：仿真是对离散的凸轮廓线＋滚子接触求解、再由求解器数值微分得到速度/加速度，导出步长又较粗（0.04 s≈6°），在推程/回程过渡处会出现数值波动与尖峰；加速度作为二阶微分量对此最敏感，故偏差最大（+45%）。解析则基于理想摆线规律的连续闭式，平滑且更可靠。</w:t>
      </w:r>
    </w:p>
    <w:p w14:paraId="06901EF6" w14:textId="77777777" w:rsidR="00674FCF" w:rsidRDefault="00000000">
      <w:pPr>
        <w:spacing w:after="90" w:line="300" w:lineRule="auto"/>
        <w:rPr>
          <w:rFonts w:hint="eastAsia"/>
        </w:rPr>
      </w:pPr>
      <w:r>
        <w:rPr>
          <w:b/>
          <w:bCs/>
        </w:rPr>
        <w:t>（4）结论。</w:t>
      </w:r>
      <w:r>
        <w:t>两种方法在位移上精确吻合、在速度/加速度上量级一致、趋势相符，相互印证了运动分析的正确性。设计取值以解析结果为准：最大速度约 477 mm/s、最大加速度约 3757 mm/s²。摆线运动规律保证了全行程启停无刚性/柔性冲击，适合每分钟 25 次的高速压片。所得最大加速度也为后续惯性力计算、飞轮转动惯量与构件强度设计提供了依据。</w:t>
      </w:r>
    </w:p>
    <w:p w14:paraId="620068FB" w14:textId="77777777" w:rsidR="00674FCF" w:rsidRDefault="00000000">
      <w:pPr>
        <w:pStyle w:val="1"/>
        <w:spacing w:before="240" w:after="130"/>
        <w:rPr>
          <w:rFonts w:hint="eastAsia"/>
        </w:rPr>
      </w:pPr>
      <w:r>
        <w:rPr>
          <w:color w:val="1F3864"/>
        </w:rPr>
        <w:t>附录：解析计算程序（MATLAB）</w:t>
      </w:r>
    </w:p>
    <w:p w14:paraId="44C84611" w14:textId="4536FBD2" w:rsidR="00674FCF" w:rsidRDefault="00000000">
      <w:pPr>
        <w:spacing w:line="300" w:lineRule="auto"/>
        <w:rPr>
          <w:rFonts w:hint="eastAsia"/>
        </w:rPr>
      </w:pPr>
      <w:r>
        <w:rPr>
          <w:color w:val="555555"/>
          <w:sz w:val="19"/>
          <w:szCs w:val="19"/>
        </w:rPr>
        <w:t>完整程序见 运动分析/</w:t>
      </w:r>
      <w:proofErr w:type="spellStart"/>
      <w:r w:rsidR="00726BB3" w:rsidRPr="00726BB3">
        <w:rPr>
          <w:color w:val="555555"/>
          <w:sz w:val="19"/>
          <w:szCs w:val="19"/>
        </w:rPr>
        <w:t>upper_punch_analysis.m</w:t>
      </w:r>
      <w:proofErr w:type="spellEnd"/>
      <w:r>
        <w:rPr>
          <w:color w:val="555555"/>
          <w:sz w:val="19"/>
          <w:szCs w:val="19"/>
        </w:rPr>
        <w:t>，按 §二 模型逐点求解位置并数值微分得到速度、加速度，输出曲线并导出数据 CSV。</w:t>
      </w:r>
    </w:p>
    <w:sectPr w:rsidR="00674FC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6BE82" w14:textId="77777777" w:rsidR="002162D2" w:rsidRDefault="002162D2">
      <w:pPr>
        <w:rPr>
          <w:rFonts w:hint="eastAsia"/>
        </w:rPr>
      </w:pPr>
      <w:r>
        <w:separator/>
      </w:r>
    </w:p>
  </w:endnote>
  <w:endnote w:type="continuationSeparator" w:id="0">
    <w:p w14:paraId="3F72D592" w14:textId="77777777" w:rsidR="002162D2" w:rsidRDefault="002162D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1F9CB" w14:textId="77777777" w:rsidR="00674FCF" w:rsidRDefault="00000000">
    <w:pPr>
      <w:jc w:val="center"/>
      <w:rPr>
        <w:rFonts w:hint="eastAsia"/>
      </w:rPr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rFonts w:hint="eastAsia"/>
        <w:sz w:val="18"/>
        <w:szCs w:val="18"/>
      </w:rPr>
      <w:fldChar w:fldCharType="separate"/>
    </w:r>
    <w:r w:rsidR="00726BB3">
      <w:rPr>
        <w:rFonts w:hint="eastAsia"/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B185F" w14:textId="77777777" w:rsidR="002162D2" w:rsidRDefault="002162D2">
      <w:pPr>
        <w:rPr>
          <w:rFonts w:hint="eastAsia"/>
        </w:rPr>
      </w:pPr>
      <w:r>
        <w:separator/>
      </w:r>
    </w:p>
  </w:footnote>
  <w:footnote w:type="continuationSeparator" w:id="0">
    <w:p w14:paraId="53CCD18B" w14:textId="77777777" w:rsidR="002162D2" w:rsidRDefault="002162D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8B7E5C"/>
    <w:multiLevelType w:val="hybridMultilevel"/>
    <w:tmpl w:val="B4A80DDC"/>
    <w:lvl w:ilvl="0" w:tplc="EF96E24C">
      <w:start w:val="1"/>
      <w:numFmt w:val="bullet"/>
      <w:lvlText w:val="●"/>
      <w:lvlJc w:val="left"/>
      <w:pPr>
        <w:ind w:left="720" w:hanging="360"/>
      </w:pPr>
    </w:lvl>
    <w:lvl w:ilvl="1" w:tplc="3390626E">
      <w:start w:val="1"/>
      <w:numFmt w:val="bullet"/>
      <w:lvlText w:val="○"/>
      <w:lvlJc w:val="left"/>
      <w:pPr>
        <w:ind w:left="1440" w:hanging="360"/>
      </w:pPr>
    </w:lvl>
    <w:lvl w:ilvl="2" w:tplc="8ABCCFF8">
      <w:start w:val="1"/>
      <w:numFmt w:val="bullet"/>
      <w:lvlText w:val="■"/>
      <w:lvlJc w:val="left"/>
      <w:pPr>
        <w:ind w:left="2160" w:hanging="360"/>
      </w:pPr>
    </w:lvl>
    <w:lvl w:ilvl="3" w:tplc="0E321A4C">
      <w:start w:val="1"/>
      <w:numFmt w:val="bullet"/>
      <w:lvlText w:val="●"/>
      <w:lvlJc w:val="left"/>
      <w:pPr>
        <w:ind w:left="2880" w:hanging="360"/>
      </w:pPr>
    </w:lvl>
    <w:lvl w:ilvl="4" w:tplc="14B4B1FA">
      <w:start w:val="1"/>
      <w:numFmt w:val="bullet"/>
      <w:lvlText w:val="○"/>
      <w:lvlJc w:val="left"/>
      <w:pPr>
        <w:ind w:left="3600" w:hanging="360"/>
      </w:pPr>
    </w:lvl>
    <w:lvl w:ilvl="5" w:tplc="30827794">
      <w:start w:val="1"/>
      <w:numFmt w:val="bullet"/>
      <w:lvlText w:val="■"/>
      <w:lvlJc w:val="left"/>
      <w:pPr>
        <w:ind w:left="4320" w:hanging="360"/>
      </w:pPr>
    </w:lvl>
    <w:lvl w:ilvl="6" w:tplc="ECFAF82C">
      <w:start w:val="1"/>
      <w:numFmt w:val="bullet"/>
      <w:lvlText w:val="●"/>
      <w:lvlJc w:val="left"/>
      <w:pPr>
        <w:ind w:left="5040" w:hanging="360"/>
      </w:pPr>
    </w:lvl>
    <w:lvl w:ilvl="7" w:tplc="5A3E77AA">
      <w:start w:val="1"/>
      <w:numFmt w:val="bullet"/>
      <w:lvlText w:val="●"/>
      <w:lvlJc w:val="left"/>
      <w:pPr>
        <w:ind w:left="5760" w:hanging="360"/>
      </w:pPr>
    </w:lvl>
    <w:lvl w:ilvl="8" w:tplc="47D05E9E">
      <w:start w:val="1"/>
      <w:numFmt w:val="bullet"/>
      <w:lvlText w:val="●"/>
      <w:lvlJc w:val="left"/>
      <w:pPr>
        <w:ind w:left="6480" w:hanging="360"/>
      </w:pPr>
    </w:lvl>
  </w:abstractNum>
  <w:num w:numId="1" w16cid:durableId="2576424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FCF"/>
    <w:rsid w:val="002162D2"/>
    <w:rsid w:val="00674FCF"/>
    <w:rsid w:val="00726BB3"/>
    <w:rsid w:val="00BC7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35F26"/>
  <w15:docId w15:val="{D2AD2FB4-3886-4D59-A856-F21A1980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rFonts w:ascii="黑体" w:eastAsia="黑体" w:hAnsi="黑体" w:cs="黑体"/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rFonts w:ascii="黑体" w:eastAsia="黑体" w:hAnsi="黑体" w:cs="黑体"/>
      <w:b/>
      <w:bCs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439</Words>
  <Characters>2504</Characters>
  <Application>Microsoft Office Word</Application>
  <DocSecurity>0</DocSecurity>
  <Lines>20</Lines>
  <Paragraphs>5</Paragraphs>
  <ScaleCrop>false</ScaleCrop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HarrisHao Chen</cp:lastModifiedBy>
  <cp:revision>2</cp:revision>
  <dcterms:created xsi:type="dcterms:W3CDTF">2026-06-14T08:40:00Z</dcterms:created>
  <dcterms:modified xsi:type="dcterms:W3CDTF">2026-06-14T09:12:00Z</dcterms:modified>
</cp:coreProperties>
</file>