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ind w:firstLine="0"/>
        <w:jc w:val="center"/>
      </w:pPr>
      <w:r>
        <w:rPr>
          <w:rFonts w:ascii="黑体" w:cs="黑体" w:eastAsia="黑体" w:hAnsi="黑体"/>
          <w:b/>
          <w:bCs/>
          <w:sz w:val="56"/>
          <w:szCs w:val="56"/>
        </w:rPr>
        <w:t xml:space="preserve">机械原理课程设计</w:t>
      </w:r>
    </w:p>
    <w:p>
      <w:pPr>
        <w:spacing w:after="1400"/>
        <w:ind w:firstLine="0"/>
        <w:jc w:val="center"/>
      </w:pPr>
      <w:r>
        <w:rPr>
          <w:rFonts w:ascii="黑体" w:cs="黑体" w:eastAsia="黑体" w:hAnsi="黑体"/>
          <w:b/>
          <w:bCs/>
          <w:sz w:val="56"/>
          <w:szCs w:val="56"/>
        </w:rPr>
        <w:t xml:space="preserve">计算说明书</w:t>
      </w:r>
    </w:p>
    <w:p>
      <w:pPr>
        <w:spacing w:after="200"/>
        <w:ind w:firstLine="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设计题目：</w:t>
      </w:r>
      <w:r>
        <w:rPr>
          <w:rFonts w:ascii="宋体" w:cs="宋体" w:eastAsia="宋体" w:hAnsi="宋体"/>
          <w:b w:val="false"/>
          <w:bCs w:val="false"/>
          <w:sz w:val="26"/>
          <w:szCs w:val="26"/>
        </w:rPr>
        <w:t xml:space="preserve">　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15吨压片机设计</w:t>
      </w:r>
    </w:p>
    <w:p>
      <w:pPr>
        <w:spacing w:after="200"/>
        <w:ind w:firstLine="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学校学院：</w:t>
      </w:r>
      <w:r>
        <w:rPr>
          <w:rFonts w:ascii="宋体" w:cs="宋体" w:eastAsia="宋体" w:hAnsi="宋体"/>
          <w:b w:val="false"/>
          <w:bCs w:val="false"/>
          <w:sz w:val="26"/>
          <w:szCs w:val="26"/>
        </w:rPr>
        <w:t xml:space="preserve">　</w:t>
      </w:r>
      <w:r>
        <w:rPr>
          <w:rFonts w:ascii="宋体" w:cs="宋体" w:eastAsia="宋体" w:hAnsi="宋体"/>
          <w:b w:val="false"/>
          <w:bCs w:val="false"/>
          <w:color w:val="888888"/>
          <w:sz w:val="24"/>
          <w:szCs w:val="24"/>
        </w:rPr>
        <w:t xml:space="preserve">　　　　　　　　　　　　</w:t>
      </w:r>
    </w:p>
    <w:p>
      <w:pPr>
        <w:spacing w:after="200"/>
        <w:ind w:firstLine="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班　　级：</w:t>
      </w:r>
      <w:r>
        <w:rPr>
          <w:rFonts w:ascii="宋体" w:cs="宋体" w:eastAsia="宋体" w:hAnsi="宋体"/>
          <w:b w:val="false"/>
          <w:bCs w:val="false"/>
          <w:sz w:val="26"/>
          <w:szCs w:val="26"/>
        </w:rPr>
        <w:t xml:space="preserve">　</w:t>
      </w:r>
      <w:r>
        <w:rPr>
          <w:rFonts w:ascii="宋体" w:cs="宋体" w:eastAsia="宋体" w:hAnsi="宋体"/>
          <w:b w:val="false"/>
          <w:bCs w:val="false"/>
          <w:color w:val="888888"/>
          <w:sz w:val="24"/>
          <w:szCs w:val="24"/>
        </w:rPr>
        <w:t xml:space="preserve">　　　　　　　　　　　　</w:t>
      </w:r>
    </w:p>
    <w:p>
      <w:pPr>
        <w:spacing w:after="200"/>
        <w:ind w:firstLine="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姓　　名：</w:t>
      </w:r>
      <w:r>
        <w:rPr>
          <w:rFonts w:ascii="宋体" w:cs="宋体" w:eastAsia="宋体" w:hAnsi="宋体"/>
          <w:b w:val="false"/>
          <w:bCs w:val="false"/>
          <w:sz w:val="26"/>
          <w:szCs w:val="26"/>
        </w:rPr>
        <w:t xml:space="preserve">　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陈与同</w:t>
      </w:r>
    </w:p>
    <w:p>
      <w:pPr>
        <w:spacing w:after="200"/>
        <w:ind w:firstLine="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学　　号：</w:t>
      </w:r>
      <w:r>
        <w:rPr>
          <w:rFonts w:ascii="宋体" w:cs="宋体" w:eastAsia="宋体" w:hAnsi="宋体"/>
          <w:b w:val="false"/>
          <w:bCs w:val="false"/>
          <w:sz w:val="26"/>
          <w:szCs w:val="26"/>
        </w:rPr>
        <w:t xml:space="preserve">　</w:t>
      </w: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2401220215</w:t>
      </w:r>
    </w:p>
    <w:p>
      <w:pPr>
        <w:spacing w:after="200"/>
        <w:ind w:firstLine="0"/>
        <w:jc w:val="center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指导老师：</w:t>
      </w:r>
      <w:r>
        <w:rPr>
          <w:rFonts w:ascii="宋体" w:cs="宋体" w:eastAsia="宋体" w:hAnsi="宋体"/>
          <w:b w:val="false"/>
          <w:bCs w:val="false"/>
          <w:sz w:val="26"/>
          <w:szCs w:val="26"/>
        </w:rPr>
        <w:t xml:space="preserve">　</w:t>
      </w:r>
      <w:r>
        <w:rPr>
          <w:rFonts w:ascii="宋体" w:cs="宋体" w:eastAsia="宋体" w:hAnsi="宋体"/>
          <w:b w:val="false"/>
          <w:bCs w:val="false"/>
          <w:color w:val="888888"/>
          <w:sz w:val="24"/>
          <w:szCs w:val="24"/>
        </w:rPr>
        <w:t xml:space="preserve">　　　　　　　　　　　　</w:t>
      </w:r>
    </w:p>
    <w:p>
      <w:r>
        <w:br w:type="page"/>
      </w:r>
    </w:p>
    <w:p>
      <w:pPr>
        <w:spacing w:after="160"/>
        <w:ind w:firstLine="0"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一、设计题目：15吨压片机设计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压片机是利用上、下冲头在冲模（型腔）中往复冲压，将干粉料压缩成圆形片坯，并将成形片坯脱离该位置的机器。整机的送料、冲制、卸料三个工艺动作均自动完成，循环往复连续生产。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二、原理及要求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2.1 工作原理及工艺动作过程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总功能要求：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将干粉料压制成直径 34 mm、厚度 5 mm 的圆形片坯。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工作原理：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移动粉筛至模具型腔上方等待装料，并将上一循环已成型的工件推出（卸料）；然后粉筛振动，将粉料筛入型腔；下冲头下沉一定深度，以防上冲头下压时将粉料扑出；继而上冲头向下、下冲头向上加压，并在一定时间内保持压力（保压）；而后上冲头快速退出，下冲头随之将成型工件推出型腔。三套执行机构——上冲头、下冲头、粉筛——由同一主轴驱动，按相位差协调动作。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2.2 原始数据及设计要求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226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参数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工件尺寸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φ34 × 5 mm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冲头压力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15 t（150000 N）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生产率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25 片/min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主轴转速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25 r/min（T=2.4 s）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电机功率/转速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2.2 kW / 940 r/min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总传动比</w:t>
            </w:r>
          </w:p>
        </w:tc>
        <w:tc>
          <w:tcPr>
            <w:tcW w:type="dxa" w:w="2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i≈37.6</w:t>
            </w:r>
          </w:p>
        </w:tc>
      </w:tr>
    </w:tbl>
    <w:p>
      <w:pPr>
        <w:spacing w:after="100" w:before="6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各执行构件运动参数：上冲头行程 90～100 mm；下冲头先下沉 3 mm，再上升 8 mm 后停歇（保压），继而上升 16 mm 后停歇（顶出），待粉筛将片坯推离后下移 21 mm 复位；粉筛在型腔上方往复振动筛料，向左退回，待坯料成形并被推出后，在台面上右移约 45～50 mm 推卸成形片坯。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三、执行机构动作分解图，机构运动循环图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3.1 执行机构动作分解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按工艺过程，一个工作周期（主轴转一周）依次为：①粉筛右移到型腔上方，推出上一循环成型片并装料、振动筛料；②粉筛左退让位，下冲头下沉 3 mm；③上冲头下行加压、下冲头上升 8 mm 对压，保压；④上冲头快速退回，下冲头上升 16 mm 将成型片顶出至台面；⑤粉筛右移推卸成形片坯，下冲头下移 21 mm 复位。如此循环。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3.2 机构运动循环图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以主轴转一周 360°（周期 2.4 s）为横轴，三执行构件的位移随主轴转角的关系如图 3-1。各构件位移在一个周期内闭合，相位配合满足工艺要求；其中粉筛左退窗口取 90°～135°，以压低左退段凸轮压力角。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5334000" cy="4362450"/>
            <wp:effectExtent t="0" r="0" b="0" l="0"/>
            <wp:docPr id="1" name="图 3-1  三执行机构运动循环图" descr="图 3-1  三执行机构运动循环图" title="图 3-1  三执行机构运动循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3-1  三执行机构运动循环图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026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主轴转角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上冲头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下冲头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粉筛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装料/筛料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0°~90°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高位停歇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装填位停歇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型腔上方筛料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下沉/左退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90°~135°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高位停歇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下沉至 −3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左退让位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加压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120°~200°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下行加压（行程95）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上升 −3→+5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左侧停歇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保压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200°~240°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底部停歇保压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+5 停歇保压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左侧停歇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退回/顶出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240°~290°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退回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上升 +5→+21 顶出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左侧停歇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推卸/复位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290°~360°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高位停歇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+21 停歇后下移复位</w:t>
            </w:r>
          </w:p>
        </w:tc>
        <w:tc>
          <w:tcPr>
            <w:tcW w:type="dxa" w:w="20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右移推卸（行程48）</w:t>
            </w:r>
          </w:p>
        </w:tc>
      </w:tr>
    </w:tbl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四、机械传动方案的拟定与比较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4.1 电机选定与传动系统设计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按生产率 25 片/min，主轴每转成型一片，主轴转速 25 r/min。选用 Y112M-6 三相异步电动机（额定功率 2.2 kW、转速 940 r/min、6 极、额定电流 5.6 A、效率 80.5%），功率与转速满足要求。总传动比 i=940/25=37.6。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传动路线：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电机 → A 型 V 带 → 轴 I → 两级圆柱齿轮减速 → 主轴。各级传动比经分配后实际 2.36×4.529×3.529=37.73，主轴 24.92 r/min（偏差 −0.3%，满足生产率）。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26"/>
        <w:gridCol w:w="3000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传动级</w:t>
            </w:r>
          </w:p>
        </w:tc>
        <w:tc>
          <w:tcPr>
            <w:tcW w:type="dxa" w:w="3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V 带传动</w:t>
            </w:r>
          </w:p>
        </w:tc>
        <w:tc>
          <w:tcPr>
            <w:tcW w:type="dxa" w:w="3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A 型 ×3，小带轮 dd1=100、大带轮 dd2=236，i=2.36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带速 4.92 m/s，中心距≈430，兼过载保护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齿轮高速级</w:t>
            </w:r>
          </w:p>
        </w:tc>
        <w:tc>
          <w:tcPr>
            <w:tcW w:type="dxa" w:w="3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m=2，z1/z2=17/77，i=4.529，d=34/154，a=94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齿宽 b1/b2=45/40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齿轮低速级</w:t>
            </w:r>
          </w:p>
        </w:tc>
        <w:tc>
          <w:tcPr>
            <w:tcW w:type="dxa" w:w="37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m=3，z3/z4=17/60，i=3.529，d=51/180，a=115.5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齿宽 b3/b4=50/45，输出至主轴</w:t>
            </w:r>
          </w:p>
        </w:tc>
      </w:tr>
    </w:tbl>
    <w:p>
      <w:pPr>
        <w:spacing w:after="100" w:before="6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各轴转速、功率与转矩（计入带 η=0.96、齿轮 η=0.97、轴承 η=0.99）如下表。在高速轴上加装飞轮，以均化冲压瞬间的大冲击载荷、减小电机与齿轮峰值受力。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200"/>
        <w:gridCol w:w="2326"/>
      </w:tblGrid>
      <w:tr>
        <w:trPr>
          <w:tblHeader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转速 (r/min)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功率 (kW)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转矩 (N·m)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电机轴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940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2.20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22.4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轴 I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398.3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2.11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50.6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轴 II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87.9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2.03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220.3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主轴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24.92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1.95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746.5</w:t>
            </w:r>
          </w:p>
        </w:tc>
      </w:tr>
    </w:tbl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V 带传动设计：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取工况系数 KA=1.2，设计功率 Pca=KA·P=2.64 kW；按 Pca 与小轮转速 940 r/min 选 A 型带。小带轮基准直径 dd1=100 mm（不小于 A 型最小基准直径），大带轮 dd2=dd1·i≈236 mm（取标准系列）。带速 v=π·dd1·n1/60000=4.92 m/s，在 5～25 m/s 之间，合格。初定中心距后取基准长度 Ld=1400 mm（A1400），实际中心距 a≈430 mm；小带轮包角 α1≈162°≥120°，合格。单根 A 型带额定功率经包角系数、长度系数修正后，算得所需根数 z=Pca/[(P1+ΔP)·Kα·KL]≈2.73，取 3 根。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齿轮传动设计：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两级均为标准直齿圆柱齿轮，压力角 α=20°。高速级 m=2、z1/z2=17/77，分度圆 d=mz 得 34/154，齿顶圆 da=m(z+2)、齿根圆 df=m(z−2.5)，中心距 a=m(z1+z2)/2=94 mm；低速级 m=3、z3/z4=17/60，分度圆 51/180，中心距 115.5 mm。齿轮材料取 45 钢调质。各级几何尺寸据此确定，齿面接触与齿根弯曲强度校核见后续校核部分。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飞轮：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压片力集中于加压相位、其余时段近零，主轴存在速度波动。按盈亏功法、取运转不均匀系数 δ=0.05，飞轮转动惯量 J=ΔW/(δ·ω²)；为减小所需惯量，飞轮宜装于高速轴（电机轴或轴 I），做成轮缘式（辐板＋厚轮缘）结构。具体盈亏功与惯量在压实力-位移曲线确定后定值。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5238750" cy="3105150"/>
            <wp:effectExtent t="0" r="0" b="0" l="0"/>
            <wp:docPr id="1" name="图 4-1  传动系统布置（主轴、轴I、轴II、电机轴）" descr="图 4-1  传动系统布置（主轴、轴I、轴II、电机轴）" title="图 4-1  传动系统布置（主轴、轴I、轴II、电机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4-1  传动系统布置（主轴、轴I、轴II、电机轴）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4.2 主要执行机构的拟定与比较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下冲头机构：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位移为“升—停—升—停—降”多段规律（−3→+5 保压→+21 顶出→0），带多次精确停歇，采用直动滚子从动件盘形凸轮直接驱动最为直接可靠，连杆机构难以实现精确停歇，故选直动凸轮机构。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上冲头机构：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需“快速下行→加压保压→快速退回”、行程大（95）、压力大（150 kN）。比较两方案：①单摆杆凸轮-连杆-滑块，凸轮理论基圆需达 117，凸轮与冲头尺寸大；②二级摆杆增力的凸轮-连杆机构——凸轮经下摆杆、长连杆驱动上摆杆（直杆杠杆，臂比 70:140），再经小连杆带动冲头。方案②利用杠杆放大行程，使凸轮摆角由 30° 降到 18.2°、理论基圆由 117 缩小到 54、冲头长度由 231 缩到 130，结构更紧凑，故选方案②。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粉筛机构：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需水平往复（往复筛料＋右移推卸 48 mm）并带长停歇，采用摆动滚子从动件盘形凸轮加连杆，将凸轮摆动转换为粉筛在台面上的水平往复，凸轮带长停歇最适合，连杆把摆角转成水平行程。</w:t>
      </w:r>
    </w:p>
    <w:p>
      <w:pPr>
        <w:spacing w:after="100" w:before="4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三套执行机构的方案拟定与比较汇总如下表。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1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执行件</w:t>
            </w:r>
          </w:p>
        </w:tc>
        <w:tc>
          <w:tcPr>
            <w:tcW w:type="dxa" w:w="3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候选方案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选定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9E2F3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/>
                <w:bCs/>
                <w:sz w:val="18"/>
                <w:szCs w:val="18"/>
              </w:rPr>
              <w:t xml:space="preserve">主要理由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下冲头</w:t>
            </w:r>
          </w:p>
        </w:tc>
        <w:tc>
          <w:tcPr>
            <w:tcW w:type="dxa" w:w="3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直动凸轮 / 连杆机构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直动盘形凸轮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多段“升-停-升-停-降”位移，凸轮可实现精确停歇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上冲头</w:t>
            </w:r>
          </w:p>
        </w:tc>
        <w:tc>
          <w:tcPr>
            <w:tcW w:type="dxa" w:w="3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单摆杆凸轮-连杆 / 二级摆杆增力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二级摆杆增力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杠杆放大行程，凸轮基圆 117→54、冲头长 231→130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粉筛</w:t>
            </w:r>
          </w:p>
        </w:tc>
        <w:tc>
          <w:tcPr>
            <w:tcW w:type="dxa" w:w="35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摆动凸轮+连杆 / 曲柄滑块</w:t>
            </w:r>
          </w:p>
        </w:tc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摆动凸轮+连杆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  <w:ind w:firstLine="0"/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18"/>
                <w:szCs w:val="18"/>
              </w:rPr>
              <w:t xml:space="preserve">水平往复并带长停歇，凸轮停歇＋连杆转水平最合适</w:t>
            </w:r>
          </w:p>
        </w:tc>
      </w:tr>
    </w:tbl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4.3 机构运动简图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三套执行机构均由主轴上的凸轮按相位差驱动，整机机构运动简图如图 4-2；上冲头、粉筛机构简图分别如图 4-3、4-4。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4286250" cy="4895850"/>
            <wp:effectExtent t="0" r="0" b="0" l="0"/>
            <wp:docPr id="1" name="图 4-2  整机机构运动简图（布局）" descr="图 4-2  整机机构运动简图（布局）" title="图 4-2  整机机构运动简图（布局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4-2  整机机构运动简图（布局）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3524250" cy="5591175"/>
            <wp:effectExtent t="0" r="0" b="0" l="0"/>
            <wp:docPr id="1" name="图 4-3  上冲头机构（二级摆杆增力）" descr="图 4-3  上冲头机构（二级摆杆增力）" title="图 4-3  上冲头机构（二级摆杆增力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4-3  上冲头机构（二级摆杆增力）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4953000" cy="4714875"/>
            <wp:effectExtent t="0" r="0" b="0" l="0"/>
            <wp:docPr id="1" name="图 4-4  粉筛机构" descr="图 4-4  粉筛机构" title="图 4-4  粉筛机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4-4  粉筛机构</w:t>
      </w:r>
    </w:p>
    <w:p>
      <w:pPr>
        <w:pStyle w:val="Heading1"/>
        <w:pageBreakBefore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五、所选方案的结构设计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5.1 传动与执行机构的运动尺寸设计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下冲头凸轮：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直动滚子从动件盘形凸轮，理论基圆 r0=50、滚子 φ20，从动件总升程 24 mm（−3~+21），升/降段按摆线规律。从动件沿型腔轴线（中线）竖直移动，行程由凸轮直接保证。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3333750" cy="4619625"/>
            <wp:effectExtent t="0" r="0" b="0" l="0"/>
            <wp:docPr id="1" name="图 5-1  下冲头机构尺寸" descr="图 5-1  下冲头机构尺寸" title="图 5-1  下冲头机构尺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5-1  下冲头机构尺寸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上冲头机构：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凸轮理论基圆 r0=54（实际廓线半径 42.0~68.9）、轮缘宽 30、孔 φ20，滚子 φ24；下摆杆滚子臂 85、连杆臂 150、两臂夹角 121.28°、最大摆角 18.22°；长连杆孔距 423.93；上摆杆短臂 70/长臂 140（反向共线）；小连杆孔距 75；上冲头销至尖端 130。冲头行程精确 95 mm。校核：压程压力角最大 29.9°≤30°（合格），回程（空程）44°；传动角最小 64.4°；节曲线最小曲率半径 23&gt;滚子半径 12，无根切。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5334000" cy="2819400"/>
            <wp:effectExtent t="0" r="0" b="0" l="0"/>
            <wp:docPr id="1" name="图 5-2  上冲头凸轮工作图（理论/实际廓线）" descr="图 5-2  上冲头凸轮工作图（理论/实际廓线）" title="图 5-2  上冲头凸轮工作图（理论/实际廓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5-2  上冲头凸轮工作图（理论/实际廓线）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5334000" cy="3419475"/>
            <wp:effectExtent t="0" r="0" b="0" l="0"/>
            <wp:docPr id="1" name="图 5-3  从动件运动规律与凸轮压力角" descr="图 5-3  从动件运动规律与凸轮压力角" title="图 5-3  从动件运动规律与凸轮压力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5-3  从动件运动规律与凸轮压力角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粉筛机构：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凸轮理论基圆 r0=81（实际 71.0~89.1）、轮缘宽 20，滚子 φ20；摆杆滚子臂 50、连杆臂 110、两臂夹角 129.77°、最大摆角 21.13°；连杆孔距 211.71；托架水平行程 48 mm。校核：推卸（工作行程）压力角最大 20.8°，左退（空程）37°；连杆-摆杆最小传动角 41.2°；节曲线最小曲率半径 34.4&gt;滚子半径 10，无根切。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4953000" cy="4276725"/>
            <wp:effectExtent t="0" r="0" b="0" l="0"/>
            <wp:docPr id="1" name="图 5-3a  粉筛托架结构（筛口、推卸前缘、连杆耳板）" descr="图 5-3a  粉筛托架结构（筛口、推卸前缘、连杆耳板）" title="图 5-3a  粉筛托架结构（筛口、推卸前缘、连杆耳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5-3a  粉筛托架结构（筛口、推卸前缘、连杆耳板）</w:t>
      </w:r>
    </w:p>
    <w:p>
      <w:pPr>
        <w:spacing w:after="100" w:before="4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三套凸轮廓线均按各自从动件的摆线运动规律生成，以极坐标表（φ–r）给出并导出 XYZ 点坐标，在 SolidWorks 中以“通过 XYZ 点的曲线”导入后拉伸成凸轮盘；三凸轮按运动循环图的相位差装于同一主轴。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5.2 机器运动系统中机构的运动分析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取上冲头机构为分析对象（含凸轮高副与多个低副，最具代表性），采用解析法。机构链为：凸轮（O1）→下摆杆（O2）→长连杆 L1→上摆杆（O3，直杆杠杆）→小连杆 L2→冲头（沿 X=0 竖直导向）。以主轴转角 φ 为自变量，凸轮赋予下摆杆摆线摆角 ψ(φ)，逐级求 B 点、解上摆杆角（圆–圆交点）、得冲头销 E 与尖端位移 s，再对时间数值微分得速度 v、加速度 a（已编 MATLAB 程序）。机构运动简图如图 5-4。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3333750" cy="4448175"/>
            <wp:effectExtent t="0" r="0" b="0" l="0"/>
            <wp:docPr id="1" name="图 5-4  上冲头机构运动简图" descr="图 5-4  上冲头机构运动简图" title="图 5-4  上冲头机构运动简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5-4  上冲头机构运动简图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解析推导：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以 O1 为原点、主轴 ω=2.618 rad/s、φ=ωt。①凸轮使下摆杆作摆线摆动 ψ(φ)=ψmax·f(φ)，f 为摆线位移系数（分近休、推程、远休、回程）；②下摆杆连杆臂端 B=O2+LB·(cos(λ0+ψ), sin(λ0+ψ))；③上摆杆短臂端 D 满足 |O3D|=R3 且 |BD|=L1，即圆(O3,R3)与圆(B,L1)的交点，按连续性选根，得上摆杆转角 θ3=atan2(D−O3)；④上摆杆长臂端 C=O3−R3′·(cosθ3, sinθ3)；⑤冲头销 E 在 X=0 上、|CE|=L2，得 Ey=Cy−√(L2²−Cx²)，冲头尖端位移 s=Ey−Lp；⑥对时间求导 v=ds/dt、a=dv/dt（位置解含两次圆–圆反解，闭式导数繁琐，采用数值微分）。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主要参数：</w:t>
      </w: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O2=(100,35)，O3=(140,457.04)，LB=150，λ0=−9.02°，ψmax=18.22°，R3/R3′=70/140，L1=423.93，L2=75，Lp=130。</w:t>
      </w:r>
    </w:p>
    <w:p>
      <w:pPr>
        <w:spacing w:after="100" w:before="4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结果：冲头行程精确 95.000 mm；近休/远休（保压）段速度、加速度为零，推程、回程按摆线规律启停无冲击；最大速度 |v|max≈476.9 mm/s（回程中段 φ≈270°），最大加速度 |a|max≈3757 mm/s²（φ≈286°）。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将解析结果与 SolidWorks Motion 仿真（取上冲头工作面输出位移/速度/加速度，按 25 r/min 折算转角）对比如图 5-5：位移高度吻合（行程 94.99 vs 95.00，差 0.01%），验证了机构尺寸综合与凸轮廓线的正确性；仿真曲线相对解析滞后约 20°~30°，系装配时凸轮安装相位的人工对位误差，只移相位不改规律；速度、加速度仿真峰值略高（+19%、+45%），源于对离散廓线＋接触求解再数值微分及导出步长偏粗，加速度作为二阶量最敏感，设计取值以解析（平滑、精确）为准。</w:t>
      </w:r>
    </w:p>
    <w:p>
      <w:pPr>
        <w:spacing w:after="40" w:before="90"/>
        <w:ind w:firstLine="0"/>
        <w:jc w:val="center"/>
      </w:pPr>
      <w:r>
        <w:drawing>
          <wp:inline distT="0" distB="0" distL="0" distR="0">
            <wp:extent cx="4286250" cy="4819650"/>
            <wp:effectExtent t="0" r="0" b="0" l="0"/>
            <wp:docPr id="1" name="图 5-5  上冲头解析（实线）与 Motion 仿真（散点）对比" descr="图 5-5  上冲头解析（实线）与 Motion 仿真（散点）对比" title="图 5-5  上冲头解析（实线）与 Motion 仿真（散点）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宋体" w:cs="宋体" w:eastAsia="宋体" w:hAnsi="宋体"/>
          <w:b w:val="false"/>
          <w:bCs w:val="false"/>
          <w:color w:val="555555"/>
          <w:sz w:val="18"/>
          <w:szCs w:val="18"/>
        </w:rPr>
        <w:t xml:space="preserve">图 5-5  上冲头解析（实线）与 Motion 仿真（散点）对比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5.3 机械传动方案的三维模型仿真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在 SolidWorks 中建立各零件三维模型（三凸轮由廓线导入拉伸，摆杆、连杆、冲头、托架、主轴、齿轮、带轮、电机等），按运动副关系装配：三凸轮以同轴心＋锁定配合固连于主轴，滚子与凸轮以“凸轮”机械配合驱动从动件，各铰点以同轴心销接，冲头与托架分别约束为竖直、水平移动。在主轴上加旋转马达驱动，进行多执行机构协调运动仿真，三执行件按运动循环图协调动作（装料→下沉→加压→保压→顶出→推卸），验证了方案的运动协调性与无干涉。</w:t>
      </w:r>
    </w:p>
    <w:p>
      <w:pPr>
        <w:pStyle w:val="Heading2"/>
        <w:spacing w:after="90" w:before="170"/>
      </w:pPr>
      <w:r>
        <w:rPr>
          <w:rFonts w:ascii="黑体" w:cs="黑体" w:eastAsia="黑体" w:hAnsi="黑体"/>
          <w:b/>
          <w:bCs/>
          <w:color w:val="2E5496"/>
          <w:sz w:val="25"/>
          <w:szCs w:val="25"/>
        </w:rPr>
        <w:t xml:space="preserve">5.4 课程设计成果汇报视频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已录制整机协调运动仿真动画，完整展示一个工作循环中三执行机构的配合过程，作为成果汇报视频提交。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六、心得体会</w:t>
      </w:r>
    </w:p>
    <w:p>
      <w:pPr>
        <w:spacing w:after="100" w:before="0" w:line="320"/>
        <w:ind w:firstLine="42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本次课程设计完整经历了从工艺动作分析、机构选型、运动循环图拟定，到执行机构与传动系统的尺寸综合、凸轮廓线生成、三维建模与运动仿真、再到运动分析与对照验证的全过程。设计中最深的体会有三点：一是运动方案是全局的基础，运动循环图把三套机构的时序统一起来，后续一切尺寸与装配都以它为准；二是凸轮压力角、传动角、根切等约束往往相互牵制，上冲头由单摆杆改为二级摆杆增力，正是为兼顾行程、压力角与凸轮尺寸而做的方案级优化；三是解析计算与三维仿真要相互印证，位移曲线的高度吻合给了方案有力的验证，而二者在速度、加速度上的差异也让我理解了数值方法与理想规律的区别。通过本设计，我加深了对常用机构组合应用、凸轮与连杆机构综合及软件实用设计的理解。</w:t>
      </w:r>
    </w:p>
    <w:p>
      <w:pPr>
        <w:pStyle w:val="Heading1"/>
        <w:spacing w:after="140" w:before="260"/>
      </w:pPr>
      <w:r>
        <w:rPr>
          <w:rFonts w:ascii="黑体" w:cs="黑体" w:eastAsia="黑体" w:hAnsi="黑体"/>
          <w:b/>
          <w:bCs/>
          <w:color w:val="1F3864"/>
          <w:sz w:val="30"/>
          <w:szCs w:val="30"/>
        </w:rPr>
        <w:t xml:space="preserve">七、参考文献</w:t>
      </w:r>
    </w:p>
    <w:p>
      <w:pPr>
        <w:spacing w:after="60" w:before="0" w:line="320"/>
        <w:ind w:firstLine="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[1] 孙桓，陈作模，葛文杰. 机械原理（第8版）. 北京：高等教育出版社.</w:t>
      </w:r>
    </w:p>
    <w:p>
      <w:pPr>
        <w:spacing w:after="60" w:before="0" w:line="320"/>
        <w:ind w:firstLine="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[2] 濮良贵，纪名刚. 机械设计（第9版）. 北京：高等教育出版社.</w:t>
      </w:r>
    </w:p>
    <w:p>
      <w:pPr>
        <w:spacing w:after="60" w:before="0" w:line="320"/>
        <w:ind w:firstLine="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[3] 成大先. 机械设计手册. 北京：化学工业出版社.</w:t>
      </w:r>
    </w:p>
    <w:p>
      <w:pPr>
        <w:spacing w:after="60" w:before="0" w:line="320"/>
        <w:ind w:firstLine="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[4] 机械原理课程设计指导书.</w:t>
      </w:r>
    </w:p>
    <w:p>
      <w:pPr>
        <w:spacing w:after="60" w:before="0" w:line="320"/>
        <w:ind w:firstLine="0"/>
      </w:pPr>
      <w:r>
        <w:rPr>
          <w:rFonts w:ascii="宋体" w:cs="宋体" w:eastAsia="宋体" w:hAnsi="宋体"/>
          <w:b w:val="false"/>
          <w:bCs w:val="false"/>
          <w:sz w:val="21"/>
          <w:szCs w:val="21"/>
        </w:rPr>
        <w:t xml:space="preserve">[5] GB/T 13575 普通和窄 V 带传动；GB/T 3480 渐开线圆柱齿轮承载能力计算.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黑体" w:cs="黑体" w:eastAsia="黑体" w:hAnsi="黑体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c4980490bc3f494c156f38c8f4a71c50405357f.png"/><Relationship Id="rId9" Type="http://schemas.openxmlformats.org/officeDocument/2006/relationships/image" Target="media/d2c2c1df46718621d02585631191df3ffb7827a3.png"/><Relationship Id="rId10" Type="http://schemas.openxmlformats.org/officeDocument/2006/relationships/image" Target="media/ebaf558913b6a5eed5c758b24b9a779ef8ec06c4.png"/><Relationship Id="rId11" Type="http://schemas.openxmlformats.org/officeDocument/2006/relationships/image" Target="media/f478d22a00518bdb6de046ec555b5407336d1947.png"/><Relationship Id="rId12" Type="http://schemas.openxmlformats.org/officeDocument/2006/relationships/image" Target="media/94375801acb2efc7282256066d8eb39229305e60.png"/><Relationship Id="rId13" Type="http://schemas.openxmlformats.org/officeDocument/2006/relationships/image" Target="media/6fa649d16f12c824fc978e589ae88a14f17508d0.png"/><Relationship Id="rId14" Type="http://schemas.openxmlformats.org/officeDocument/2006/relationships/image" Target="media/01031a20f2ce5f00717d6ef07bbda85f5c461252.png"/><Relationship Id="rId15" Type="http://schemas.openxmlformats.org/officeDocument/2006/relationships/image" Target="media/a3109c9f7c0d6ffc6e5949fe149deae34dce5468.png"/><Relationship Id="rId16" Type="http://schemas.openxmlformats.org/officeDocument/2006/relationships/image" Target="media/e75c37c10b9be7cf3f187dea0c59eb7f568c745c.png"/><Relationship Id="rId17" Type="http://schemas.openxmlformats.org/officeDocument/2006/relationships/image" Target="media/da24d572fdec064b580fb7f7b37be78ae023840b.jpg"/><Relationship Id="rId18" Type="http://schemas.openxmlformats.org/officeDocument/2006/relationships/image" Target="media/39980a03d8bbf3dadb1a7705985b85e699d91a5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2026-06-14T13:58:48.873Z</dcterms:created>
  <dcterms:modified xsi:type="dcterms:W3CDTF">2026-06-14T13:58:48.873Z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