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黑体" w:cs="黑体" w:eastAsia="黑体" w:hAnsi="黑体"/>
          <w:b/>
          <w:bCs/>
          <w:color w:val="1F3864"/>
          <w:sz w:val="40"/>
          <w:szCs w:val="40"/>
        </w:rPr>
        <w:t xml:space="preserve">15吨压片机 整机运动方案设计</w:t>
      </w:r>
    </w:p>
    <w:p>
      <w:pPr>
        <w:spacing w:after="240"/>
        <w:jc w:val="center"/>
      </w:pPr>
      <w:r>
        <w:rPr>
          <w:rFonts w:ascii="宋体" w:cs="宋体" w:eastAsia="宋体" w:hAnsi="宋体"/>
          <w:b w:val="false"/>
          <w:bCs w:val="false"/>
          <w:color w:val="555555"/>
          <w:sz w:val="22"/>
          <w:szCs w:val="22"/>
        </w:rPr>
        <w:t xml:space="preserve">机械原理课程设计 · 题目四</w:t>
      </w:r>
    </w:p>
    <w:p>
      <w:pPr>
        <w:pStyle w:val="Heading1"/>
        <w:spacing w:after="140" w:before="240"/>
      </w:pPr>
      <w:r>
        <w:rPr>
          <w:rFonts w:ascii="黑体" w:cs="黑体" w:eastAsia="黑体" w:hAnsi="黑体"/>
          <w:b/>
          <w:bCs/>
          <w:color w:val="1F3864"/>
          <w:sz w:val="30"/>
          <w:szCs w:val="30"/>
        </w:rPr>
        <w:t xml:space="preserve">一、设计原始数据与总体要求</w:t>
      </w:r>
    </w:p>
    <w:p>
      <w:pPr>
        <w:spacing w:after="80" w:before="0" w:line="300"/>
      </w:pPr>
      <w:r>
        <w:rPr>
          <w:rFonts w:ascii="宋体" w:cs="宋体" w:eastAsia="宋体" w:hAnsi="宋体"/>
          <w:b w:val="false"/>
          <w:bCs w:val="false"/>
          <w:sz w:val="21"/>
          <w:szCs w:val="21"/>
        </w:rPr>
        <w:t xml:space="preserve">将干粉料压制成 φ34×5mm 的圆形片坯。系统由单台电机驱动一根分配轴（主轴），主轴每转一周完成一片，三套执行机构——上冲头、下冲头、粉筛——从主轴取动力，依靠相位错开实现协调动作。原始数据如下。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项目</w:t>
            </w:r>
          </w:p>
        </w:tc>
        <w:tc>
          <w:tcPr>
            <w:tcW w:type="dxa" w:w="22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参数</w:t>
            </w:r>
          </w:p>
        </w:tc>
        <w:tc>
          <w:tcPr>
            <w:tcW w:type="dxa" w:w="22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项目</w:t>
            </w:r>
          </w:p>
        </w:tc>
        <w:tc>
          <w:tcPr>
            <w:tcW w:type="dxa" w:w="22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参数</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工件尺寸</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φ34 × 5 mm</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冲压力</w:t>
            </w:r>
          </w:p>
        </w:tc>
        <w:tc>
          <w:tcPr>
            <w:tcW w:type="dxa" w:w="22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150 kN（15吨）</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生产率</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25 片/min</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主轴转速</w:t>
            </w:r>
          </w:p>
        </w:tc>
        <w:tc>
          <w:tcPr>
            <w:tcW w:type="dxa" w:w="22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25 r/min</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工作周期</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T = 2.4 s</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电机功率</w:t>
            </w:r>
          </w:p>
        </w:tc>
        <w:tc>
          <w:tcPr>
            <w:tcW w:type="dxa" w:w="22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2.2 kW</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电机转速</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940 r/min</w:t>
            </w:r>
          </w:p>
        </w:tc>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总传动比</w:t>
            </w:r>
          </w:p>
        </w:tc>
        <w:tc>
          <w:tcPr>
            <w:tcW w:type="dxa" w:w="22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i总 ≈ 37.6</w:t>
            </w:r>
          </w:p>
        </w:tc>
      </w:tr>
    </w:tbl>
    <w:p>
      <w:pPr>
        <w:spacing w:after="80" w:before="0" w:line="300"/>
      </w:pPr>
      <w:r>
        <w:rPr>
          <w:rFonts w:ascii="宋体" w:cs="宋体" w:eastAsia="宋体" w:hAnsi="宋体"/>
          <w:b w:val="false"/>
          <w:bCs w:val="false"/>
          <w:sz w:val="21"/>
          <w:szCs w:val="21"/>
        </w:rPr>
        <w:t xml:space="preserve"/>
      </w:r>
    </w:p>
    <w:p>
      <w:pPr>
        <w:pStyle w:val="Heading1"/>
        <w:spacing w:after="140" w:before="240"/>
      </w:pPr>
      <w:r>
        <w:rPr>
          <w:rFonts w:ascii="黑体" w:cs="黑体" w:eastAsia="黑体" w:hAnsi="黑体"/>
          <w:b/>
          <w:bCs/>
          <w:color w:val="1F3864"/>
          <w:sz w:val="30"/>
          <w:szCs w:val="30"/>
        </w:rPr>
        <w:t xml:space="preserve">二、传动系统方案</w:t>
      </w:r>
    </w:p>
    <w:p>
      <w:pPr>
        <w:spacing w:after="80" w:before="0" w:line="300"/>
      </w:pPr>
      <w:r>
        <w:rPr>
          <w:rFonts w:ascii="宋体" w:cs="宋体" w:eastAsia="宋体" w:hAnsi="宋体"/>
          <w:b w:val="false"/>
          <w:bCs w:val="false"/>
          <w:sz w:val="21"/>
          <w:szCs w:val="21"/>
        </w:rPr>
        <w:t xml:space="preserve">电机经 V 带传动与两级圆柱齿轮减速器把转速由 940 r/min 降到主轴 25 r/min。V 带兼作过载保护；在中间轴上设置飞轮，用以均化冲压瞬间的大冲击载荷、减小电机和齿轮峰值受力。主轴即分配轴，三套凸轮及连杆驱动元件集中安装其上，相位由运动循环图统一确定。</w:t>
      </w:r>
    </w:p>
    <w:p>
      <w:pPr>
        <w:spacing w:after="80" w:before="0" w:line="300"/>
      </w:pPr>
      <w:r>
        <w:rPr>
          <w:rFonts w:ascii="宋体" w:cs="宋体" w:eastAsia="宋体" w:hAnsi="宋体"/>
          <w:b/>
          <w:bCs/>
          <w:sz w:val="21"/>
          <w:szCs w:val="21"/>
        </w:rPr>
        <w:t xml:space="preserve">传动路线：</w:t>
      </w:r>
      <w:r>
        <w:rPr>
          <w:rFonts w:ascii="宋体" w:cs="宋体" w:eastAsia="宋体" w:hAnsi="宋体"/>
          <w:b w:val="false"/>
          <w:bCs w:val="false"/>
          <w:sz w:val="21"/>
          <w:szCs w:val="21"/>
        </w:rPr>
        <w:t xml:space="preserve">电机(940 r/min) → V带 → 中间轴(飞轮) → 一级齿轮 → 二级齿轮 → 主轴(25 r/min)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026"/>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传动级</w:t>
            </w:r>
          </w:p>
        </w:tc>
        <w:tc>
          <w:tcPr>
            <w:tcW w:type="dxa" w:w="19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传动比</w:t>
            </w:r>
          </w:p>
        </w:tc>
        <w:tc>
          <w:tcPr>
            <w:tcW w:type="dxa" w:w="19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输出转速</w:t>
            </w:r>
          </w:p>
        </w:tc>
        <w:tc>
          <w:tcPr>
            <w:tcW w:type="dxa" w:w="3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说明</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V带传动</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2.80</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335.7 r/min</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降速并过载保护</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齿轮一级</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3.80</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88.3 r/min</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圆柱齿轮</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齿轮二级</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3.53</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25.0 r/min</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输出至主轴</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合计</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37.6</w:t>
            </w:r>
          </w:p>
        </w:tc>
        <w:tc>
          <w:tcPr>
            <w:tcW w:type="dxa" w:w="19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25.0 r/min</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940 / 25 = 37.6</w:t>
            </w:r>
          </w:p>
        </w:tc>
      </w:tr>
    </w:tbl>
    <w:p>
      <w:pPr>
        <w:spacing w:after="80" w:before="0" w:line="300"/>
      </w:pPr>
      <w:r>
        <w:rPr>
          <w:rFonts w:ascii="宋体" w:cs="宋体" w:eastAsia="宋体" w:hAnsi="宋体"/>
          <w:b w:val="false"/>
          <w:bCs w:val="false"/>
          <w:color w:val="777777"/>
          <w:sz w:val="18"/>
          <w:szCs w:val="18"/>
        </w:rPr>
        <w:t xml:space="preserve">注：各级传动比为方案级分配，齿数、模数、带轮直径等几何尺寸在运动尺寸设计阶段确定。</w:t>
      </w:r>
    </w:p>
    <w:p>
      <w:pPr>
        <w:pStyle w:val="Heading1"/>
        <w:spacing w:after="140" w:before="240"/>
      </w:pPr>
      <w:r>
        <w:rPr>
          <w:rFonts w:ascii="黑体" w:cs="黑体" w:eastAsia="黑体" w:hAnsi="黑体"/>
          <w:b/>
          <w:bCs/>
          <w:color w:val="1F3864"/>
          <w:sz w:val="30"/>
          <w:szCs w:val="30"/>
        </w:rPr>
        <w:t xml:space="preserve">三、上冲头机构方案</w:t>
      </w:r>
    </w:p>
    <w:p>
      <w:pPr>
        <w:pStyle w:val="Heading2"/>
        <w:spacing w:after="100" w:before="160"/>
      </w:pPr>
      <w:r>
        <w:rPr>
          <w:rFonts w:ascii="黑体" w:cs="黑体" w:eastAsia="黑体" w:hAnsi="黑体"/>
          <w:b/>
          <w:bCs/>
          <w:color w:val="2E5496"/>
          <w:sz w:val="25"/>
          <w:szCs w:val="25"/>
        </w:rPr>
        <w:t xml:space="preserve">3.1 机构型式与工作要求</w:t>
      </w:r>
    </w:p>
    <w:p>
      <w:pPr>
        <w:spacing w:after="80" w:before="0" w:line="300"/>
      </w:pPr>
      <w:r>
        <w:rPr>
          <w:rFonts w:ascii="宋体" w:cs="宋体" w:eastAsia="宋体" w:hAnsi="宋体"/>
          <w:b w:val="false"/>
          <w:bCs w:val="false"/>
          <w:sz w:val="21"/>
          <w:szCs w:val="21"/>
        </w:rPr>
        <w:t xml:space="preserve">上冲头采用凸轮–连杆–滑块机构。上冲头需要“快速下行 → 到底加压并保压 → 快速退回”，行程大、压力大（150 kN）。由主轴上的盘形凸轮经滚子摆杆确定运动规律（含底部保压所需停歇与快下快退），摆杆经连杆把摆动转换为滑块的竖直往复，滑块在导轨内承压并保证直线导向；连杆机构在接近下死点处放大压力、利于加压。</w:t>
      </w:r>
    </w:p>
    <w:p>
      <w:pPr>
        <w:pStyle w:val="Heading2"/>
        <w:spacing w:after="100" w:before="160"/>
      </w:pPr>
      <w:r>
        <w:rPr>
          <w:rFonts w:ascii="黑体" w:cs="黑体" w:eastAsia="黑体" w:hAnsi="黑体"/>
          <w:b/>
          <w:bCs/>
          <w:color w:val="2E5496"/>
          <w:sz w:val="25"/>
          <w:szCs w:val="25"/>
        </w:rPr>
        <w:t xml:space="preserve">3.2 运动参数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参数</w:t>
            </w:r>
          </w:p>
        </w:tc>
        <w:tc>
          <w:tcPr>
            <w:tcW w:type="dxa" w:w="3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数值</w:t>
            </w:r>
          </w:p>
        </w:tc>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备注</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滑块行程 H</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95 mm</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取于 90~100 mm</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推程角（下压）</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80°（φ=120°~200°）</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摆线运动规律</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远休止角（保压）</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40°（φ=200°~240°）</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底部停歇保压</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回程角（退回）</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60°（φ=240°~300°）</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摆线运动规律</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近休止角（高位）</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180°（φ=300°~120°）</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上方等待</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保压时间</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0.27 s</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40°对应时间</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凸轮基圆半径 r0</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60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按 [α]≤30° 校核</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滚子半径 rr</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12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摆杆长 / 摆角</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180 mm / 30°（初拟）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尺寸综合阶段细化</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连杆长</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200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尺寸综合阶段细化</w:t>
            </w:r>
          </w:p>
        </w:tc>
      </w:tr>
    </w:tbl>
    <w:p>
      <w:pPr>
        <w:pStyle w:val="Heading1"/>
        <w:spacing w:after="140" w:before="240"/>
      </w:pPr>
      <w:r>
        <w:rPr>
          <w:rFonts w:ascii="黑体" w:cs="黑体" w:eastAsia="黑体" w:hAnsi="黑体"/>
          <w:b/>
          <w:bCs/>
          <w:color w:val="1F3864"/>
          <w:sz w:val="30"/>
          <w:szCs w:val="30"/>
        </w:rPr>
        <w:t xml:space="preserve">四、下冲头机构方案</w:t>
      </w:r>
    </w:p>
    <w:p>
      <w:pPr>
        <w:pStyle w:val="Heading2"/>
        <w:spacing w:after="100" w:before="160"/>
      </w:pPr>
      <w:r>
        <w:rPr>
          <w:rFonts w:ascii="黑体" w:cs="黑体" w:eastAsia="黑体" w:hAnsi="黑体"/>
          <w:b/>
          <w:bCs/>
          <w:color w:val="2E5496"/>
          <w:sz w:val="25"/>
          <w:szCs w:val="25"/>
        </w:rPr>
        <w:t xml:space="preserve">4.1 机构型式与工作要求</w:t>
      </w:r>
    </w:p>
    <w:p>
      <w:pPr>
        <w:spacing w:after="80" w:before="0" w:line="300"/>
      </w:pPr>
      <w:r>
        <w:rPr>
          <w:rFonts w:ascii="宋体" w:cs="宋体" w:eastAsia="宋体" w:hAnsi="宋体"/>
          <w:b w:val="false"/>
          <w:bCs w:val="false"/>
          <w:sz w:val="21"/>
          <w:szCs w:val="21"/>
        </w:rPr>
        <w:t xml:space="preserve">下冲头采用直动（移动从动件）盘形凸轮机构，凸轮直接驱动下冲头滑块。其位移是典型的“升—停—升—停—降”多段规律：先下沉 3mm（防止上冲头下压时粉料扑出），再上升 8mm 后停歇保压，继而上升 16mm 顶出成型片后停歇，待粉筛把片坯推离后下移 21mm 复位。这种带多次精确停歇的运动用凸轮实现最直接可靠。</w:t>
      </w:r>
    </w:p>
    <w:p>
      <w:pPr>
        <w:pStyle w:val="Heading2"/>
        <w:spacing w:after="100" w:before="160"/>
      </w:pPr>
      <w:r>
        <w:rPr>
          <w:rFonts w:ascii="黑体" w:cs="黑体" w:eastAsia="黑体" w:hAnsi="黑体"/>
          <w:b/>
          <w:bCs/>
          <w:color w:val="2E5496"/>
          <w:sz w:val="25"/>
          <w:szCs w:val="25"/>
        </w:rPr>
        <w:t xml:space="preserve">4.2 位移规律（以装填位为 0，向上为正）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300"/>
        <w:gridCol w:w="2026"/>
      </w:tblGrid>
      <w:tr>
        <w:trPr>
          <w:tblHeader/>
        </w:trPr>
        <w:tc>
          <w:tcPr>
            <w:tcW w:type="dxa" w:w="26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阶段</w:t>
            </w:r>
          </w:p>
        </w:tc>
        <w:tc>
          <w:tcPr>
            <w:tcW w:type="dxa" w:w="21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主轴转角</w:t>
            </w:r>
          </w:p>
        </w:tc>
        <w:tc>
          <w:tcPr>
            <w:tcW w:type="dxa" w:w="23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位移变化</w:t>
            </w:r>
          </w:p>
        </w:tc>
        <w:tc>
          <w:tcPr>
            <w:tcW w:type="dxa" w:w="2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运动规律</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装填停歇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0°~90°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下沉</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90°~120°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 → −3 mm</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上升保压</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120°~200°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 → +5 mm</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保压停歇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200°~240°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+5（保持）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顶出上升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240°~290°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+5 → +21 mm</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顶出停歇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290°~320°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+21（保持）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复位下移</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320°~360°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+21 → 0</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参数</w:t>
            </w:r>
          </w:p>
        </w:tc>
        <w:tc>
          <w:tcPr>
            <w:tcW w:type="dxa" w:w="3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数值</w:t>
            </w:r>
          </w:p>
        </w:tc>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备注</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从动件总升程 hmax</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24 mm</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 至 +21</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凸轮基圆半径 r0</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50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按 [α]≤30° 校核</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滚子半径 rr</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10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w:r>
          </w:p>
        </w:tc>
      </w:tr>
    </w:tbl>
    <w:p>
      <w:pPr>
        <w:pStyle w:val="Heading1"/>
        <w:spacing w:after="140" w:before="240"/>
      </w:pPr>
      <w:r>
        <w:rPr>
          <w:rFonts w:ascii="黑体" w:cs="黑体" w:eastAsia="黑体" w:hAnsi="黑体"/>
          <w:b/>
          <w:bCs/>
          <w:color w:val="1F3864"/>
          <w:sz w:val="30"/>
          <w:szCs w:val="30"/>
        </w:rPr>
        <w:t xml:space="preserve">五、粉筛机构方案</w:t>
      </w:r>
    </w:p>
    <w:p>
      <w:pPr>
        <w:pStyle w:val="Heading2"/>
        <w:spacing w:after="100" w:before="160"/>
      </w:pPr>
      <w:r>
        <w:rPr>
          <w:rFonts w:ascii="黑体" w:cs="黑体" w:eastAsia="黑体" w:hAnsi="黑体"/>
          <w:b/>
          <w:bCs/>
          <w:color w:val="2E5496"/>
          <w:sz w:val="25"/>
          <w:szCs w:val="25"/>
        </w:rPr>
        <w:t xml:space="preserve">5.1 机构型式与工作要求</w:t>
      </w:r>
    </w:p>
    <w:p>
      <w:pPr>
        <w:spacing w:after="80" w:before="0" w:line="300"/>
      </w:pPr>
      <w:r>
        <w:rPr>
          <w:rFonts w:ascii="宋体" w:cs="宋体" w:eastAsia="宋体" w:hAnsi="宋体"/>
          <w:b w:val="false"/>
          <w:bCs w:val="false"/>
          <w:sz w:val="21"/>
          <w:szCs w:val="21"/>
        </w:rPr>
        <w:t xml:space="preserve">粉筛采用摆动从动件盘形凸轮机构加连杆，把凸轮的摆动转换为粉筛在台面上的水平往复。粉筛需“右移推卸到位 → 原地振动筛料 → 左退让位 → 加压期间长时间停在左侧”。其右移一次同时完成把上一循环成型片推离冲头与移到型腔上方两项功能。筛料时叠加幅值约 2~3mm 的微振动（由独立振动装置实现），不计入主位移曲线。</w:t>
      </w:r>
    </w:p>
    <w:p>
      <w:pPr>
        <w:pStyle w:val="Heading2"/>
        <w:spacing w:after="100" w:before="160"/>
      </w:pPr>
      <w:r>
        <w:rPr>
          <w:rFonts w:ascii="黑体" w:cs="黑体" w:eastAsia="黑体" w:hAnsi="黑体"/>
          <w:b/>
          <w:bCs/>
          <w:color w:val="2E5496"/>
          <w:sz w:val="25"/>
          <w:szCs w:val="25"/>
        </w:rPr>
        <w:t xml:space="preserve">5.2 位移规律（左侧退回位为 0，向右为正）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300"/>
        <w:gridCol w:w="2026"/>
      </w:tblGrid>
      <w:tr>
        <w:trPr>
          <w:tblHeader/>
        </w:trPr>
        <w:tc>
          <w:tcPr>
            <w:tcW w:type="dxa" w:w="26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阶段</w:t>
            </w:r>
          </w:p>
        </w:tc>
        <w:tc>
          <w:tcPr>
            <w:tcW w:type="dxa" w:w="21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主轴转角</w:t>
            </w:r>
          </w:p>
        </w:tc>
        <w:tc>
          <w:tcPr>
            <w:tcW w:type="dxa" w:w="23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位移变化</w:t>
            </w:r>
          </w:p>
        </w:tc>
        <w:tc>
          <w:tcPr>
            <w:tcW w:type="dxa" w:w="2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运动规律</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筛料（型腔上方）</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0°~90°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48（保持）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停歇＋微振动</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左退让位</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90°~120°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48 → 0</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左侧停歇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120°~290°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右移推卸</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290°~335°</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 → 48 mm</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摆线</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到位停歇</w:t>
            </w:r>
          </w:p>
        </w:tc>
        <w:tc>
          <w:tcPr>
            <w:tcW w:type="dxa" w:w="21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335°~360°</w:t>
            </w:r>
          </w:p>
        </w:tc>
        <w:tc>
          <w:tcPr>
            <w:tcW w:type="dxa" w:w="23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48（保持）</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停歇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参数</w:t>
            </w:r>
          </w:p>
        </w:tc>
        <w:tc>
          <w:tcPr>
            <w:tcW w:type="dxa" w:w="3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数值</w:t>
            </w:r>
          </w:p>
        </w:tc>
        <w:tc>
          <w:tcPr>
            <w:tcW w:type="dxa" w:w="3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备注</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水平行程 S</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48 mm</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取于 45~50 mm</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摆杆摆角 ψ</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20°（初拟）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尺寸综合阶段细化</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摆杆长 / 连杆长</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150 / 160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尺寸综合阶段细化</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凸轮基圆半径 r0</w:t>
            </w:r>
          </w:p>
        </w:tc>
        <w:tc>
          <w:tcPr>
            <w:tcW w:type="dxa" w:w="3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 50 mm（初拟）</w:t>
            </w:r>
          </w:p>
        </w:tc>
        <w:tc>
          <w:tcPr>
            <w:tcW w:type="dxa" w:w="3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按 [α]≤30° 校核</w:t>
            </w:r>
          </w:p>
        </w:tc>
      </w:tr>
    </w:tbl>
    <w:p>
      <w:pPr>
        <w:pStyle w:val="Heading1"/>
        <w:pageBreakBefore/>
      </w:pPr>
      <w:r>
        <w:rPr>
          <w:rFonts w:ascii="黑体" w:cs="黑体" w:eastAsia="黑体" w:hAnsi="黑体"/>
          <w:b/>
          <w:bCs/>
          <w:color w:val="1F3864"/>
          <w:sz w:val="30"/>
          <w:szCs w:val="30"/>
        </w:rPr>
        <w:t xml:space="preserve">六、整机运动循环图</w:t>
      </w:r>
    </w:p>
    <w:p>
      <w:pPr>
        <w:spacing w:after="80" w:before="0" w:line="300"/>
      </w:pPr>
      <w:r>
        <w:rPr>
          <w:rFonts w:ascii="宋体" w:cs="宋体" w:eastAsia="宋体" w:hAnsi="宋体"/>
          <w:b w:val="false"/>
          <w:bCs w:val="false"/>
          <w:sz w:val="21"/>
          <w:szCs w:val="21"/>
        </w:rPr>
        <w:t xml:space="preserve">以主轴一转 360°（周期 2.4 s）为横轴，三执行机构位移随主轴转角的关系如下图。各机构位移在一个周期内均闭合，相位配合满足工艺要求。</w:t>
      </w:r>
    </w:p>
    <w:p>
      <w:pPr>
        <w:spacing w:after="80" w:before="80"/>
        <w:jc w:val="center"/>
      </w:pPr>
      <w:r>
        <w:drawing>
          <wp:inline distT="0" distB="0" distL="0" distR="0">
            <wp:extent cx="5715000" cy="4676775"/>
            <wp:effectExtent t="0" r="0" b="0" l="0"/>
            <wp:docPr id="1" name="cycle" descr="三执行机构位移-主轴转角运动循环图" title="运动循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76775"/>
                    </a:xfrm>
                    <a:prstGeom prst="rect">
                      <a:avLst/>
                    </a:prstGeom>
                  </pic:spPr>
                </pic:pic>
              </a:graphicData>
            </a:graphic>
          </wp:inline>
        </w:drawing>
      </w:r>
    </w:p>
    <w:p>
      <w:pPr>
        <w:spacing w:after="160"/>
        <w:jc w:val="center"/>
      </w:pPr>
      <w:r>
        <w:rPr>
          <w:rFonts w:ascii="宋体" w:cs="宋体" w:eastAsia="宋体" w:hAnsi="宋体"/>
          <w:b w:val="false"/>
          <w:bCs w:val="false"/>
          <w:color w:val="555555"/>
          <w:sz w:val="18"/>
          <w:szCs w:val="18"/>
        </w:rPr>
        <w:t xml:space="preserve">图1  三执行机构运动循环图</w:t>
      </w:r>
    </w:p>
    <w:p>
      <w:pPr>
        <w:pStyle w:val="Heading2"/>
        <w:spacing w:after="100" w:before="160"/>
      </w:pPr>
      <w:r>
        <w:rPr>
          <w:rFonts w:ascii="黑体" w:cs="黑体" w:eastAsia="黑体" w:hAnsi="黑体"/>
          <w:b/>
          <w:bCs/>
          <w:color w:val="2E5496"/>
          <w:sz w:val="25"/>
          <w:szCs w:val="25"/>
        </w:rPr>
        <w:t xml:space="preserve">6.1 工艺阶段相位表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rPr>
          <w:tblHeader/>
        </w:trPr>
        <w:tc>
          <w:tcPr>
            <w:tcW w:type="dxa" w:w="15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阶段</w:t>
            </w:r>
          </w:p>
        </w:tc>
        <w:tc>
          <w:tcPr>
            <w:tcW w:type="dxa" w:w="15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主轴转角</w:t>
            </w:r>
          </w:p>
        </w:tc>
        <w:tc>
          <w:tcPr>
            <w:tcW w:type="dxa" w:w="2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上冲头</w:t>
            </w:r>
          </w:p>
        </w:tc>
        <w:tc>
          <w:tcPr>
            <w:tcW w:type="dxa" w:w="2000"/>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下冲头</w:t>
            </w:r>
          </w:p>
        </w:tc>
        <w:tc>
          <w:tcPr>
            <w:tcW w:type="dxa" w:w="2026"/>
            <w:tcBorders>
              <w:top w:val="single" w:color="888888" w:sz="4"/>
              <w:left w:val="single" w:color="888888" w:sz="4"/>
              <w:bottom w:val="single" w:color="888888" w:sz="4"/>
              <w:right w:val="single" w:color="888888" w:sz="4"/>
            </w:tcBorders>
            <w:shd w:fill="D9E2F3" w:val="clear"/>
            <w:tcMar>
              <w:top w:type="dxa" w:w="60"/>
              <w:left w:type="dxa" w:w="110"/>
              <w:bottom w:type="dxa" w:w="60"/>
              <w:right w:type="dxa" w:w="110"/>
            </w:tcMar>
            <w:vAlign w:val="center"/>
          </w:tcPr>
          <w:p>
            <w:pPr>
              <w:spacing w:after="0" w:line="276"/>
              <w:jc w:val="center"/>
            </w:pPr>
            <w:r>
              <w:rPr>
                <w:rFonts w:ascii="宋体" w:cs="宋体" w:eastAsia="宋体" w:hAnsi="宋体"/>
                <w:b/>
                <w:bCs/>
                <w:sz w:val="20"/>
                <w:szCs w:val="20"/>
              </w:rPr>
              <w:t xml:space="preserve">粉筛</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装料/筛料</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0°~90°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高位停歇</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装填位停歇</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型腔上方筛料</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下沉/左退</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90°~120°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高位停歇</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下沉至 −3</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左退 48→0</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加压</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120°~200°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下行 0→95 加压</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上升 −3→+5</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左侧停歇</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保压</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200°~240°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底部停歇保压</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+5 停歇保压</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左侧停歇</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退回/顶出</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240°~290°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退回 95→0（至300°）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上升 +5→+21 顶出</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左侧停歇</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推卸</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290°~335°</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退回毕，高位停歇</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+21 停歇，320°起下移</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右移 0→48 推卸</w:t>
            </w:r>
          </w:p>
        </w:tc>
      </w:tr>
      <w:tr>
        <w:trPr>
          <w:tblHeader w:val="false"/>
        </w:trPr>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left"/>
            </w:pPr>
            <w:r>
              <w:rPr>
                <w:rFonts w:ascii="宋体" w:cs="宋体" w:eastAsia="宋体" w:hAnsi="宋体"/>
                <w:b w:val="false"/>
                <w:bCs w:val="false"/>
                <w:sz w:val="20"/>
                <w:szCs w:val="20"/>
              </w:rPr>
              <w:t xml:space="preserve">复位</w:t>
            </w:r>
          </w:p>
        </w:tc>
        <w:tc>
          <w:tcPr>
            <w:tcW w:type="dxa" w:w="15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335°~360°</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高位停歇</w:t>
            </w:r>
          </w:p>
        </w:tc>
        <w:tc>
          <w:tcPr>
            <w:tcW w:type="dxa" w:w="2000"/>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下移至 0，复位毕</w:t>
            </w:r>
          </w:p>
        </w:tc>
        <w:tc>
          <w:tcPr>
            <w:tcW w:type="dxa" w:w="2026"/>
            <w:tcBorders>
              <w:top w:val="single" w:color="888888" w:sz="4"/>
              <w:left w:val="single" w:color="888888" w:sz="4"/>
              <w:bottom w:val="single" w:color="888888" w:sz="4"/>
              <w:right w:val="single" w:color="888888" w:sz="4"/>
            </w:tcBorders>
            <w:tcMar>
              <w:top w:type="dxa" w:w="60"/>
              <w:left w:type="dxa" w:w="110"/>
              <w:bottom w:type="dxa" w:w="60"/>
              <w:right w:type="dxa" w:w="110"/>
            </w:tcMar>
            <w:vAlign w:val="center"/>
          </w:tcPr>
          <w:p>
            <w:pPr>
              <w:spacing w:after="0" w:line="276"/>
              <w:jc w:val="center"/>
            </w:pPr>
            <w:r>
              <w:rPr>
                <w:rFonts w:ascii="宋体" w:cs="宋体" w:eastAsia="宋体" w:hAnsi="宋体"/>
                <w:b w:val="false"/>
                <w:bCs w:val="false"/>
                <w:sz w:val="20"/>
                <w:szCs w:val="20"/>
              </w:rPr>
              <w:t xml:space="preserve">到位停歇</w:t>
            </w:r>
          </w:p>
        </w:tc>
      </w:tr>
    </w:tbl>
    <w:p>
      <w:pPr>
        <w:spacing w:after="0" w:before="0" w:line="300"/>
      </w:pPr>
      <w:r>
        <w:rPr>
          <w:rFonts w:ascii="宋体" w:cs="宋体" w:eastAsia="宋体" w:hAnsi="宋体"/>
          <w:b w:val="false"/>
          <w:bCs w:val="false"/>
          <w:sz w:val="19"/>
          <w:szCs w:val="19"/>
        </w:rPr>
        <w:t xml:space="preserve">关键配合：下沉 3mm 在上冲头下压前完成（90°~120°）；保压段上、下冲头同时停歇对压（200°~240°）；下冲头顶出在上冲头退回之后，避免干涉；下冲头须等粉筛把片坯推离（推卸 290°~335°）后，于 320° 起下移复位。各相位经凸轮压力角校核后细化确定。</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b w:val="false"/>
        <w:bCs w:val="false"/>
        <w:sz w:val="18"/>
        <w:szCs w:val="18"/>
      </w:rPr>
      <w:t xml:space="preserve">第 </w:t>
    </w:r>
    <w:r>
      <w:rPr>
        <w:rFonts w:ascii="宋体" w:cs="宋体" w:eastAsia="宋体" w:hAnsi="宋体"/>
        <w:sz w:val="18"/>
        <w:szCs w:val="18"/>
      </w:rPr>
      <w:fldChar w:fldCharType="begin"/>
      <w:instrText xml:space="preserve">PAGE</w:instrText>
      <w:fldChar w:fldCharType="separate"/>
      <w:fldChar w:fldCharType="end"/>
    </w:r>
    <w:r>
      <w:rPr>
        <w:rFonts w:ascii="宋体" w:cs="宋体" w:eastAsia="宋体" w:hAnsi="宋体"/>
        <w:b w:val="false"/>
        <w:bCs w:val="false"/>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黑体" w:cs="黑体" w:eastAsia="黑体" w:hAnsi="黑体"/>
      <w:b/>
      <w:bCs/>
      <w:sz w:val="30"/>
      <w:szCs w:val="30"/>
    </w:rPr>
  </w:style>
  <w:style w:type="paragraph" w:styleId="Heading2">
    <w:name w:val="Heading 2"/>
    <w:basedOn w:val="Normal"/>
    <w:next w:val="Normal"/>
    <w:qFormat/>
    <w:pPr>
      <w:outlineLvl w:val="1"/>
    </w:pPr>
    <w:rPr>
      <w:rFonts w:ascii="黑体" w:cs="黑体" w:eastAsia="黑体" w:hAnsi="黑体"/>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4980490bc3f494c156f38c8f4a71c50405357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2026-06-07T04:01:35.445Z</dcterms:created>
  <dcterms:modified xsi:type="dcterms:W3CDTF">2026-06-07T04:01:35.457Z</dcterms:modified>
</cp:coreProperties>
</file>

<file path=docProps/custom.xml><?xml version="1.0" encoding="utf-8"?>
<Properties xmlns="http://schemas.openxmlformats.org/officeDocument/2006/custom-properties" xmlns:vt="http://schemas.openxmlformats.org/officeDocument/2006/docPropsVTypes"/>
</file>