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3F534" w14:textId="77777777" w:rsidR="00DF4E94" w:rsidRDefault="00000000">
      <w:pPr>
        <w:pStyle w:val="Heading1"/>
      </w:pPr>
      <w:r>
        <w:t>Accessibility Audit Summary Report</w:t>
      </w:r>
    </w:p>
    <w:p w14:paraId="1AA283DD" w14:textId="77777777" w:rsidR="00DF4E94" w:rsidRDefault="00000000">
      <w:pPr>
        <w:pStyle w:val="Heading2"/>
      </w:pPr>
      <w:r>
        <w:t>1. Project Overview</w:t>
      </w:r>
    </w:p>
    <w:p w14:paraId="67A9830F" w14:textId="77777777" w:rsidR="00DF4E94" w:rsidRDefault="00000000">
      <w:r>
        <w:t>App Name: Personal Portfolio Website</w:t>
      </w:r>
      <w:r>
        <w:br/>
        <w:t>URL: https://www.harrisonholt.dev</w:t>
      </w:r>
      <w:r>
        <w:br/>
        <w:t>Test Date: August 05, 2025</w:t>
      </w:r>
      <w:r>
        <w:br/>
        <w:t>Tester: Harrison Holt (DHS Trusted Tester certified)</w:t>
      </w:r>
      <w:r>
        <w:br/>
      </w:r>
    </w:p>
    <w:p w14:paraId="6D15C51E" w14:textId="77777777" w:rsidR="00DF4E94" w:rsidRDefault="00000000">
      <w:pPr>
        <w:pStyle w:val="Heading2"/>
      </w:pPr>
      <w:r>
        <w:t>2. Tools Used</w:t>
      </w:r>
    </w:p>
    <w:p w14:paraId="7737F499" w14:textId="5A8D1C63" w:rsidR="00DF4E94" w:rsidRDefault="00000000">
      <w:r>
        <w:t>Manual Tools:</w:t>
      </w:r>
      <w:r>
        <w:br/>
        <w:t>- ANDI (Accessible Name &amp; Description Inspector)</w:t>
      </w:r>
      <w:r>
        <w:br/>
        <w:t>- Keyboard Navigation Testing</w:t>
      </w:r>
      <w:r>
        <w:br/>
        <w:t>- Screen Reader (NVDA)</w:t>
      </w:r>
      <w:r>
        <w:br/>
      </w:r>
      <w:r>
        <w:br/>
        <w:t>Automated Tools:</w:t>
      </w:r>
      <w:r>
        <w:br/>
        <w:t>- Pa11y CLI</w:t>
      </w:r>
      <w:r>
        <w:br/>
        <w:t>- Axe DevTools</w:t>
      </w:r>
      <w:r>
        <w:br/>
        <w:t>- WAVE (WebAIM)</w:t>
      </w:r>
      <w:r>
        <w:br/>
        <w:t>- Lighthouse Accessibility Audit</w:t>
      </w:r>
    </w:p>
    <w:p w14:paraId="38AF9695" w14:textId="77777777" w:rsidR="00DF4E94" w:rsidRDefault="00000000">
      <w:pPr>
        <w:pStyle w:val="Heading2"/>
      </w:pPr>
      <w:r>
        <w:t>3. Tested Criteria Summary</w:t>
      </w:r>
    </w:p>
    <w:tbl>
      <w:tblPr>
        <w:tblStyle w:val="TableGrid"/>
        <w:tblW w:w="0" w:type="auto"/>
        <w:tblLook w:val="04A0" w:firstRow="1" w:lastRow="0" w:firstColumn="1" w:lastColumn="0" w:noHBand="0" w:noVBand="1"/>
      </w:tblPr>
      <w:tblGrid>
        <w:gridCol w:w="2880"/>
        <w:gridCol w:w="2880"/>
        <w:gridCol w:w="2880"/>
      </w:tblGrid>
      <w:tr w:rsidR="00DF4E94" w14:paraId="2C745A9E" w14:textId="77777777">
        <w:tc>
          <w:tcPr>
            <w:tcW w:w="2880" w:type="dxa"/>
          </w:tcPr>
          <w:p w14:paraId="4330957D" w14:textId="77777777" w:rsidR="00DF4E94" w:rsidRDefault="00000000">
            <w:r>
              <w:t>Category</w:t>
            </w:r>
          </w:p>
        </w:tc>
        <w:tc>
          <w:tcPr>
            <w:tcW w:w="2880" w:type="dxa"/>
          </w:tcPr>
          <w:p w14:paraId="39E3C190" w14:textId="77777777" w:rsidR="00DF4E94" w:rsidRDefault="00000000">
            <w:r>
              <w:t>Result</w:t>
            </w:r>
          </w:p>
        </w:tc>
        <w:tc>
          <w:tcPr>
            <w:tcW w:w="2880" w:type="dxa"/>
          </w:tcPr>
          <w:p w14:paraId="71859364" w14:textId="77777777" w:rsidR="00DF4E94" w:rsidRDefault="00000000">
            <w:r>
              <w:t>Notes</w:t>
            </w:r>
          </w:p>
        </w:tc>
      </w:tr>
      <w:tr w:rsidR="00DF4E94" w14:paraId="1FA12BD2" w14:textId="77777777">
        <w:tc>
          <w:tcPr>
            <w:tcW w:w="2880" w:type="dxa"/>
          </w:tcPr>
          <w:p w14:paraId="745C3705" w14:textId="6A013AA5" w:rsidR="00C20915" w:rsidRPr="00C20915" w:rsidRDefault="00C20915" w:rsidP="00C20915">
            <w:pPr>
              <w:rPr>
                <w:vanish/>
              </w:rPr>
            </w:pPr>
            <w:r w:rsidRPr="00C20915">
              <w:t>Keyboard Navigation (2.1.1, 2.4.3)</w:t>
            </w:r>
            <w:r w:rsidRPr="00C20915">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0915" w:rsidRPr="00C20915" w14:paraId="700AC91D" w14:textId="77777777" w:rsidTr="00C20915">
              <w:trPr>
                <w:tblCellSpacing w:w="15" w:type="dxa"/>
              </w:trPr>
              <w:tc>
                <w:tcPr>
                  <w:tcW w:w="0" w:type="auto"/>
                  <w:vAlign w:val="center"/>
                  <w:hideMark/>
                </w:tcPr>
                <w:p w14:paraId="10B7A392" w14:textId="77777777" w:rsidR="00C20915" w:rsidRPr="00C20915" w:rsidRDefault="00C20915" w:rsidP="00C20915">
                  <w:pPr>
                    <w:spacing w:after="0" w:line="240" w:lineRule="auto"/>
                  </w:pPr>
                </w:p>
              </w:tc>
            </w:tr>
          </w:tbl>
          <w:p w14:paraId="06C51979" w14:textId="77777777" w:rsidR="00C20915" w:rsidRDefault="00C20915"/>
        </w:tc>
        <w:tc>
          <w:tcPr>
            <w:tcW w:w="2880" w:type="dxa"/>
          </w:tcPr>
          <w:p w14:paraId="526EE1AA" w14:textId="56B69C4E" w:rsidR="00DF4E94" w:rsidRDefault="00000000">
            <w:r>
              <w:t>Pass</w:t>
            </w:r>
          </w:p>
        </w:tc>
        <w:tc>
          <w:tcPr>
            <w:tcW w:w="2880" w:type="dxa"/>
          </w:tcPr>
          <w:p w14:paraId="02D42522" w14:textId="77777777" w:rsidR="00DF4E94" w:rsidRDefault="00000000">
            <w:r>
              <w:t>All interactive elements reachable in logical order</w:t>
            </w:r>
          </w:p>
        </w:tc>
      </w:tr>
      <w:tr w:rsidR="00DF4E94" w14:paraId="14C24773" w14:textId="77777777">
        <w:tc>
          <w:tcPr>
            <w:tcW w:w="2880" w:type="dxa"/>
          </w:tcPr>
          <w:p w14:paraId="051AE00D" w14:textId="70C0B8A5" w:rsidR="00DF4E94" w:rsidRDefault="00C20915">
            <w:r w:rsidRPr="00C20915">
              <w:t>Focus Indicators (2.4.7)</w:t>
            </w:r>
          </w:p>
        </w:tc>
        <w:tc>
          <w:tcPr>
            <w:tcW w:w="2880" w:type="dxa"/>
          </w:tcPr>
          <w:p w14:paraId="73120526" w14:textId="543DD802" w:rsidR="00DF4E94" w:rsidRDefault="00000000">
            <w:r>
              <w:t>Pass</w:t>
            </w:r>
          </w:p>
        </w:tc>
        <w:tc>
          <w:tcPr>
            <w:tcW w:w="2880" w:type="dxa"/>
          </w:tcPr>
          <w:p w14:paraId="155C6603" w14:textId="77777777" w:rsidR="00DF4E94" w:rsidRDefault="00000000">
            <w:r>
              <w:t>Visible on all focusable elements</w:t>
            </w:r>
          </w:p>
        </w:tc>
      </w:tr>
      <w:tr w:rsidR="00DF4E94" w14:paraId="2EFE70F0" w14:textId="77777777">
        <w:tc>
          <w:tcPr>
            <w:tcW w:w="2880" w:type="dxa"/>
          </w:tcPr>
          <w:p w14:paraId="7C3BCFC1" w14:textId="66E40AC8" w:rsidR="00DF4E94" w:rsidRDefault="00C20915">
            <w:r w:rsidRPr="00C20915">
              <w:t>Color Contrast (1.4.3, 1.4.11)</w:t>
            </w:r>
            <w:r w:rsidRPr="00C20915">
              <w:tab/>
            </w:r>
          </w:p>
        </w:tc>
        <w:tc>
          <w:tcPr>
            <w:tcW w:w="2880" w:type="dxa"/>
          </w:tcPr>
          <w:p w14:paraId="1D9E1C2C" w14:textId="4ED0F518" w:rsidR="00DF4E94" w:rsidRDefault="00000000">
            <w:r>
              <w:t>Pass</w:t>
            </w:r>
          </w:p>
        </w:tc>
        <w:tc>
          <w:tcPr>
            <w:tcW w:w="2880" w:type="dxa"/>
          </w:tcPr>
          <w:p w14:paraId="55AB7D9A" w14:textId="77777777" w:rsidR="00DF4E94" w:rsidRDefault="00000000">
            <w:r>
              <w:t>Tested with ANDI and WAVE</w:t>
            </w:r>
          </w:p>
        </w:tc>
      </w:tr>
      <w:tr w:rsidR="00DF4E94" w14:paraId="71CF6350" w14:textId="77777777">
        <w:tc>
          <w:tcPr>
            <w:tcW w:w="2880" w:type="dxa"/>
          </w:tcPr>
          <w:p w14:paraId="723F618E" w14:textId="2482EAA0" w:rsidR="00DF4E94" w:rsidRDefault="00C20915">
            <w:r w:rsidRPr="00C20915">
              <w:t>Semantic HTML (1.3.1, 1.3.2)</w:t>
            </w:r>
          </w:p>
        </w:tc>
        <w:tc>
          <w:tcPr>
            <w:tcW w:w="2880" w:type="dxa"/>
          </w:tcPr>
          <w:p w14:paraId="048E7189" w14:textId="0548FA40" w:rsidR="00DF4E94" w:rsidRDefault="00000000">
            <w:r>
              <w:t>Pass</w:t>
            </w:r>
          </w:p>
        </w:tc>
        <w:tc>
          <w:tcPr>
            <w:tcW w:w="2880" w:type="dxa"/>
          </w:tcPr>
          <w:p w14:paraId="67A64C70" w14:textId="77777777" w:rsidR="00DF4E94" w:rsidRDefault="00000000">
            <w:r>
              <w:t>Proper headings, landmarks, and regions</w:t>
            </w:r>
          </w:p>
        </w:tc>
      </w:tr>
      <w:tr w:rsidR="00DF4E94" w14:paraId="4DD227FB" w14:textId="77777777">
        <w:tc>
          <w:tcPr>
            <w:tcW w:w="2880" w:type="dxa"/>
          </w:tcPr>
          <w:p w14:paraId="3C21F337" w14:textId="0D00C169" w:rsidR="00DF4E94" w:rsidRDefault="00C20915">
            <w:r w:rsidRPr="00C20915">
              <w:t>Labels / Names (1.1.1, 2.4.4, 4.1.2)</w:t>
            </w:r>
            <w:r w:rsidRPr="00C20915">
              <w:tab/>
            </w:r>
          </w:p>
        </w:tc>
        <w:tc>
          <w:tcPr>
            <w:tcW w:w="2880" w:type="dxa"/>
          </w:tcPr>
          <w:p w14:paraId="7D7C6842" w14:textId="7C47BC95" w:rsidR="00DF4E94" w:rsidRDefault="00000000">
            <w:r>
              <w:t>Pass</w:t>
            </w:r>
          </w:p>
        </w:tc>
        <w:tc>
          <w:tcPr>
            <w:tcW w:w="2880" w:type="dxa"/>
          </w:tcPr>
          <w:p w14:paraId="28B89FAB" w14:textId="77777777" w:rsidR="00DF4E94" w:rsidRDefault="00000000">
            <w:r>
              <w:t>All elements have accessible names or labels</w:t>
            </w:r>
          </w:p>
        </w:tc>
      </w:tr>
      <w:tr w:rsidR="00DF4E94" w14:paraId="29537E37" w14:textId="77777777">
        <w:tc>
          <w:tcPr>
            <w:tcW w:w="2880" w:type="dxa"/>
          </w:tcPr>
          <w:p w14:paraId="12549F41" w14:textId="4E58A780" w:rsidR="00DF4E94" w:rsidRDefault="00C20915">
            <w:r w:rsidRPr="00C20915">
              <w:t>ARIA Usage (4.1.2)</w:t>
            </w:r>
            <w:r w:rsidRPr="00C20915">
              <w:tab/>
            </w:r>
          </w:p>
        </w:tc>
        <w:tc>
          <w:tcPr>
            <w:tcW w:w="2880" w:type="dxa"/>
          </w:tcPr>
          <w:p w14:paraId="536E36A3" w14:textId="683DBD1F" w:rsidR="00DF4E94" w:rsidRDefault="00000000">
            <w:r>
              <w:t>N/A</w:t>
            </w:r>
          </w:p>
        </w:tc>
        <w:tc>
          <w:tcPr>
            <w:tcW w:w="2880" w:type="dxa"/>
          </w:tcPr>
          <w:p w14:paraId="4632E3A1" w14:textId="77777777" w:rsidR="00DF4E94" w:rsidRDefault="00000000">
            <w:r>
              <w:t>No ARIA needed or misused</w:t>
            </w:r>
          </w:p>
        </w:tc>
      </w:tr>
      <w:tr w:rsidR="00DF4E94" w14:paraId="189D6AC0" w14:textId="77777777">
        <w:tc>
          <w:tcPr>
            <w:tcW w:w="2880" w:type="dxa"/>
          </w:tcPr>
          <w:p w14:paraId="031DDEF3" w14:textId="75E3C130" w:rsidR="00DF4E94" w:rsidRDefault="00C20915">
            <w:r w:rsidRPr="00C20915">
              <w:t>Error Handling (3.3.1, 3.3.2)</w:t>
            </w:r>
            <w:r w:rsidRPr="00C20915">
              <w:tab/>
            </w:r>
          </w:p>
        </w:tc>
        <w:tc>
          <w:tcPr>
            <w:tcW w:w="2880" w:type="dxa"/>
          </w:tcPr>
          <w:p w14:paraId="2BFEB106" w14:textId="795F30D0" w:rsidR="00DF4E94" w:rsidRDefault="00000000">
            <w:r>
              <w:t>N/A</w:t>
            </w:r>
          </w:p>
        </w:tc>
        <w:tc>
          <w:tcPr>
            <w:tcW w:w="2880" w:type="dxa"/>
          </w:tcPr>
          <w:p w14:paraId="64D9F51E" w14:textId="77777777" w:rsidR="00DF4E94" w:rsidRDefault="00000000">
            <w:r>
              <w:t>No form elements present</w:t>
            </w:r>
          </w:p>
        </w:tc>
      </w:tr>
      <w:tr w:rsidR="00DF4E94" w14:paraId="36A495C3" w14:textId="77777777">
        <w:tc>
          <w:tcPr>
            <w:tcW w:w="2880" w:type="dxa"/>
          </w:tcPr>
          <w:p w14:paraId="6A14FBF9" w14:textId="70C96C5E" w:rsidR="00DF4E94" w:rsidRDefault="00C20915">
            <w:r w:rsidRPr="00C20915">
              <w:t>Responsive Zoom (1.4.4, 1.4.10)</w:t>
            </w:r>
            <w:r w:rsidRPr="00C20915">
              <w:tab/>
            </w:r>
          </w:p>
        </w:tc>
        <w:tc>
          <w:tcPr>
            <w:tcW w:w="2880" w:type="dxa"/>
          </w:tcPr>
          <w:p w14:paraId="42137073" w14:textId="429F0BFE" w:rsidR="00DF4E94" w:rsidRDefault="00000000">
            <w:r>
              <w:t>Pass</w:t>
            </w:r>
          </w:p>
        </w:tc>
        <w:tc>
          <w:tcPr>
            <w:tcW w:w="2880" w:type="dxa"/>
          </w:tcPr>
          <w:p w14:paraId="7ECDC251" w14:textId="77777777" w:rsidR="00DF4E94" w:rsidRDefault="00000000">
            <w:r>
              <w:t>Zoomed up to 400% without clipping or overflow</w:t>
            </w:r>
          </w:p>
        </w:tc>
      </w:tr>
      <w:tr w:rsidR="00DF4E94" w14:paraId="636510CC" w14:textId="77777777">
        <w:tc>
          <w:tcPr>
            <w:tcW w:w="2880" w:type="dxa"/>
          </w:tcPr>
          <w:p w14:paraId="631228E3" w14:textId="17E4EFD7" w:rsidR="00DF4E94" w:rsidRDefault="00C20915">
            <w:r w:rsidRPr="00C20915">
              <w:t>Screen Reader (1.3.1, 4.1.2)</w:t>
            </w:r>
            <w:r w:rsidRPr="00C20915">
              <w:tab/>
            </w:r>
          </w:p>
        </w:tc>
        <w:tc>
          <w:tcPr>
            <w:tcW w:w="2880" w:type="dxa"/>
          </w:tcPr>
          <w:p w14:paraId="4AB77E81" w14:textId="485513E5" w:rsidR="00DF4E94" w:rsidRDefault="00000000">
            <w:r>
              <w:t>Partial</w:t>
            </w:r>
          </w:p>
        </w:tc>
        <w:tc>
          <w:tcPr>
            <w:tcW w:w="2880" w:type="dxa"/>
          </w:tcPr>
          <w:p w14:paraId="7C7D063B" w14:textId="60C82130" w:rsidR="00DF4E94" w:rsidRDefault="00000000">
            <w:r>
              <w:t>Basic navigation verified with NVDA</w:t>
            </w:r>
          </w:p>
        </w:tc>
      </w:tr>
    </w:tbl>
    <w:p w14:paraId="37425C9E" w14:textId="77777777" w:rsidR="00DF4E94" w:rsidRDefault="00000000">
      <w:pPr>
        <w:pStyle w:val="Heading2"/>
      </w:pPr>
      <w:r>
        <w:t>4. Conclusion</w:t>
      </w:r>
    </w:p>
    <w:p w14:paraId="07E7F291" w14:textId="77777777" w:rsidR="00DF4E94" w:rsidRDefault="00000000">
      <w:r>
        <w:t>This application was tested using a combination of automated and manual tools based on WCAG 2.1 AA and DHS Trusted Tester methodology. No issues were found during testing. The site is fully navigable via keyboard, readable by screen readers, and meets the accessibility requirements for color contrast, semantic structure, and input labeling.</w:t>
      </w:r>
      <w:r>
        <w:br/>
      </w:r>
    </w:p>
    <w:sectPr w:rsidR="00DF4E94" w:rsidSect="00115D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544783">
    <w:abstractNumId w:val="8"/>
  </w:num>
  <w:num w:numId="2" w16cid:durableId="1748113540">
    <w:abstractNumId w:val="6"/>
  </w:num>
  <w:num w:numId="3" w16cid:durableId="67730916">
    <w:abstractNumId w:val="5"/>
  </w:num>
  <w:num w:numId="4" w16cid:durableId="518734801">
    <w:abstractNumId w:val="4"/>
  </w:num>
  <w:num w:numId="5" w16cid:durableId="531501863">
    <w:abstractNumId w:val="7"/>
  </w:num>
  <w:num w:numId="6" w16cid:durableId="1679044368">
    <w:abstractNumId w:val="3"/>
  </w:num>
  <w:num w:numId="7" w16cid:durableId="1160539773">
    <w:abstractNumId w:val="2"/>
  </w:num>
  <w:num w:numId="8" w16cid:durableId="1822112276">
    <w:abstractNumId w:val="1"/>
  </w:num>
  <w:num w:numId="9" w16cid:durableId="162256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D70"/>
    <w:rsid w:val="0015074B"/>
    <w:rsid w:val="0029639D"/>
    <w:rsid w:val="00326F90"/>
    <w:rsid w:val="007C0B67"/>
    <w:rsid w:val="00AA1D8D"/>
    <w:rsid w:val="00B47730"/>
    <w:rsid w:val="00C20915"/>
    <w:rsid w:val="00C429D4"/>
    <w:rsid w:val="00CB0664"/>
    <w:rsid w:val="00DF4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7DC2D"/>
  <w14:defaultImageDpi w14:val="300"/>
  <w15:docId w15:val="{E792C4B3-AB59-4203-BFC1-78955FF1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862">
      <w:bodyDiv w:val="1"/>
      <w:marLeft w:val="0"/>
      <w:marRight w:val="0"/>
      <w:marTop w:val="0"/>
      <w:marBottom w:val="0"/>
      <w:divBdr>
        <w:top w:val="none" w:sz="0" w:space="0" w:color="auto"/>
        <w:left w:val="none" w:sz="0" w:space="0" w:color="auto"/>
        <w:bottom w:val="none" w:sz="0" w:space="0" w:color="auto"/>
        <w:right w:val="none" w:sz="0" w:space="0" w:color="auto"/>
      </w:divBdr>
    </w:div>
    <w:div w:id="559706768">
      <w:bodyDiv w:val="1"/>
      <w:marLeft w:val="0"/>
      <w:marRight w:val="0"/>
      <w:marTop w:val="0"/>
      <w:marBottom w:val="0"/>
      <w:divBdr>
        <w:top w:val="none" w:sz="0" w:space="0" w:color="auto"/>
        <w:left w:val="none" w:sz="0" w:space="0" w:color="auto"/>
        <w:bottom w:val="none" w:sz="0" w:space="0" w:color="auto"/>
        <w:right w:val="none" w:sz="0" w:space="0" w:color="auto"/>
      </w:divBdr>
    </w:div>
    <w:div w:id="872229854">
      <w:bodyDiv w:val="1"/>
      <w:marLeft w:val="0"/>
      <w:marRight w:val="0"/>
      <w:marTop w:val="0"/>
      <w:marBottom w:val="0"/>
      <w:divBdr>
        <w:top w:val="none" w:sz="0" w:space="0" w:color="auto"/>
        <w:left w:val="none" w:sz="0" w:space="0" w:color="auto"/>
        <w:bottom w:val="none" w:sz="0" w:space="0" w:color="auto"/>
        <w:right w:val="none" w:sz="0" w:space="0" w:color="auto"/>
      </w:divBdr>
    </w:div>
    <w:div w:id="901796367">
      <w:bodyDiv w:val="1"/>
      <w:marLeft w:val="0"/>
      <w:marRight w:val="0"/>
      <w:marTop w:val="0"/>
      <w:marBottom w:val="0"/>
      <w:divBdr>
        <w:top w:val="none" w:sz="0" w:space="0" w:color="auto"/>
        <w:left w:val="none" w:sz="0" w:space="0" w:color="auto"/>
        <w:bottom w:val="none" w:sz="0" w:space="0" w:color="auto"/>
        <w:right w:val="none" w:sz="0" w:space="0" w:color="auto"/>
      </w:divBdr>
    </w:div>
    <w:div w:id="974483365">
      <w:bodyDiv w:val="1"/>
      <w:marLeft w:val="0"/>
      <w:marRight w:val="0"/>
      <w:marTop w:val="0"/>
      <w:marBottom w:val="0"/>
      <w:divBdr>
        <w:top w:val="none" w:sz="0" w:space="0" w:color="auto"/>
        <w:left w:val="none" w:sz="0" w:space="0" w:color="auto"/>
        <w:bottom w:val="none" w:sz="0" w:space="0" w:color="auto"/>
        <w:right w:val="none" w:sz="0" w:space="0" w:color="auto"/>
      </w:divBdr>
    </w:div>
    <w:div w:id="1040471644">
      <w:bodyDiv w:val="1"/>
      <w:marLeft w:val="0"/>
      <w:marRight w:val="0"/>
      <w:marTop w:val="0"/>
      <w:marBottom w:val="0"/>
      <w:divBdr>
        <w:top w:val="none" w:sz="0" w:space="0" w:color="auto"/>
        <w:left w:val="none" w:sz="0" w:space="0" w:color="auto"/>
        <w:bottom w:val="none" w:sz="0" w:space="0" w:color="auto"/>
        <w:right w:val="none" w:sz="0" w:space="0" w:color="auto"/>
      </w:divBdr>
    </w:div>
    <w:div w:id="1073816303">
      <w:bodyDiv w:val="1"/>
      <w:marLeft w:val="0"/>
      <w:marRight w:val="0"/>
      <w:marTop w:val="0"/>
      <w:marBottom w:val="0"/>
      <w:divBdr>
        <w:top w:val="none" w:sz="0" w:space="0" w:color="auto"/>
        <w:left w:val="none" w:sz="0" w:space="0" w:color="auto"/>
        <w:bottom w:val="none" w:sz="0" w:space="0" w:color="auto"/>
        <w:right w:val="none" w:sz="0" w:space="0" w:color="auto"/>
      </w:divBdr>
    </w:div>
    <w:div w:id="1115632632">
      <w:bodyDiv w:val="1"/>
      <w:marLeft w:val="0"/>
      <w:marRight w:val="0"/>
      <w:marTop w:val="0"/>
      <w:marBottom w:val="0"/>
      <w:divBdr>
        <w:top w:val="none" w:sz="0" w:space="0" w:color="auto"/>
        <w:left w:val="none" w:sz="0" w:space="0" w:color="auto"/>
        <w:bottom w:val="none" w:sz="0" w:space="0" w:color="auto"/>
        <w:right w:val="none" w:sz="0" w:space="0" w:color="auto"/>
      </w:divBdr>
    </w:div>
    <w:div w:id="1241208546">
      <w:bodyDiv w:val="1"/>
      <w:marLeft w:val="0"/>
      <w:marRight w:val="0"/>
      <w:marTop w:val="0"/>
      <w:marBottom w:val="0"/>
      <w:divBdr>
        <w:top w:val="none" w:sz="0" w:space="0" w:color="auto"/>
        <w:left w:val="none" w:sz="0" w:space="0" w:color="auto"/>
        <w:bottom w:val="none" w:sz="0" w:space="0" w:color="auto"/>
        <w:right w:val="none" w:sz="0" w:space="0" w:color="auto"/>
      </w:divBdr>
    </w:div>
    <w:div w:id="1462074755">
      <w:bodyDiv w:val="1"/>
      <w:marLeft w:val="0"/>
      <w:marRight w:val="0"/>
      <w:marTop w:val="0"/>
      <w:marBottom w:val="0"/>
      <w:divBdr>
        <w:top w:val="none" w:sz="0" w:space="0" w:color="auto"/>
        <w:left w:val="none" w:sz="0" w:space="0" w:color="auto"/>
        <w:bottom w:val="none" w:sz="0" w:space="0" w:color="auto"/>
        <w:right w:val="none" w:sz="0" w:space="0" w:color="auto"/>
      </w:divBdr>
    </w:div>
    <w:div w:id="1522355383">
      <w:bodyDiv w:val="1"/>
      <w:marLeft w:val="0"/>
      <w:marRight w:val="0"/>
      <w:marTop w:val="0"/>
      <w:marBottom w:val="0"/>
      <w:divBdr>
        <w:top w:val="none" w:sz="0" w:space="0" w:color="auto"/>
        <w:left w:val="none" w:sz="0" w:space="0" w:color="auto"/>
        <w:bottom w:val="none" w:sz="0" w:space="0" w:color="auto"/>
        <w:right w:val="none" w:sz="0" w:space="0" w:color="auto"/>
      </w:divBdr>
    </w:div>
    <w:div w:id="1568539474">
      <w:bodyDiv w:val="1"/>
      <w:marLeft w:val="0"/>
      <w:marRight w:val="0"/>
      <w:marTop w:val="0"/>
      <w:marBottom w:val="0"/>
      <w:divBdr>
        <w:top w:val="none" w:sz="0" w:space="0" w:color="auto"/>
        <w:left w:val="none" w:sz="0" w:space="0" w:color="auto"/>
        <w:bottom w:val="none" w:sz="0" w:space="0" w:color="auto"/>
        <w:right w:val="none" w:sz="0" w:space="0" w:color="auto"/>
      </w:divBdr>
    </w:div>
    <w:div w:id="1617058499">
      <w:bodyDiv w:val="1"/>
      <w:marLeft w:val="0"/>
      <w:marRight w:val="0"/>
      <w:marTop w:val="0"/>
      <w:marBottom w:val="0"/>
      <w:divBdr>
        <w:top w:val="none" w:sz="0" w:space="0" w:color="auto"/>
        <w:left w:val="none" w:sz="0" w:space="0" w:color="auto"/>
        <w:bottom w:val="none" w:sz="0" w:space="0" w:color="auto"/>
        <w:right w:val="none" w:sz="0" w:space="0" w:color="auto"/>
      </w:divBdr>
    </w:div>
    <w:div w:id="1883977958">
      <w:bodyDiv w:val="1"/>
      <w:marLeft w:val="0"/>
      <w:marRight w:val="0"/>
      <w:marTop w:val="0"/>
      <w:marBottom w:val="0"/>
      <w:divBdr>
        <w:top w:val="none" w:sz="0" w:space="0" w:color="auto"/>
        <w:left w:val="none" w:sz="0" w:space="0" w:color="auto"/>
        <w:bottom w:val="none" w:sz="0" w:space="0" w:color="auto"/>
        <w:right w:val="none" w:sz="0" w:space="0" w:color="auto"/>
      </w:divBdr>
    </w:div>
    <w:div w:id="1990473678">
      <w:bodyDiv w:val="1"/>
      <w:marLeft w:val="0"/>
      <w:marRight w:val="0"/>
      <w:marTop w:val="0"/>
      <w:marBottom w:val="0"/>
      <w:divBdr>
        <w:top w:val="none" w:sz="0" w:space="0" w:color="auto"/>
        <w:left w:val="none" w:sz="0" w:space="0" w:color="auto"/>
        <w:bottom w:val="none" w:sz="0" w:space="0" w:color="auto"/>
        <w:right w:val="none" w:sz="0" w:space="0" w:color="auto"/>
      </w:divBdr>
    </w:div>
    <w:div w:id="2046981235">
      <w:bodyDiv w:val="1"/>
      <w:marLeft w:val="0"/>
      <w:marRight w:val="0"/>
      <w:marTop w:val="0"/>
      <w:marBottom w:val="0"/>
      <w:divBdr>
        <w:top w:val="none" w:sz="0" w:space="0" w:color="auto"/>
        <w:left w:val="none" w:sz="0" w:space="0" w:color="auto"/>
        <w:bottom w:val="none" w:sz="0" w:space="0" w:color="auto"/>
        <w:right w:val="none" w:sz="0" w:space="0" w:color="auto"/>
      </w:divBdr>
    </w:div>
    <w:div w:id="2068259159">
      <w:bodyDiv w:val="1"/>
      <w:marLeft w:val="0"/>
      <w:marRight w:val="0"/>
      <w:marTop w:val="0"/>
      <w:marBottom w:val="0"/>
      <w:divBdr>
        <w:top w:val="none" w:sz="0" w:space="0" w:color="auto"/>
        <w:left w:val="none" w:sz="0" w:space="0" w:color="auto"/>
        <w:bottom w:val="none" w:sz="0" w:space="0" w:color="auto"/>
        <w:right w:val="none" w:sz="0" w:space="0" w:color="auto"/>
      </w:divBdr>
    </w:div>
    <w:div w:id="2090811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HarryHam Holt</cp:lastModifiedBy>
  <cp:revision>4</cp:revision>
  <dcterms:created xsi:type="dcterms:W3CDTF">2013-12-23T23:15:00Z</dcterms:created>
  <dcterms:modified xsi:type="dcterms:W3CDTF">2025-08-05T19:11:00Z</dcterms:modified>
  <cp:category/>
</cp:coreProperties>
</file>