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226"/>
        <w:gridCol w:w="937"/>
        <w:gridCol w:w="1185"/>
        <w:gridCol w:w="1872"/>
        <w:gridCol w:w="2073"/>
        <w:gridCol w:w="4009"/>
      </w:tblGrid>
      <w:tr w:rsidR="00FE6E2C" w:rsidRPr="00142CF5" w14:paraId="0649FA0B" w14:textId="1B8AB371" w:rsidTr="00F20FA1">
        <w:tc>
          <w:tcPr>
            <w:tcW w:w="1517" w:type="dxa"/>
          </w:tcPr>
          <w:p w14:paraId="75789BC4" w14:textId="77777777" w:rsidR="00B146D6" w:rsidRPr="00142CF5" w:rsidRDefault="00B146D6" w:rsidP="00FE6E2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42CF5">
              <w:rPr>
                <w:rFonts w:asciiTheme="majorHAnsi" w:hAnsiTheme="majorHAnsi" w:cstheme="majorHAnsi"/>
                <w:b/>
                <w:bCs/>
              </w:rPr>
              <w:t>Course Detail</w:t>
            </w:r>
          </w:p>
        </w:tc>
        <w:tc>
          <w:tcPr>
            <w:tcW w:w="1268" w:type="dxa"/>
          </w:tcPr>
          <w:p w14:paraId="2EFC94B5" w14:textId="68D4BEF6" w:rsidR="00B146D6" w:rsidRPr="00142CF5" w:rsidRDefault="00B146D6" w:rsidP="00FE6E2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42CF5">
              <w:rPr>
                <w:rFonts w:asciiTheme="majorHAnsi" w:hAnsiTheme="majorHAnsi" w:cstheme="majorHAnsi"/>
                <w:b/>
                <w:bCs/>
              </w:rPr>
              <w:t>Start Date</w:t>
            </w:r>
          </w:p>
        </w:tc>
        <w:tc>
          <w:tcPr>
            <w:tcW w:w="1080" w:type="dxa"/>
          </w:tcPr>
          <w:p w14:paraId="2AE1A9D0" w14:textId="6398502D" w:rsidR="00B146D6" w:rsidRPr="00142CF5" w:rsidRDefault="00B146D6" w:rsidP="00FE6E2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42CF5">
              <w:rPr>
                <w:rFonts w:asciiTheme="majorHAnsi" w:hAnsiTheme="majorHAnsi" w:cstheme="majorHAnsi"/>
                <w:b/>
                <w:bCs/>
              </w:rPr>
              <w:t>Length</w:t>
            </w:r>
          </w:p>
        </w:tc>
        <w:tc>
          <w:tcPr>
            <w:tcW w:w="1080" w:type="dxa"/>
          </w:tcPr>
          <w:p w14:paraId="2E3C6409" w14:textId="3271C73D" w:rsidR="00B146D6" w:rsidRPr="00142CF5" w:rsidRDefault="00B146D6" w:rsidP="00FE6E2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42CF5">
              <w:rPr>
                <w:rFonts w:asciiTheme="majorHAnsi" w:hAnsiTheme="majorHAnsi" w:cstheme="majorHAnsi"/>
                <w:b/>
                <w:bCs/>
              </w:rPr>
              <w:t>Focus Area</w:t>
            </w:r>
          </w:p>
        </w:tc>
        <w:tc>
          <w:tcPr>
            <w:tcW w:w="1350" w:type="dxa"/>
          </w:tcPr>
          <w:p w14:paraId="5DD66E15" w14:textId="30A57457" w:rsidR="00B146D6" w:rsidRPr="00142CF5" w:rsidRDefault="00B146D6" w:rsidP="00FE6E2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42CF5">
              <w:rPr>
                <w:rFonts w:asciiTheme="majorHAnsi" w:hAnsiTheme="majorHAnsi" w:cstheme="majorHAnsi"/>
                <w:b/>
                <w:bCs/>
              </w:rPr>
              <w:t>Modality</w:t>
            </w:r>
          </w:p>
        </w:tc>
        <w:tc>
          <w:tcPr>
            <w:tcW w:w="1170" w:type="dxa"/>
          </w:tcPr>
          <w:p w14:paraId="6BD7BE21" w14:textId="14B9CFA9" w:rsidR="00B146D6" w:rsidRPr="00142CF5" w:rsidRDefault="00B146D6" w:rsidP="00FE6E2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42CF5">
              <w:rPr>
                <w:rFonts w:asciiTheme="majorHAnsi" w:hAnsiTheme="majorHAnsi" w:cstheme="majorHAnsi"/>
                <w:b/>
                <w:bCs/>
              </w:rPr>
              <w:t>Fee</w:t>
            </w:r>
          </w:p>
        </w:tc>
        <w:tc>
          <w:tcPr>
            <w:tcW w:w="5485" w:type="dxa"/>
          </w:tcPr>
          <w:p w14:paraId="3312B5F7" w14:textId="5B8B440E" w:rsidR="00B146D6" w:rsidRPr="00142CF5" w:rsidRDefault="00B146D6" w:rsidP="00FE6E2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42CF5">
              <w:rPr>
                <w:rFonts w:asciiTheme="majorHAnsi" w:hAnsiTheme="majorHAnsi" w:cstheme="majorHAnsi"/>
                <w:b/>
                <w:bCs/>
              </w:rPr>
              <w:t>Outcome</w:t>
            </w:r>
          </w:p>
        </w:tc>
      </w:tr>
      <w:tr w:rsidR="00FE6E2C" w:rsidRPr="00FE6E2C" w14:paraId="5BC74A63" w14:textId="6FDB9C3E" w:rsidTr="00F20FA1">
        <w:tc>
          <w:tcPr>
            <w:tcW w:w="1517" w:type="dxa"/>
          </w:tcPr>
          <w:p w14:paraId="5F0A2660" w14:textId="448C3890" w:rsidR="00B146D6" w:rsidRPr="00FE6E2C" w:rsidRDefault="00B146D6" w:rsidP="00B146D6">
            <w:pPr>
              <w:shd w:val="clear" w:color="auto" w:fill="FFFFFF"/>
              <w:spacing w:after="375"/>
              <w:outlineLvl w:val="1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B146D6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Beirut Valves: 1st Structural Cardiology Conference</w:t>
            </w:r>
          </w:p>
        </w:tc>
        <w:tc>
          <w:tcPr>
            <w:tcW w:w="1268" w:type="dxa"/>
          </w:tcPr>
          <w:p w14:paraId="236F1B6D" w14:textId="6DDEBA98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br/>
            </w:r>
            <w:r w:rsidRPr="00FE6E2C">
              <w:rPr>
                <w:rFonts w:asciiTheme="majorHAnsi" w:hAnsiTheme="majorHAnsi" w:cstheme="majorHAnsi"/>
                <w:shd w:val="clear" w:color="auto" w:fill="FFFFFF"/>
              </w:rPr>
              <w:t>Friday, September 22, 2023 @ 10:30 AM</w:t>
            </w:r>
          </w:p>
        </w:tc>
        <w:tc>
          <w:tcPr>
            <w:tcW w:w="1080" w:type="dxa"/>
          </w:tcPr>
          <w:p w14:paraId="787BE34F" w14:textId="1AFA694F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2 Days</w:t>
            </w:r>
          </w:p>
        </w:tc>
        <w:tc>
          <w:tcPr>
            <w:tcW w:w="1080" w:type="dxa"/>
          </w:tcPr>
          <w:p w14:paraId="43CC4F2D" w14:textId="215B9336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B146D6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Cardiology</w:t>
            </w:r>
          </w:p>
        </w:tc>
        <w:tc>
          <w:tcPr>
            <w:tcW w:w="1350" w:type="dxa"/>
          </w:tcPr>
          <w:p w14:paraId="10064665" w14:textId="1891CF9B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 xml:space="preserve">On-site - </w:t>
            </w:r>
            <w:r w:rsidRPr="00FE6E2C">
              <w:rPr>
                <w:rFonts w:asciiTheme="majorHAnsi" w:hAnsiTheme="majorHAnsi" w:cstheme="majorHAnsi"/>
                <w:shd w:val="clear" w:color="auto" w:fill="FFFFFF"/>
              </w:rPr>
              <w:t>Halim and Aida Daniel ACC Building, American University of Beirut, Lebanon.</w:t>
            </w:r>
          </w:p>
        </w:tc>
        <w:tc>
          <w:tcPr>
            <w:tcW w:w="1170" w:type="dxa"/>
          </w:tcPr>
          <w:p w14:paraId="4E327883" w14:textId="3AC721DF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 xml:space="preserve">Free - </w:t>
            </w:r>
            <w:r w:rsidRPr="00FE6E2C">
              <w:rPr>
                <w:rFonts w:asciiTheme="majorHAnsi" w:hAnsiTheme="majorHAnsi" w:cstheme="majorHAnsi"/>
                <w:shd w:val="clear" w:color="auto" w:fill="FFFFFF"/>
              </w:rPr>
              <w:t>This activity has been approved for </w:t>
            </w:r>
            <w:r w:rsidRPr="00FE6E2C">
              <w:rPr>
                <w:rStyle w:val="Emphasis"/>
                <w:rFonts w:asciiTheme="majorHAnsi" w:hAnsiTheme="majorHAnsi" w:cstheme="majorHAnsi"/>
                <w:shd w:val="clear" w:color="auto" w:fill="FFFFFF"/>
              </w:rPr>
              <w:t xml:space="preserve">AMA PRA Category 1 </w:t>
            </w:r>
            <w:proofErr w:type="spellStart"/>
            <w:r w:rsidRPr="00FE6E2C">
              <w:rPr>
                <w:rStyle w:val="Emphasis"/>
                <w:rFonts w:asciiTheme="majorHAnsi" w:hAnsiTheme="majorHAnsi" w:cstheme="majorHAnsi"/>
                <w:shd w:val="clear" w:color="auto" w:fill="FFFFFF"/>
              </w:rPr>
              <w:t>Credit</w:t>
            </w:r>
            <w:r w:rsidRPr="00FE6E2C">
              <w:rPr>
                <w:rStyle w:val="Emphasis"/>
                <w:rFonts w:asciiTheme="majorHAnsi" w:hAnsiTheme="majorHAnsi" w:cstheme="majorHAnsi"/>
                <w:shd w:val="clear" w:color="auto" w:fill="FFFFFF"/>
                <w:vertAlign w:val="superscript"/>
              </w:rPr>
              <w:t>TM</w:t>
            </w:r>
            <w:proofErr w:type="spellEnd"/>
          </w:p>
        </w:tc>
        <w:tc>
          <w:tcPr>
            <w:tcW w:w="5485" w:type="dxa"/>
          </w:tcPr>
          <w:p w14:paraId="5705FCB8" w14:textId="4FC0210C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  <w:shd w:val="clear" w:color="auto" w:fill="FFFFFF"/>
              </w:rPr>
              <w:t xml:space="preserve">The main </w:t>
            </w:r>
            <w:r w:rsidR="00142CF5" w:rsidRPr="00FE6E2C">
              <w:rPr>
                <w:rFonts w:asciiTheme="majorHAnsi" w:hAnsiTheme="majorHAnsi" w:cstheme="majorHAnsi"/>
                <w:shd w:val="clear" w:color="auto" w:fill="FFFFFF"/>
              </w:rPr>
              <w:t>objective</w:t>
            </w:r>
            <w:r w:rsidRPr="00FE6E2C">
              <w:rPr>
                <w:rFonts w:asciiTheme="majorHAnsi" w:hAnsiTheme="majorHAnsi" w:cstheme="majorHAnsi"/>
                <w:shd w:val="clear" w:color="auto" w:fill="FFFFFF"/>
              </w:rPr>
              <w:t xml:space="preserve"> of this course is to promote awareness, advance knowledge on transcatheter heart therapies and innovate to reduce the burden of heart valve disease with a global and multidisciplinary approach.</w:t>
            </w:r>
          </w:p>
        </w:tc>
      </w:tr>
      <w:tr w:rsidR="00FE6E2C" w:rsidRPr="00FE6E2C" w14:paraId="0E035729" w14:textId="1BBD04F9" w:rsidTr="00F20FA1">
        <w:tc>
          <w:tcPr>
            <w:tcW w:w="1517" w:type="dxa"/>
          </w:tcPr>
          <w:p w14:paraId="6B63F948" w14:textId="77777777" w:rsidR="00B146D6" w:rsidRPr="00FE6E2C" w:rsidRDefault="00B146D6" w:rsidP="00B146D6">
            <w:pPr>
              <w:pStyle w:val="Heading2"/>
              <w:shd w:val="clear" w:color="auto" w:fill="FFFFFF"/>
              <w:spacing w:before="0" w:beforeAutospacing="0" w:after="375" w:afterAutospacing="0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E6E2C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>Immunotherapy in Urothelial Carcinoma Series: Muscle-Invasive Bladder Cancer - Session 3</w:t>
            </w:r>
          </w:p>
          <w:p w14:paraId="077D8C90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68" w:type="dxa"/>
          </w:tcPr>
          <w:p w14:paraId="7686268F" w14:textId="1EA4A5FA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  <w:shd w:val="clear" w:color="auto" w:fill="FFFFFF"/>
              </w:rPr>
              <w:t>Tuesday, September 5, 2023 @ 7:00 PM</w:t>
            </w:r>
          </w:p>
        </w:tc>
        <w:tc>
          <w:tcPr>
            <w:tcW w:w="1080" w:type="dxa"/>
          </w:tcPr>
          <w:p w14:paraId="13822946" w14:textId="749F5656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One-day</w:t>
            </w:r>
          </w:p>
        </w:tc>
        <w:tc>
          <w:tcPr>
            <w:tcW w:w="1080" w:type="dxa"/>
          </w:tcPr>
          <w:p w14:paraId="03761682" w14:textId="5EF1881E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Oncology</w:t>
            </w:r>
          </w:p>
        </w:tc>
        <w:tc>
          <w:tcPr>
            <w:tcW w:w="1350" w:type="dxa"/>
          </w:tcPr>
          <w:p w14:paraId="644A35EB" w14:textId="77D89288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Online</w:t>
            </w:r>
            <w:r w:rsidR="00142CF5">
              <w:rPr>
                <w:rFonts w:asciiTheme="majorHAnsi" w:hAnsiTheme="majorHAnsi" w:cstheme="majorHAnsi"/>
              </w:rPr>
              <w:t>-</w:t>
            </w:r>
            <w:r w:rsidR="00302977">
              <w:rPr>
                <w:rFonts w:asciiTheme="majorHAnsi" w:hAnsiTheme="majorHAnsi" w:cstheme="majorHAnsi"/>
              </w:rPr>
              <w:t xml:space="preserve"> Zoom</w:t>
            </w:r>
          </w:p>
        </w:tc>
        <w:tc>
          <w:tcPr>
            <w:tcW w:w="1170" w:type="dxa"/>
          </w:tcPr>
          <w:p w14:paraId="7A7DBC72" w14:textId="5E8CFEF6" w:rsidR="00B146D6" w:rsidRPr="00FE6E2C" w:rsidRDefault="00B146D6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Free</w:t>
            </w:r>
          </w:p>
        </w:tc>
        <w:tc>
          <w:tcPr>
            <w:tcW w:w="5485" w:type="dxa"/>
          </w:tcPr>
          <w:p w14:paraId="50676BA1" w14:textId="4FA706F1" w:rsidR="00B146D6" w:rsidRPr="00B146D6" w:rsidRDefault="00B146D6" w:rsidP="00B146D6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B146D6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The purpose of these educational workshop series is to increase healthcare professionals' knowledge of evidence-based treatment options for </w:t>
            </w:r>
            <w:r w:rsidR="006F1747" w:rsidRPr="00FE6E2C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locally advanced</w:t>
            </w:r>
            <w:r w:rsidRPr="00B146D6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 and metastatic urothelial carcinoma and strengthen capacity for prospective clinical data collection and future collaborative research.</w:t>
            </w:r>
          </w:p>
          <w:p w14:paraId="3D748E09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</w:tr>
      <w:tr w:rsidR="00FE6E2C" w:rsidRPr="00FE6E2C" w14:paraId="365979B7" w14:textId="3B79D758" w:rsidTr="00F20FA1">
        <w:tc>
          <w:tcPr>
            <w:tcW w:w="1517" w:type="dxa"/>
          </w:tcPr>
          <w:p w14:paraId="31336AC1" w14:textId="7D873D7D" w:rsidR="00B146D6" w:rsidRPr="00FE6E2C" w:rsidRDefault="00B146D6" w:rsidP="00B146D6">
            <w:pPr>
              <w:pStyle w:val="Heading2"/>
              <w:shd w:val="clear" w:color="auto" w:fill="FFFFFF"/>
              <w:spacing w:before="0" w:beforeAutospacing="0" w:after="375" w:afterAutospacing="0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E6E2C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>The 4th Biennial Middle East Neuro-Oncology Conference</w:t>
            </w:r>
          </w:p>
        </w:tc>
        <w:tc>
          <w:tcPr>
            <w:tcW w:w="1268" w:type="dxa"/>
          </w:tcPr>
          <w:p w14:paraId="1C93440F" w14:textId="2AA1A0D6" w:rsidR="00B146D6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  <w:shd w:val="clear" w:color="auto" w:fill="FFFFFF"/>
              </w:rPr>
              <w:t>Friday, October 6, 2023 @ 12:00 PM</w:t>
            </w:r>
          </w:p>
        </w:tc>
        <w:tc>
          <w:tcPr>
            <w:tcW w:w="1080" w:type="dxa"/>
          </w:tcPr>
          <w:p w14:paraId="58A6B409" w14:textId="4892D46F" w:rsidR="00B146D6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2 - Day</w:t>
            </w:r>
          </w:p>
        </w:tc>
        <w:tc>
          <w:tcPr>
            <w:tcW w:w="1080" w:type="dxa"/>
          </w:tcPr>
          <w:p w14:paraId="0E55AD24" w14:textId="6829A599" w:rsidR="00B146D6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Oncology</w:t>
            </w:r>
          </w:p>
        </w:tc>
        <w:tc>
          <w:tcPr>
            <w:tcW w:w="1350" w:type="dxa"/>
          </w:tcPr>
          <w:p w14:paraId="07DFF8D3" w14:textId="36BA70B8" w:rsidR="00B146D6" w:rsidRPr="00564863" w:rsidRDefault="00F20FA1">
            <w:pPr>
              <w:rPr>
                <w:rFonts w:asciiTheme="majorHAnsi" w:hAnsiTheme="majorHAnsi" w:cstheme="majorHAnsi"/>
                <w:shd w:val="clear" w:color="auto" w:fill="FFFFFF"/>
              </w:rPr>
            </w:pPr>
            <w:r w:rsidRPr="00564863">
              <w:rPr>
                <w:rFonts w:asciiTheme="majorHAnsi" w:hAnsiTheme="majorHAnsi" w:cstheme="majorHAnsi"/>
                <w:shd w:val="clear" w:color="auto" w:fill="FFFFFF"/>
              </w:rPr>
              <w:t xml:space="preserve">On-site, </w:t>
            </w:r>
            <w:r w:rsidR="00914783" w:rsidRPr="00564863">
              <w:rPr>
                <w:rFonts w:asciiTheme="majorHAnsi" w:hAnsiTheme="majorHAnsi" w:cstheme="majorHAnsi"/>
                <w:shd w:val="clear" w:color="auto" w:fill="FFFFFF"/>
              </w:rPr>
              <w:br/>
              <w:t>ACC Halim &amp; Aida Multipurpose rooms, AUBMC</w:t>
            </w:r>
          </w:p>
        </w:tc>
        <w:tc>
          <w:tcPr>
            <w:tcW w:w="1170" w:type="dxa"/>
          </w:tcPr>
          <w:p w14:paraId="30222E35" w14:textId="36C0684D" w:rsidR="00B146D6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Free</w:t>
            </w:r>
          </w:p>
        </w:tc>
        <w:tc>
          <w:tcPr>
            <w:tcW w:w="5485" w:type="dxa"/>
          </w:tcPr>
          <w:p w14:paraId="4C473045" w14:textId="1CD71269" w:rsidR="00B146D6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  <w:shd w:val="clear" w:color="auto" w:fill="FFFFFF"/>
              </w:rPr>
              <w:t xml:space="preserve">During this conference, experts from different subspecialties worldwide will meet and discuss in-depth new treatment approaches in Neuro-Oncology. The aim is to apply practical considerations in molecular testing in Gliomas, discuss imaging in Gliomas, treat pediatric patients with Glioma, determine the role of surgery, pathology, </w:t>
            </w:r>
            <w:proofErr w:type="gramStart"/>
            <w:r w:rsidRPr="00FE6E2C">
              <w:rPr>
                <w:rFonts w:asciiTheme="majorHAnsi" w:hAnsiTheme="majorHAnsi" w:cstheme="majorHAnsi"/>
                <w:shd w:val="clear" w:color="auto" w:fill="FFFFFF"/>
              </w:rPr>
              <w:t>radiation</w:t>
            </w:r>
            <w:proofErr w:type="gramEnd"/>
            <w:r w:rsidRPr="00FE6E2C">
              <w:rPr>
                <w:rFonts w:asciiTheme="majorHAnsi" w:hAnsiTheme="majorHAnsi" w:cstheme="majorHAnsi"/>
                <w:shd w:val="clear" w:color="auto" w:fill="FFFFFF"/>
              </w:rPr>
              <w:t xml:space="preserve"> and medical therapy in addition to the role of supportive care, and indicate the role of Immunotherapy in brain tumors and introduce targeted therapy trials.</w:t>
            </w:r>
          </w:p>
        </w:tc>
      </w:tr>
      <w:tr w:rsidR="00FE6E2C" w:rsidRPr="00FE6E2C" w14:paraId="10CD3578" w14:textId="6213B715" w:rsidTr="00F20FA1">
        <w:tc>
          <w:tcPr>
            <w:tcW w:w="1517" w:type="dxa"/>
          </w:tcPr>
          <w:p w14:paraId="219F2AC3" w14:textId="39F33464" w:rsidR="00B146D6" w:rsidRPr="00FE6E2C" w:rsidRDefault="00F20FA1" w:rsidP="00F20FA1">
            <w:pPr>
              <w:pStyle w:val="Heading2"/>
              <w:shd w:val="clear" w:color="auto" w:fill="FFFFFF"/>
              <w:spacing w:before="0" w:beforeAutospacing="0" w:after="375" w:afterAutospacing="0"/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FE6E2C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t xml:space="preserve">The American College of Surgeons General Surgery </w:t>
            </w:r>
            <w:r w:rsidRPr="00FE6E2C"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  <w:lastRenderedPageBreak/>
              <w:t>Review Course 2023</w:t>
            </w:r>
          </w:p>
        </w:tc>
        <w:tc>
          <w:tcPr>
            <w:tcW w:w="1268" w:type="dxa"/>
          </w:tcPr>
          <w:p w14:paraId="7238470A" w14:textId="7FAD31E9" w:rsidR="00B146D6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lastRenderedPageBreak/>
              <w:br/>
            </w:r>
            <w:r w:rsidRPr="00FE6E2C">
              <w:rPr>
                <w:rFonts w:asciiTheme="majorHAnsi" w:hAnsiTheme="majorHAnsi" w:cstheme="majorHAnsi"/>
                <w:shd w:val="clear" w:color="auto" w:fill="FFFFFF"/>
              </w:rPr>
              <w:t>Friday, October 13, 2023 @ 3:00 PM</w:t>
            </w:r>
          </w:p>
        </w:tc>
        <w:tc>
          <w:tcPr>
            <w:tcW w:w="1080" w:type="dxa"/>
          </w:tcPr>
          <w:p w14:paraId="740A406B" w14:textId="64C30784" w:rsidR="00B146D6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2- day</w:t>
            </w:r>
          </w:p>
        </w:tc>
        <w:tc>
          <w:tcPr>
            <w:tcW w:w="1080" w:type="dxa"/>
          </w:tcPr>
          <w:p w14:paraId="48563764" w14:textId="1761DD72" w:rsidR="00B146D6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Surgery</w:t>
            </w:r>
          </w:p>
        </w:tc>
        <w:tc>
          <w:tcPr>
            <w:tcW w:w="1350" w:type="dxa"/>
          </w:tcPr>
          <w:p w14:paraId="2E97CE2C" w14:textId="074876DC" w:rsidR="00B146D6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 xml:space="preserve">On-Site: </w:t>
            </w:r>
            <w:r w:rsidRPr="00FE6E2C">
              <w:rPr>
                <w:rFonts w:asciiTheme="majorHAnsi" w:hAnsiTheme="majorHAnsi" w:cstheme="majorHAnsi"/>
              </w:rPr>
              <w:br/>
            </w:r>
            <w:r w:rsidRPr="00FE6E2C">
              <w:rPr>
                <w:rFonts w:asciiTheme="majorHAnsi" w:hAnsiTheme="majorHAnsi" w:cstheme="majorHAnsi"/>
                <w:shd w:val="clear" w:color="auto" w:fill="FFFFFF"/>
              </w:rPr>
              <w:t xml:space="preserve">Issam Fares </w:t>
            </w:r>
            <w:r w:rsidR="006F1747" w:rsidRPr="00FE6E2C">
              <w:rPr>
                <w:rFonts w:asciiTheme="majorHAnsi" w:hAnsiTheme="majorHAnsi" w:cstheme="majorHAnsi"/>
                <w:shd w:val="clear" w:color="auto" w:fill="FFFFFF"/>
              </w:rPr>
              <w:t>Hall, American</w:t>
            </w:r>
            <w:r w:rsidRPr="00FE6E2C">
              <w:rPr>
                <w:rFonts w:asciiTheme="majorHAnsi" w:hAnsiTheme="majorHAnsi" w:cstheme="majorHAnsi"/>
                <w:shd w:val="clear" w:color="auto" w:fill="FFFFFF"/>
              </w:rPr>
              <w:t xml:space="preserve"> University of Beirut.</w:t>
            </w:r>
          </w:p>
        </w:tc>
        <w:tc>
          <w:tcPr>
            <w:tcW w:w="1170" w:type="dxa"/>
          </w:tcPr>
          <w:p w14:paraId="16E6ECA7" w14:textId="5159B47A" w:rsidR="00F20FA1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20 USD for Physicians and Surgeons.</w:t>
            </w:r>
          </w:p>
          <w:p w14:paraId="5D534C81" w14:textId="7C77B63A" w:rsidR="00F20FA1" w:rsidRPr="00FE6E2C" w:rsidRDefault="00F20FA1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lastRenderedPageBreak/>
              <w:t>10 USD for Students, Residents and Trainees</w:t>
            </w:r>
          </w:p>
        </w:tc>
        <w:tc>
          <w:tcPr>
            <w:tcW w:w="5485" w:type="dxa"/>
          </w:tcPr>
          <w:p w14:paraId="587CB8C7" w14:textId="77777777" w:rsidR="00F20FA1" w:rsidRPr="00F20FA1" w:rsidRDefault="00F20FA1" w:rsidP="00F20FA1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lastRenderedPageBreak/>
              <w:t>At the end of this course, participants will be able to:</w:t>
            </w:r>
          </w:p>
          <w:p w14:paraId="43C99571" w14:textId="77777777" w:rsidR="00F20FA1" w:rsidRPr="00F20FA1" w:rsidRDefault="00F20FA1" w:rsidP="00F20FA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Recognize signs and symptoms of surgical diseases commonly </w:t>
            </w: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lastRenderedPageBreak/>
              <w:t>encountered in general surgical practice and identify the most effective treatment plans.</w:t>
            </w:r>
          </w:p>
          <w:p w14:paraId="2776E027" w14:textId="77777777" w:rsidR="00F20FA1" w:rsidRPr="00F20FA1" w:rsidRDefault="00F20FA1" w:rsidP="00F20F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Describe and employ best practices relevant to general surgery through discussion of the general surgery essential content areas and subspecialties.</w:t>
            </w:r>
          </w:p>
          <w:p w14:paraId="1681F251" w14:textId="77777777" w:rsidR="00F20FA1" w:rsidRPr="00F20FA1" w:rsidRDefault="00F20FA1" w:rsidP="00F20F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Prevent surgical complications through identification and utilization of safe and effective perioperative treatment guidelines.</w:t>
            </w:r>
          </w:p>
          <w:p w14:paraId="1239BF1B" w14:textId="77777777" w:rsidR="00F20FA1" w:rsidRPr="00F20FA1" w:rsidRDefault="00F20FA1" w:rsidP="00F20F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Formulate and prepare effective treatment plans to optimize patient outcomes and minimize patient risk.</w:t>
            </w:r>
          </w:p>
          <w:p w14:paraId="4C6532B1" w14:textId="77777777" w:rsidR="00F20FA1" w:rsidRPr="00F20FA1" w:rsidRDefault="00F20FA1" w:rsidP="00F20F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Identify proven strategies and techniques in the field of general surgery as well as advances in the field to apply them to current surgical practices.</w:t>
            </w:r>
          </w:p>
          <w:p w14:paraId="61569FDE" w14:textId="05C9C0B1" w:rsidR="00F20FA1" w:rsidRPr="00F20FA1" w:rsidRDefault="00F20FA1" w:rsidP="00F20F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Compare and analyze techniques and </w:t>
            </w:r>
            <w:r w:rsidR="006F1747" w:rsidRPr="00FE6E2C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evidence</w:t>
            </w: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 in the diagnosis and management of common general surgical diseases and malignancies.</w:t>
            </w:r>
          </w:p>
          <w:p w14:paraId="533FF33F" w14:textId="27F201B9" w:rsidR="00F20FA1" w:rsidRPr="00F20FA1" w:rsidRDefault="00F20FA1" w:rsidP="00F20F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Detect guidelines for </w:t>
            </w:r>
            <w:r w:rsidR="006F1747" w:rsidRPr="00FE6E2C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the </w:t>
            </w:r>
            <w:r w:rsidRPr="00F20FA1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management of patients with significant comorbid disease.</w:t>
            </w:r>
          </w:p>
          <w:p w14:paraId="29638FAD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</w:tr>
      <w:tr w:rsidR="00FE6E2C" w:rsidRPr="00FE6E2C" w14:paraId="440355C0" w14:textId="6B8B9AAA" w:rsidTr="00F20FA1">
        <w:tc>
          <w:tcPr>
            <w:tcW w:w="1517" w:type="dxa"/>
          </w:tcPr>
          <w:p w14:paraId="2B88FB03" w14:textId="1EB9F7DD" w:rsidR="00B146D6" w:rsidRPr="000378F2" w:rsidRDefault="006F1747" w:rsidP="006F1747">
            <w:pPr>
              <w:pStyle w:val="Heading2"/>
              <w:shd w:val="clear" w:color="auto" w:fill="FFFFFF"/>
              <w:spacing w:before="0" w:beforeAutospacing="0" w:after="375" w:afterAutospacing="0"/>
              <w:rPr>
                <w:rFonts w:asciiTheme="majorHAnsi" w:eastAsiaTheme="minorHAnsi" w:hAnsiTheme="majorHAnsi" w:cstheme="majorHAnsi"/>
                <w:b w:val="0"/>
                <w:bCs w:val="0"/>
                <w:kern w:val="2"/>
                <w:sz w:val="22"/>
                <w:szCs w:val="22"/>
                <w14:ligatures w14:val="standardContextual"/>
              </w:rPr>
            </w:pPr>
            <w:r w:rsidRPr="000378F2">
              <w:rPr>
                <w:rFonts w:asciiTheme="majorHAnsi" w:eastAsiaTheme="minorHAnsi" w:hAnsiTheme="majorHAnsi" w:cstheme="majorHAns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lastRenderedPageBreak/>
              <w:t>Surgical Skills for Students &amp; Health Professionals (SSSHP) Course</w:t>
            </w:r>
          </w:p>
        </w:tc>
        <w:tc>
          <w:tcPr>
            <w:tcW w:w="1268" w:type="dxa"/>
          </w:tcPr>
          <w:p w14:paraId="41126154" w14:textId="353BB9CA" w:rsidR="00B146D6" w:rsidRPr="00FE6E2C" w:rsidRDefault="006F1747">
            <w:pPr>
              <w:rPr>
                <w:rFonts w:asciiTheme="majorHAnsi" w:hAnsiTheme="majorHAnsi" w:cstheme="majorHAnsi"/>
              </w:rPr>
            </w:pPr>
            <w:r w:rsidRPr="000378F2">
              <w:rPr>
                <w:rFonts w:asciiTheme="majorHAnsi" w:hAnsiTheme="majorHAnsi" w:cstheme="majorHAnsi"/>
              </w:rPr>
              <w:br/>
              <w:t>Saturday, October 28, 2023 @ 10:00 AM</w:t>
            </w:r>
          </w:p>
        </w:tc>
        <w:tc>
          <w:tcPr>
            <w:tcW w:w="1080" w:type="dxa"/>
          </w:tcPr>
          <w:p w14:paraId="792CB90A" w14:textId="406EFA97" w:rsidR="00B146D6" w:rsidRPr="00FE6E2C" w:rsidRDefault="006F1747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080" w:type="dxa"/>
          </w:tcPr>
          <w:p w14:paraId="43C3B98E" w14:textId="4A6D0040" w:rsidR="00B146D6" w:rsidRPr="00FE6E2C" w:rsidRDefault="006F1747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Surgery</w:t>
            </w:r>
          </w:p>
        </w:tc>
        <w:tc>
          <w:tcPr>
            <w:tcW w:w="1350" w:type="dxa"/>
          </w:tcPr>
          <w:p w14:paraId="46B25F6B" w14:textId="1845CC6A" w:rsidR="00B146D6" w:rsidRPr="00FE6E2C" w:rsidRDefault="006F1747">
            <w:pPr>
              <w:rPr>
                <w:rFonts w:asciiTheme="majorHAnsi" w:hAnsiTheme="majorHAnsi" w:cstheme="majorHAnsi"/>
              </w:rPr>
            </w:pPr>
            <w:r w:rsidRPr="000378F2">
              <w:rPr>
                <w:rFonts w:asciiTheme="majorHAnsi" w:hAnsiTheme="majorHAnsi" w:cstheme="majorHAnsi"/>
              </w:rPr>
              <w:br/>
              <w:t>Rafic Hariri School of Nursing Building</w:t>
            </w:r>
            <w:r w:rsidR="00914783" w:rsidRPr="000378F2">
              <w:rPr>
                <w:rFonts w:asciiTheme="majorHAnsi" w:hAnsiTheme="majorHAnsi" w:cstheme="majorHAnsi"/>
              </w:rPr>
              <w:t xml:space="preserve">, </w:t>
            </w:r>
            <w:r w:rsidR="00914783" w:rsidRPr="000378F2">
              <w:rPr>
                <w:rFonts w:asciiTheme="majorHAnsi" w:hAnsiTheme="majorHAnsi" w:cstheme="majorHAnsi"/>
              </w:rPr>
              <w:t>AUBMC, Beirut, Lebanon.</w:t>
            </w:r>
          </w:p>
        </w:tc>
        <w:tc>
          <w:tcPr>
            <w:tcW w:w="1170" w:type="dxa"/>
          </w:tcPr>
          <w:p w14:paraId="5DBE1AB1" w14:textId="6C2EF139" w:rsidR="006F1747" w:rsidRPr="006F1747" w:rsidRDefault="006F1747" w:rsidP="006F174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 xml:space="preserve">Individual Participant: 300 USD </w:t>
            </w:r>
          </w:p>
          <w:p w14:paraId="6112DD14" w14:textId="067B6FA5" w:rsidR="006F1747" w:rsidRPr="006F1747" w:rsidRDefault="006F1747" w:rsidP="006F174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 xml:space="preserve">Institutional Participant: 250 USD </w:t>
            </w:r>
          </w:p>
          <w:p w14:paraId="3AE396E0" w14:textId="0E14224E" w:rsidR="00B146D6" w:rsidRPr="00FE6E2C" w:rsidRDefault="006F1747" w:rsidP="006F174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 xml:space="preserve">Active AUB Personnel: 200 USD </w:t>
            </w:r>
          </w:p>
        </w:tc>
        <w:tc>
          <w:tcPr>
            <w:tcW w:w="5485" w:type="dxa"/>
          </w:tcPr>
          <w:p w14:paraId="30DCDFCC" w14:textId="77777777" w:rsidR="006F1747" w:rsidRPr="006F1747" w:rsidRDefault="006F1747" w:rsidP="006F1747">
            <w:pPr>
              <w:shd w:val="clear" w:color="auto" w:fill="FFFFFF"/>
              <w:spacing w:after="0" w:line="240" w:lineRule="auto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>At the end of this course, participants will be able to:</w:t>
            </w:r>
          </w:p>
          <w:p w14:paraId="2482741F" w14:textId="77777777" w:rsidR="006F1747" w:rsidRPr="006F1747" w:rsidRDefault="006F1747" w:rsidP="006F174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 xml:space="preserve">Demonstrate a safe set of aseptic </w:t>
            </w:r>
            <w:proofErr w:type="gramStart"/>
            <w:r w:rsidRPr="006F1747">
              <w:rPr>
                <w:rFonts w:asciiTheme="majorHAnsi" w:hAnsiTheme="majorHAnsi" w:cstheme="majorHAnsi"/>
              </w:rPr>
              <w:t>skills</w:t>
            </w:r>
            <w:proofErr w:type="gramEnd"/>
          </w:p>
          <w:p w14:paraId="3BAD8907" w14:textId="77777777" w:rsidR="006F1747" w:rsidRPr="006F1747" w:rsidRDefault="006F1747" w:rsidP="006F174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>Scrubbing in, Gowning and Gloving, Skin Preparation and Laying Drapes</w:t>
            </w:r>
          </w:p>
          <w:p w14:paraId="0B6E9B20" w14:textId="77777777" w:rsidR="006F1747" w:rsidRPr="006F1747" w:rsidRDefault="006F1747" w:rsidP="006F174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>Recognize the function, and demonstrate safe handling, of a basic set of instruments</w:t>
            </w:r>
            <w:r w:rsidRPr="006F1747">
              <w:rPr>
                <w:rFonts w:asciiTheme="majorHAnsi" w:hAnsiTheme="majorHAnsi" w:cstheme="majorHAnsi"/>
              </w:rPr>
              <w:br/>
            </w:r>
          </w:p>
          <w:p w14:paraId="2D41DC57" w14:textId="77777777" w:rsidR="006F1747" w:rsidRPr="006F1747" w:rsidRDefault="006F1747" w:rsidP="006F174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 xml:space="preserve">Tie a safe and secure </w:t>
            </w:r>
            <w:proofErr w:type="gramStart"/>
            <w:r w:rsidRPr="006F1747">
              <w:rPr>
                <w:rFonts w:asciiTheme="majorHAnsi" w:hAnsiTheme="majorHAnsi" w:cstheme="majorHAnsi"/>
              </w:rPr>
              <w:t>knot</w:t>
            </w:r>
            <w:proofErr w:type="gramEnd"/>
          </w:p>
          <w:p w14:paraId="52AEB48B" w14:textId="77777777" w:rsidR="006F1747" w:rsidRPr="006F1747" w:rsidRDefault="006F1747" w:rsidP="006F174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>Hand tied &amp; Instrument tied Reef knots &amp; Surgeon’s knots.</w:t>
            </w:r>
            <w:r w:rsidRPr="006F1747">
              <w:rPr>
                <w:rFonts w:asciiTheme="majorHAnsi" w:hAnsiTheme="majorHAnsi" w:cstheme="majorHAnsi"/>
              </w:rPr>
              <w:br/>
            </w:r>
          </w:p>
          <w:p w14:paraId="13512884" w14:textId="77777777" w:rsidR="006F1747" w:rsidRPr="006F1747" w:rsidRDefault="006F1747" w:rsidP="006F174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 xml:space="preserve">Demonstrate safe handling of essential surgical </w:t>
            </w:r>
            <w:proofErr w:type="gramStart"/>
            <w:r w:rsidRPr="006F1747">
              <w:rPr>
                <w:rFonts w:asciiTheme="majorHAnsi" w:hAnsiTheme="majorHAnsi" w:cstheme="majorHAnsi"/>
              </w:rPr>
              <w:t>instruments</w:t>
            </w:r>
            <w:proofErr w:type="gramEnd"/>
          </w:p>
          <w:p w14:paraId="2B8C18A3" w14:textId="77777777" w:rsidR="006F1747" w:rsidRPr="006F1747" w:rsidRDefault="006F1747" w:rsidP="006F174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>Forceps, Scissors, Needle holders, Scalpels, &amp; Retractors</w:t>
            </w:r>
          </w:p>
          <w:p w14:paraId="3899E009" w14:textId="6CD9D5A7" w:rsidR="006F1747" w:rsidRPr="006F1747" w:rsidRDefault="006F1747" w:rsidP="006F174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 xml:space="preserve">Close a wound safely and </w:t>
            </w:r>
            <w:r w:rsidR="00913AEC" w:rsidRPr="006F1747">
              <w:rPr>
                <w:rFonts w:asciiTheme="majorHAnsi" w:hAnsiTheme="majorHAnsi" w:cstheme="majorHAnsi"/>
              </w:rPr>
              <w:t>appropriately.</w:t>
            </w:r>
          </w:p>
          <w:p w14:paraId="0234834E" w14:textId="0AEE0081" w:rsidR="006F1747" w:rsidRPr="006F1747" w:rsidRDefault="006F1747" w:rsidP="006F174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 xml:space="preserve">Making an incision, Mounting a needle, </w:t>
            </w:r>
            <w:r w:rsidR="00913AEC">
              <w:rPr>
                <w:rFonts w:asciiTheme="majorHAnsi" w:hAnsiTheme="majorHAnsi" w:cstheme="majorHAnsi"/>
              </w:rPr>
              <w:t>Interrupting</w:t>
            </w:r>
            <w:r w:rsidRPr="006F1747">
              <w:rPr>
                <w:rFonts w:asciiTheme="majorHAnsi" w:hAnsiTheme="majorHAnsi" w:cstheme="majorHAnsi"/>
              </w:rPr>
              <w:t>, Vertical Mattress, &amp; Subcuticular suture practice</w:t>
            </w:r>
          </w:p>
          <w:p w14:paraId="339DE622" w14:textId="77777777" w:rsidR="006F1747" w:rsidRPr="006F1747" w:rsidRDefault="006F1747" w:rsidP="006F174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t>Demonstrate appropriate tissue handling skills and safe use of local anesthetic.</w:t>
            </w:r>
          </w:p>
          <w:p w14:paraId="4B9272EE" w14:textId="77777777" w:rsidR="006F1747" w:rsidRPr="006F1747" w:rsidRDefault="006F1747" w:rsidP="006F174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F1747">
              <w:rPr>
                <w:rFonts w:asciiTheme="majorHAnsi" w:hAnsiTheme="majorHAnsi" w:cstheme="majorHAnsi"/>
              </w:rPr>
              <w:lastRenderedPageBreak/>
              <w:t>Local anesthetic and excision of a skin lesion on animal models, and Sebaceous cyst removal on an animal model</w:t>
            </w:r>
          </w:p>
          <w:p w14:paraId="65B95C26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</w:tr>
      <w:tr w:rsidR="00FE6E2C" w:rsidRPr="00FE6E2C" w14:paraId="785F3FE1" w14:textId="13110954" w:rsidTr="00F20FA1">
        <w:tc>
          <w:tcPr>
            <w:tcW w:w="1517" w:type="dxa"/>
          </w:tcPr>
          <w:p w14:paraId="7C147B50" w14:textId="77777777" w:rsidR="00914783" w:rsidRPr="000378F2" w:rsidRDefault="00914783" w:rsidP="00914783">
            <w:pPr>
              <w:pStyle w:val="Heading2"/>
              <w:shd w:val="clear" w:color="auto" w:fill="FFFFFF"/>
              <w:spacing w:before="0" w:beforeAutospacing="0" w:after="375" w:afterAutospacing="0"/>
              <w:rPr>
                <w:rFonts w:asciiTheme="majorHAnsi" w:eastAsiaTheme="minorHAnsi" w:hAnsiTheme="majorHAnsi" w:cstheme="majorHAnsi"/>
                <w:b w:val="0"/>
                <w:bCs w:val="0"/>
                <w:kern w:val="2"/>
                <w:sz w:val="22"/>
                <w:szCs w:val="22"/>
                <w14:ligatures w14:val="standardContextual"/>
              </w:rPr>
            </w:pPr>
            <w:r w:rsidRPr="000378F2">
              <w:rPr>
                <w:rFonts w:asciiTheme="majorHAnsi" w:eastAsiaTheme="minorHAnsi" w:hAnsiTheme="majorHAnsi" w:cstheme="majorHAns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lastRenderedPageBreak/>
              <w:t>Global Advances in Mental Health (GAMH)</w:t>
            </w:r>
          </w:p>
          <w:p w14:paraId="4EFD8456" w14:textId="77777777" w:rsidR="00B146D6" w:rsidRPr="00FE6E2C" w:rsidRDefault="00B146D6" w:rsidP="009147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68" w:type="dxa"/>
          </w:tcPr>
          <w:p w14:paraId="6ECAAC0F" w14:textId="16CA4616" w:rsidR="00B146D6" w:rsidRPr="00FE6E2C" w:rsidRDefault="00914783">
            <w:pPr>
              <w:rPr>
                <w:rFonts w:asciiTheme="majorHAnsi" w:hAnsiTheme="majorHAnsi" w:cstheme="majorHAnsi"/>
              </w:rPr>
            </w:pPr>
            <w:r w:rsidRPr="000378F2">
              <w:rPr>
                <w:rFonts w:asciiTheme="majorHAnsi" w:hAnsiTheme="majorHAnsi" w:cstheme="majorHAnsi"/>
              </w:rPr>
              <w:t>Friday, November 17, 2023 @ 3:00 PM</w:t>
            </w:r>
          </w:p>
        </w:tc>
        <w:tc>
          <w:tcPr>
            <w:tcW w:w="1080" w:type="dxa"/>
          </w:tcPr>
          <w:p w14:paraId="7037ACF7" w14:textId="019B30F4" w:rsidR="00B146D6" w:rsidRPr="00FE6E2C" w:rsidRDefault="00914783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2-Day</w:t>
            </w:r>
          </w:p>
        </w:tc>
        <w:tc>
          <w:tcPr>
            <w:tcW w:w="1080" w:type="dxa"/>
          </w:tcPr>
          <w:p w14:paraId="22F360C4" w14:textId="3EECF96E" w:rsidR="00B146D6" w:rsidRPr="00FE6E2C" w:rsidRDefault="00914783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>Psychology</w:t>
            </w:r>
          </w:p>
        </w:tc>
        <w:tc>
          <w:tcPr>
            <w:tcW w:w="1350" w:type="dxa"/>
          </w:tcPr>
          <w:p w14:paraId="6DD3FB5E" w14:textId="40B20780" w:rsidR="00B146D6" w:rsidRPr="00FE6E2C" w:rsidRDefault="00914783">
            <w:pPr>
              <w:rPr>
                <w:rFonts w:asciiTheme="majorHAnsi" w:hAnsiTheme="majorHAnsi" w:cstheme="majorHAnsi"/>
              </w:rPr>
            </w:pPr>
            <w:r w:rsidRPr="00FE6E2C">
              <w:rPr>
                <w:rFonts w:asciiTheme="majorHAnsi" w:hAnsiTheme="majorHAnsi" w:cstheme="majorHAnsi"/>
              </w:rPr>
              <w:t xml:space="preserve">On-Site: </w:t>
            </w:r>
            <w:r w:rsidRPr="000378F2">
              <w:rPr>
                <w:rFonts w:asciiTheme="majorHAnsi" w:hAnsiTheme="majorHAnsi" w:cstheme="majorHAnsi"/>
              </w:rPr>
              <w:t xml:space="preserve">Halim and Aida Daniel ACC </w:t>
            </w:r>
            <w:r w:rsidR="000378F2" w:rsidRPr="000378F2">
              <w:rPr>
                <w:rFonts w:asciiTheme="majorHAnsi" w:hAnsiTheme="majorHAnsi" w:cstheme="majorHAnsi"/>
              </w:rPr>
              <w:t>building, AUBMC</w:t>
            </w:r>
            <w:r w:rsidRPr="000378F2">
              <w:rPr>
                <w:rFonts w:asciiTheme="majorHAnsi" w:hAnsiTheme="majorHAnsi" w:cstheme="majorHAnsi"/>
              </w:rPr>
              <w:t>, Beirut, Lebanon.</w:t>
            </w:r>
          </w:p>
        </w:tc>
        <w:tc>
          <w:tcPr>
            <w:tcW w:w="1170" w:type="dxa"/>
          </w:tcPr>
          <w:p w14:paraId="211C48D1" w14:textId="56EFCEA8" w:rsidR="00914783" w:rsidRPr="00914783" w:rsidRDefault="00914783" w:rsidP="0091478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</w:rPr>
            </w:pPr>
            <w:r w:rsidRPr="00914783">
              <w:rPr>
                <w:rFonts w:asciiTheme="majorHAnsi" w:hAnsiTheme="majorHAnsi" w:cstheme="majorHAnsi"/>
              </w:rPr>
              <w:t>USD 100 for International attendees</w:t>
            </w:r>
            <w:r w:rsidR="000378F2">
              <w:rPr>
                <w:rFonts w:asciiTheme="majorHAnsi" w:hAnsiTheme="majorHAnsi" w:cstheme="majorHAnsi"/>
              </w:rPr>
              <w:t>.</w:t>
            </w:r>
          </w:p>
          <w:p w14:paraId="55222F80" w14:textId="0377EC8D" w:rsidR="00914783" w:rsidRPr="00914783" w:rsidRDefault="000378F2" w:rsidP="0091478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914783">
              <w:rPr>
                <w:rFonts w:asciiTheme="majorHAnsi" w:hAnsiTheme="majorHAnsi" w:cstheme="majorHAnsi"/>
              </w:rPr>
              <w:t>An additional</w:t>
            </w:r>
            <w:r w:rsidR="00914783" w:rsidRPr="00914783">
              <w:rPr>
                <w:rFonts w:asciiTheme="majorHAnsi" w:hAnsiTheme="majorHAnsi" w:cstheme="majorHAnsi"/>
              </w:rPr>
              <w:t xml:space="preserve"> USD 50​ for AMA PRA Category 1 </w:t>
            </w:r>
            <w:r>
              <w:rPr>
                <w:rFonts w:asciiTheme="majorHAnsi" w:hAnsiTheme="majorHAnsi" w:cstheme="majorHAnsi"/>
              </w:rPr>
              <w:t>credit.</w:t>
            </w:r>
          </w:p>
          <w:p w14:paraId="0B231614" w14:textId="6E893752" w:rsidR="00914783" w:rsidRPr="00FE6E2C" w:rsidRDefault="00914783" w:rsidP="009147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85" w:type="dxa"/>
          </w:tcPr>
          <w:p w14:paraId="0F9FA818" w14:textId="48D7F7B2" w:rsidR="00B146D6" w:rsidRPr="00FE6E2C" w:rsidRDefault="00914783">
            <w:pPr>
              <w:rPr>
                <w:rFonts w:asciiTheme="majorHAnsi" w:hAnsiTheme="majorHAnsi" w:cstheme="majorHAnsi"/>
              </w:rPr>
            </w:pPr>
            <w:r w:rsidRPr="000378F2">
              <w:rPr>
                <w:rFonts w:asciiTheme="majorHAnsi" w:hAnsiTheme="majorHAnsi" w:cstheme="majorHAnsi"/>
              </w:rPr>
              <w:t>The activity aim</w:t>
            </w:r>
            <w:r w:rsidRPr="000378F2">
              <w:rPr>
                <w:rFonts w:asciiTheme="majorHAnsi" w:hAnsiTheme="majorHAnsi" w:cstheme="majorHAnsi"/>
              </w:rPr>
              <w:t>s</w:t>
            </w:r>
            <w:r w:rsidRPr="000378F2">
              <w:rPr>
                <w:rFonts w:asciiTheme="majorHAnsi" w:hAnsiTheme="majorHAnsi" w:cstheme="majorHAnsi"/>
              </w:rPr>
              <w:t xml:space="preserve"> to address the gap in practice in multiple subspecialties in psychiatry and psychology to improve patient outcomes in the digital and post-COVID World. The activity will focus on global recent trends in mental health, such as </w:t>
            </w:r>
            <w:r w:rsidR="000378F2">
              <w:rPr>
                <w:rFonts w:asciiTheme="majorHAnsi" w:hAnsiTheme="majorHAnsi" w:cstheme="majorHAnsi"/>
              </w:rPr>
              <w:t xml:space="preserve">the </w:t>
            </w:r>
            <w:r w:rsidRPr="000378F2">
              <w:rPr>
                <w:rFonts w:asciiTheme="majorHAnsi" w:hAnsiTheme="majorHAnsi" w:cstheme="majorHAnsi"/>
              </w:rPr>
              <w:t>potential contributions of Artificial Intelligence in mental health practices and the impact of disasters on mental health.</w:t>
            </w:r>
          </w:p>
        </w:tc>
      </w:tr>
      <w:tr w:rsidR="00FE6E2C" w:rsidRPr="00FE6E2C" w14:paraId="17108FE3" w14:textId="7B006C9E" w:rsidTr="00F20FA1">
        <w:tc>
          <w:tcPr>
            <w:tcW w:w="1517" w:type="dxa"/>
          </w:tcPr>
          <w:p w14:paraId="792288F4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68" w:type="dxa"/>
          </w:tcPr>
          <w:p w14:paraId="3CED0056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14:paraId="6B32BB48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14:paraId="1447A368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50" w:type="dxa"/>
          </w:tcPr>
          <w:p w14:paraId="1B549623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550D4F71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85" w:type="dxa"/>
          </w:tcPr>
          <w:p w14:paraId="5A53E9AD" w14:textId="77777777" w:rsidR="00B146D6" w:rsidRPr="00FE6E2C" w:rsidRDefault="00B146D6">
            <w:pPr>
              <w:rPr>
                <w:rFonts w:asciiTheme="majorHAnsi" w:hAnsiTheme="majorHAnsi" w:cstheme="majorHAnsi"/>
              </w:rPr>
            </w:pPr>
          </w:p>
        </w:tc>
      </w:tr>
    </w:tbl>
    <w:p w14:paraId="716CC2C4" w14:textId="2F930916" w:rsidR="006A3D30" w:rsidRDefault="006A3D30">
      <w:pPr>
        <w:rPr>
          <w:rFonts w:asciiTheme="majorHAnsi" w:hAnsiTheme="majorHAnsi" w:cstheme="majorHAnsi"/>
        </w:rPr>
      </w:pPr>
    </w:p>
    <w:p w14:paraId="732FD811" w14:textId="77777777" w:rsidR="00D05F72" w:rsidRDefault="00D05F72">
      <w:pPr>
        <w:rPr>
          <w:rFonts w:asciiTheme="majorHAnsi" w:hAnsiTheme="majorHAnsi" w:cstheme="majorHAnsi"/>
        </w:rPr>
      </w:pPr>
    </w:p>
    <w:p w14:paraId="29BA0D2D" w14:textId="77777777" w:rsidR="00D05F72" w:rsidRPr="00FE6E2C" w:rsidRDefault="00D05F72">
      <w:pPr>
        <w:rPr>
          <w:rFonts w:asciiTheme="majorHAnsi" w:hAnsiTheme="majorHAnsi" w:cstheme="majorHAnsi"/>
        </w:rPr>
      </w:pPr>
    </w:p>
    <w:sectPr w:rsidR="00D05F72" w:rsidRPr="00FE6E2C" w:rsidSect="00B146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807"/>
    <w:multiLevelType w:val="multilevel"/>
    <w:tmpl w:val="1432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E733D"/>
    <w:multiLevelType w:val="multilevel"/>
    <w:tmpl w:val="9564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6162C"/>
    <w:multiLevelType w:val="multilevel"/>
    <w:tmpl w:val="761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9D4D1D"/>
    <w:multiLevelType w:val="multilevel"/>
    <w:tmpl w:val="2FD2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6048744">
    <w:abstractNumId w:val="3"/>
  </w:num>
  <w:num w:numId="2" w16cid:durableId="1141387686">
    <w:abstractNumId w:val="1"/>
  </w:num>
  <w:num w:numId="3" w16cid:durableId="1833176071">
    <w:abstractNumId w:val="0"/>
  </w:num>
  <w:num w:numId="4" w16cid:durableId="1678773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D6"/>
    <w:rsid w:val="000378F2"/>
    <w:rsid w:val="00076883"/>
    <w:rsid w:val="000B18C8"/>
    <w:rsid w:val="00142CF5"/>
    <w:rsid w:val="00302977"/>
    <w:rsid w:val="004144F1"/>
    <w:rsid w:val="00564863"/>
    <w:rsid w:val="006A3D30"/>
    <w:rsid w:val="006F1747"/>
    <w:rsid w:val="00913AEC"/>
    <w:rsid w:val="00914783"/>
    <w:rsid w:val="009B5923"/>
    <w:rsid w:val="00B146D6"/>
    <w:rsid w:val="00D05F72"/>
    <w:rsid w:val="00E45201"/>
    <w:rsid w:val="00EB3738"/>
    <w:rsid w:val="00F20FA1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B841"/>
  <w15:chartTrackingRefBased/>
  <w15:docId w15:val="{2F1A3997-2E8B-44D6-8E81-457417E7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146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Emphasis">
    <w:name w:val="Emphasis"/>
    <w:basedOn w:val="DefaultParagraphFont"/>
    <w:uiPriority w:val="20"/>
    <w:qFormat/>
    <w:rsid w:val="00B146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Rashid</dc:creator>
  <cp:keywords/>
  <dc:description/>
  <cp:lastModifiedBy>Niha Rashid</cp:lastModifiedBy>
  <cp:revision>14</cp:revision>
  <dcterms:created xsi:type="dcterms:W3CDTF">2023-08-22T06:07:00Z</dcterms:created>
  <dcterms:modified xsi:type="dcterms:W3CDTF">2023-08-22T06:58:00Z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1e6dd9f6-cc0d-4315-8fb6-0782f184498b</vt:lpwstr>
  </property>
</Properties>
</file>