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bookmarkStart w:id="0" w:name="__UnoMark__7918_3288225684"/>
      <w:bookmarkStart w:id="1" w:name="__UnoMark__5779_3288225684"/>
      <w:bookmarkStart w:id="2" w:name="__UnoMark__5784_3288225684"/>
      <w:bookmarkStart w:id="3" w:name="__UnoMark__5888_3288225684"/>
      <w:bookmarkStart w:id="4" w:name="__UnoMark__5890_3288225684"/>
      <w:bookmarkStart w:id="5" w:name="__UnoMark__7216_3288225684"/>
      <w:bookmarkStart w:id="6" w:name="__UnoMark__7224_3288225684"/>
      <w:bookmarkStart w:id="7" w:name="__UnoMark__7920_3288225684"/>
      <w:bookmarkStart w:id="8" w:name="__UnoMark__7923_3288225684"/>
      <w:bookmarkStart w:id="9" w:name="__UnoMark__7941_3288225684"/>
      <w:bookmarkStart w:id="10" w:name="__UnoMark__9565_3288225684"/>
      <w:bookmarkStart w:id="11" w:name="__UnoMark__9568_3288225684"/>
      <w:bookmarkStart w:id="12" w:name="__UnoMark__9571_3288225684"/>
      <w:bookmarkStart w:id="13" w:name="__UnoMark__9859_3288225684"/>
      <w:bookmarkStart w:id="14" w:name="__UnoMark__5781_3288225684"/>
      <w:bookmarkStart w:id="15" w:name="__UnoMark__5776_3288225684"/>
      <w:bookmarkStart w:id="16" w:name="__UnoMark__5775_3288225684"/>
      <w:bookmarkStart w:id="17" w:name="__UnoMark__5774_3288225684"/>
      <w:bookmarkStart w:id="18" w:name="__UnoMark__5772_3288225684"/>
      <w:bookmarkStart w:id="19" w:name="__UnoMark__5770_3288225684"/>
      <w:bookmarkStart w:id="20" w:name="__UnoMark__5766_3288225684"/>
      <w:bookmarkStart w:id="21" w:name="__UnoMark__5765_3288225684"/>
      <w:bookmarkStart w:id="22" w:name="__UnoMark__5764_3288225684"/>
      <w:bookmarkStart w:id="23" w:name="__UnoMark__5763_3288225684"/>
      <w:bookmarkStart w:id="24" w:name="__UnoMark__5761_3288225684"/>
      <w:bookmarkStart w:id="25" w:name="__UnoMark__5660_3288225684"/>
      <w:bookmarkStart w:id="26" w:name="__UnoMark__4454_3288225684"/>
      <w:bookmarkStart w:id="27" w:name="__UnoMark__4453_3288225684"/>
      <w:bookmarkStart w:id="28" w:name="__UnoMark__4443_3288225684"/>
      <w:bookmarkStart w:id="29" w:name="__UnoMark__9850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b/>
        <w:t>After deciding that it should run as a daemon, the next step was to Figure out the best way of handling commands and state changes. Along with making sure that data can be passed between all relevant points of the program to where it is needed.</w:t>
      </w:r>
    </w:p>
    <w:p>
      <w:pPr>
        <w:pStyle w:val="TextBody"/>
        <w:rPr/>
      </w:pPr>
      <w:r>
        <w:rPr/>
        <w:tab/>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b/>
        <w:t>When this project was first started the initial plan was to have threads spawn wherever they were required (with no attention being paid to tracking them, other than in the instances that they existed). After some research and advice I learned of the “Thread Pool Queue Pattern” (TPQ).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This method should help in making sure that the program doesn’t end up bogged down in writing to the disk (a much slower task than simply using CPU). Though, processes dealing with disk writes are priortised over processes vying for CPU usage [VERIFY].</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30" w:name="__UnoMark__25869_772564559"/>
      <w:bookmarkStart w:id="31" w:name="__UnoMark__23772_772564559"/>
      <w:bookmarkStart w:id="32" w:name="__UnoMark__23765_772564559"/>
      <w:bookmarkStart w:id="33" w:name="__UnoMark__23763_772564559"/>
      <w:bookmarkStart w:id="34" w:name="__UnoMark__23758_772564559"/>
      <w:bookmarkStart w:id="35" w:name="__UnoMark__21078_772564559"/>
      <w:bookmarkStart w:id="36" w:name="__UnoMark__21073_772564559"/>
      <w:bookmarkStart w:id="37" w:name="__UnoMark__25861_772564559"/>
      <w:bookmarkEnd w:id="30"/>
      <w:bookmarkEnd w:id="31"/>
      <w:bookmarkEnd w:id="32"/>
      <w:bookmarkEnd w:id="33"/>
      <w:bookmarkEnd w:id="34"/>
      <w:bookmarkEnd w:id="35"/>
      <w:bookmarkEnd w:id="36"/>
      <w:bookmarkEnd w:id="37"/>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t>To this end I will likely create a library that will handle information being passed to and from the API. This means I can design my classes with nothing but functionality in mind, and instead abstract them out to a helper class that handles moving the data into a serialised format.</w:t>
      </w:r>
    </w:p>
    <w:p>
      <w:pPr>
        <w:pStyle w:val="Heading2"/>
        <w:rPr/>
      </w:pPr>
      <w:r>
        <w:rPr/>
        <w:t>Database</w:t>
      </w:r>
    </w:p>
    <w:p>
      <w:pPr>
        <w:pStyle w:val="Normal"/>
        <w:rPr/>
      </w:pPr>
      <w:r>
        <w:rPr/>
        <w:tab/>
        <w:t>The database needs some sort of design, even if it won’t be implemented. To this end an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Normal"/>
        <w:spacing w:before="0" w:after="160"/>
        <w:rPr/>
      </w:pPr>
      <w:r>
        <w:rPr/>
        <w:tab/>
        <w:t>Making sure the design was codified and standard was the hardest part, having no previous tangible experience in ERDs. And for every step of progress I made, redesigns and re-planning was done to conform to what ever new Idea I had.</w:t>
      </w:r>
    </w:p>
    <w:p>
      <w:pPr>
        <w:pStyle w:val="Heading2"/>
        <w:rPr/>
      </w:pPr>
      <w:r>
        <w:rPr/>
        <w:t>Plugin Loader</w:t>
      </w:r>
    </w:p>
    <w:p>
      <w:pPr>
        <w:pStyle w:val="Normal"/>
        <w:spacing w:before="0" w:after="160"/>
        <w:rPr/>
      </w:pPr>
      <w:r>
        <w:rPr/>
        <w:tab/>
        <w:t>The plugin loader is designed around the idea that all the plugins will be kept in more or less the same place (deviating by only one or two directories, all with a common base). With all references to the currently loaded plugins being kept at all times, any new plugins gradually being added as they are discovered/scanned for</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14891</TotalTime>
  <Application>LibreOffice/6.1.3.2$Linux_X86_64 LibreOffice_project/10$Build-2</Application>
  <Pages>3</Pages>
  <Words>1115</Words>
  <Characters>5304</Characters>
  <CharactersWithSpaces>6411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2018-12-30T17:58:07Z</dcterms:modified>
  <cp:revision>81</cp:revision>
  <dc:subject/>
  <dc:title/>
</cp:coreProperties>
</file>