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left"/>
      </w:pPr>
      <w:r>
        <w:rPr>
          <w:rFonts w:ascii="Calibri" w:cs="Calibri" w:eastAsia="Calibri" w:hAnsi="Calibri"/>
          <w:b/>
          <w:bCs/>
          <w:color w:val="8A5A2B"/>
          <w:sz w:val="22"/>
          <w:szCs w:val="22"/>
        </w:rPr>
        <w:t xml:space="preserve">PROPOSAL</w:t>
      </w:r>
    </w:p>
    <w:p>
      <w:pPr>
        <w:spacing w:after="40"/>
      </w:pPr>
      <w:r>
        <w:rPr>
          <w:rFonts w:ascii="Georgia" w:cs="Georgia" w:eastAsia="Georgia" w:hAnsi="Georgia"/>
          <w:b/>
          <w:bCs/>
          <w:color w:val="1F3352"/>
          <w:sz w:val="44"/>
          <w:szCs w:val="44"/>
        </w:rPr>
        <w:t xml:space="preserve">A governed legal-skills pipeline for Harrow &amp; Vale LLP</w:t>
      </w:r>
    </w:p>
    <w:p>
      <w:pPr>
        <w:spacing w:after="240"/>
      </w:pPr>
      <w:r>
        <w:rPr>
          <w:rFonts w:ascii="Georgia" w:cs="Georgia" w:eastAsia="Georgia" w:hAnsi="Georgia"/>
          <w:i/>
          <w:iCs/>
          <w:color w:val="444444"/>
          <w:sz w:val="24"/>
          <w:szCs w:val="24"/>
        </w:rPr>
        <w:t xml:space="preserve">Deterministically-constrained Claude skills — starting with term-sheet review and due-diligence — that a lawyer will actually reach for mid-deal.</w:t>
      </w:r>
    </w:p>
    <w:p>
      <w:pPr>
        <w:pBdr>
          <w:bottom w:val="single" w:color="8A5A2B" w:sz="6"/>
        </w:pBdr>
        <w:spacing w:after="80"/>
      </w:pP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F3352"/>
          <w:sz w:val="21"/>
          <w:szCs w:val="21"/>
        </w:rPr>
        <w:t xml:space="preserve">Prepared for: 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Tom Harrow, Ops &amp; Knowledge Lead (for sign-off by Priya Vale, Managing Partner)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F3352"/>
          <w:sz w:val="21"/>
          <w:szCs w:val="21"/>
        </w:rPr>
        <w:t xml:space="preserve">Engagement: 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Hackathon 1 — Synthetic Signal Associate Programme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F3352"/>
          <w:sz w:val="21"/>
          <w:szCs w:val="21"/>
        </w:rPr>
        <w:t xml:space="preserve">Date: 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22 July 2026     </w:t>
      </w:r>
      <w:r>
        <w:rPr>
          <w:rFonts w:ascii="Calibri" w:cs="Calibri" w:eastAsia="Calibri" w:hAnsi="Calibri"/>
          <w:b/>
          <w:bCs/>
          <w:color w:val="1F3352"/>
          <w:sz w:val="21"/>
          <w:szCs w:val="21"/>
        </w:rPr>
        <w:t xml:space="preserve">Check-in / demo: 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Wednesday 29 July 2026</w:t>
      </w:r>
    </w:p>
    <w:p>
      <w:pPr>
        <w:spacing w:after="40" w:line="276"/>
      </w:pPr>
      <w:r>
        <w:rPr>
          <w:rFonts w:ascii="Calibri" w:cs="Calibri" w:eastAsia="Calibri" w:hAnsi="Calibri"/>
          <w:b/>
          <w:bCs/>
          <w:color w:val="1F3352"/>
          <w:sz w:val="21"/>
          <w:szCs w:val="21"/>
        </w:rPr>
        <w:t xml:space="preserve">Budget envelope: 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£2,000–£5,000 (Phase 1, fixed fee)</w:t>
      </w:r>
    </w:p>
    <w:p>
      <w:pPr>
        <w:spacing w:after="0" w:before="36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Prepared following discovery calls with Tom Harrow and review of the firm's data-room samples (four term-sheet formats, Priya's fixed DD checklist, and the GreenGrid cap table &amp; Articles).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1F3352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1F3352"/>
          <w:sz w:val="30"/>
          <w:szCs w:val="30"/>
        </w:rPr>
        <w:t xml:space="preserve">1. Executive summary</w:t>
      </w: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Every lawyer at Harrow &amp; Vale already uses Claude. The problem isn't adoption — it's that ten people are each reinventing their own prompts and skills in isolation, nothing is shared or kept current, and nobody has a clean answer to the question the partners ask before anything gets signed off: where does our client data actually go?</w:t>
      </w: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We propose one thing, not ten: </w:t>
      </w:r>
      <w:r>
        <w:rPr>
          <w:rFonts w:ascii="Calibri" w:cs="Calibri" w:eastAsia="Calibri" w:hAnsi="Calibri"/>
          <w:b/>
          <w:bCs/>
          <w:color w:val="1F3352"/>
          <w:sz w:val="21"/>
          <w:szCs w:val="21"/>
        </w:rPr>
        <w:t xml:space="preserve">a single governed pipeline where any skill a lawyer builds is contract-bound and deterministically eval-gated before it is approved, versioned, and installed firm-wide.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We prove it by putting the firm's two bread-and-butter tasks through the gate first — Priya's term-sheet review and the "Thursday afternoon dump" due-diligence check — and by handing you a one-page, partner-ready answer on data handling.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This is deliberately phased.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Phase 1 is a fixed-fee proof-of-concept sized to sit inside your £2,000–£5,000 envelope: two working skills, demonstrated running on your own samples on 29 July, plus the data memo. The firm-wide pipeline and governance (Phase 2) is only worth building once Phase 1 has proved it saves real hours — which is exactly the order Tom asked for.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A working prototype already exists.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Across all four of your term-sheet formats, an eval-driven second iteration of the term-sheet skill moved from an overall reliability score of 0.50 to 1.00, with a regression gate that blocks any future change from shipping if it makes the skill worse.</w:t>
      </w:r>
    </w:p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1F3352"/>
          <w:sz w:val="30"/>
          <w:szCs w:val="30"/>
        </w:rPr>
        <w:t xml:space="preserve">2. What we heard</w:t>
      </w: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From discovery with Tom, and from the data-room samples, three things are non-negotiable: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Priya wants an Exception Report, not a book report.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She reads term sheets herself. She wants economics first (valuation and basis, liquidation preference, option pool), then control (board, investor vetoes, drag-along) — mapped against the firm's BVCA-aligned baseline, flagging where a term is aggressive and what is missing entirely, as actionable bullets.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The checklist is fixed.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Priya's due-diligence checklist is applied to every matter and must be used verbatim. A tool respects it; it does not reinvent its own categories.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Data handling is the real gate.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The blocker to sign-off is not the budget — it is the partners asking where client data goes. You are on a Claude Team plan, documents live in Microsoft 365 / SharePoint, and one associate occasionally uses GitHub. The answer has to speak to exactly that.</w:t>
      </w: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Tom's own trigger made the value concrete: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the "Thursday afternoon dump"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— thirty due-diligence documents arrive at 4:30pm, feedback due Friday noon, and today that means tired associates manually mapping files against the checklist. The tool has to turn that into an instant "14 satisfied, 6 missing, here's the document and page for each."</w:t>
      </w:r>
    </w:p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1F3352"/>
          <w:sz w:val="30"/>
          <w:szCs w:val="30"/>
        </w:rPr>
        <w:t xml:space="preserve">3. The solution: one governed legal-skills pipeline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352"/>
          <w:sz w:val="21"/>
          <w:szCs w:val="21"/>
        </w:rPr>
        <w:t xml:space="preserve">The deliverable Harrow &amp; Vale keeps is not a clever prompt — it is a gate.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Anything a lawyer builds passes through the same three steps before it is trusted on a live deal:</w:t>
      </w:r>
    </w:p>
    <w:tbl>
      <w:tblPr>
        <w:tblW w:type="dxa" w:w="9000"/>
        <w:tblBorders>
          <w:top w:val="single" w:color="D8CFC0" w:sz="2"/>
          <w:left w:val="single" w:color="D8CFC0" w:sz="2"/>
          <w:bottom w:val="single" w:color="D8CFC0" w:sz="2"/>
          <w:right w:val="single" w:color="D8CFC0" w:sz="2"/>
          <w:insideH w:val="single" w:color="E5DED2" w:sz="2"/>
          <w:insideV w:val="single" w:color="E5DED2" w:sz="2"/>
        </w:tblBorders>
      </w:tblPr>
      <w:tblGrid>
        <w:gridCol w:w="1800"/>
        <w:gridCol w:w="4000"/>
        <w:gridCol w:w="3200"/>
      </w:tblGrid>
      <w:tr>
        <w:trPr>
          <w:tblHeader/>
        </w:trPr>
        <w:tc>
          <w:tcPr>
            <w:tcW w:type="dxa" w:w="1800"/>
            <w:shd w:fill="1F33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000"/>
            <w:shd w:fill="1F33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200"/>
            <w:shd w:fill="1F33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it makes it "kosher"</w:t>
            </w:r>
          </w:p>
        </w:tc>
      </w:tr>
      <w:tr>
        <w:tc>
          <w:tcPr>
            <w:tcW w:type="dxa" w:w="1800"/>
            <w:shd w:fill="F2EE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9"/>
                <w:szCs w:val="19"/>
              </w:rPr>
              <w:t xml:space="preserve">1. Contract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Every skill declares a strict JSON-schema output. Critical extraction is typed — never free-form prose.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The output shape is fixed and machine-checkable: deterministically constrained.</w:t>
            </w:r>
          </w:p>
        </w:tc>
      </w:tr>
      <w:tr>
        <w:tc>
          <w:tcPr>
            <w:tcW w:type="dxa" w:w="1800"/>
            <w:shd w:fill="F2EE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9"/>
                <w:szCs w:val="19"/>
              </w:rPr>
              <w:t xml:space="preserve">2. Prove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Each skill ships a golden dataset of known-good and known-bad examples. An adversarial evaluator scores precision &amp; recall and fails the build on regression.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You can always answer "why do we trust this skill?" with numbers, not vibes.</w:t>
            </w:r>
          </w:p>
        </w:tc>
      </w:tr>
      <w:tr>
        <w:tc>
          <w:tcPr>
            <w:tcW w:type="dxa" w:w="1800"/>
            <w:shd w:fill="F2EE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9"/>
                <w:szCs w:val="19"/>
              </w:rPr>
              <w:t xml:space="preserve">3. Ship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Passing skills publish to the firm's private repo with a version and changelog. Lawyers install from one place; v2 arrives automatically.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One shared, current, vetted home — the opposite of ten private copies.</w:t>
            </w:r>
          </w:p>
        </w:tc>
      </w:tr>
    </w:tbl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8A5A2B"/>
          <w:sz w:val="24"/>
          <w:szCs w:val="24"/>
        </w:rPr>
        <w:t xml:space="preserve">3.1 Skill one — the term-sheet Exception Report</w:t>
      </w: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Point the skill at any term sheet and it returns Priya's report: economics first, then control, mapped against the BVCA-aligned baseline, with each finding tagged </w:t>
      </w: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aggressive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watch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, or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info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, plus a list of what's missing — every item carrying a citation and a confidence score. It handles your four formats (SAFE, priced round, convertible note, and the terse seed summary) by extracting on meaning, not layout. A worked example is in Appendix A.</w:t>
      </w: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8A5A2B"/>
          <w:sz w:val="24"/>
          <w:szCs w:val="24"/>
        </w:rPr>
        <w:t xml:space="preserve">3.2 Skill two — the due-diligence checklist mapper</w:t>
      </w: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Drop a folder of due-diligence documents and the skill maps them against Priya's fixed checklist verbatim, returning each item as satisfied, partial, or missing — with the document name and location for the ones it found, and a chase-list for the ones it didn't. On the GreenGrid sample set the prototype reports "2 satisfied, 1 partial, 25 missing of 28", each with a citation. That is Tom's Thursday-afternoon problem, handled before he's finished reading the covering email.</w:t>
      </w: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8A5A2B"/>
          <w:sz w:val="24"/>
          <w:szCs w:val="24"/>
        </w:rPr>
        <w:t xml:space="preserve">3.3 How we prove it works — the eval harness</w:t>
      </w: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 working skill is only the baseline. What separates a student project from something a partner will sign off is proving the skill behaves </w:t>
      </w: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consistently across every format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and doesn't quietly regress when someone tweaks a prompt. The prototype already does this:</w:t>
      </w:r>
    </w:p>
    <w:tbl>
      <w:tblPr>
        <w:tblW w:type="dxa" w:w="9000"/>
        <w:tblBorders>
          <w:top w:val="single" w:color="D8CFC0" w:sz="2"/>
          <w:left w:val="single" w:color="D8CFC0" w:sz="2"/>
          <w:bottom w:val="single" w:color="D8CFC0" w:sz="2"/>
          <w:right w:val="single" w:color="D8CFC0" w:sz="2"/>
          <w:insideH w:val="single" w:color="E5DED2" w:sz="2"/>
          <w:insideV w:val="single" w:color="E5DED2" w:sz="2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type="dxa" w:w="3000"/>
            <w:shd w:fill="1F33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Term-sheet skill</w:t>
            </w:r>
          </w:p>
        </w:tc>
        <w:tc>
          <w:tcPr>
            <w:tcW w:type="dxa" w:w="2000"/>
            <w:shd w:fill="1F33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v1 (first pass)</w:t>
            </w:r>
          </w:p>
        </w:tc>
        <w:tc>
          <w:tcPr>
            <w:tcW w:type="dxa" w:w="2000"/>
            <w:shd w:fill="1F33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v2 (after eval-driven iteration)</w:t>
            </w:r>
          </w:p>
        </w:tc>
        <w:tc>
          <w:tcPr>
            <w:tcW w:type="dxa" w:w="2000"/>
            <w:shd w:fill="1F33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Instrument detection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0.75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B34"/>
                <w:sz w:val="19"/>
                <w:szCs w:val="19"/>
              </w:rPr>
              <w:t xml:space="preserve">1.00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across 4 formats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Exception detection (F1)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0.29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B34"/>
                <w:sz w:val="19"/>
                <w:szCs w:val="19"/>
              </w:rPr>
              <w:t xml:space="preserve">1.00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penalises misses AND false alarms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Missing-item detection (F1)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0.50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B34"/>
                <w:sz w:val="19"/>
                <w:szCs w:val="19"/>
              </w:rPr>
              <w:t xml:space="preserve">1.00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9"/>
                <w:szCs w:val="19"/>
              </w:rPr>
              <w:t xml:space="preserve">Overall reliability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9"/>
                <w:szCs w:val="19"/>
              </w:rPr>
              <w:t xml:space="preserve">0.496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6B34"/>
                <w:sz w:val="19"/>
                <w:szCs w:val="19"/>
              </w:rPr>
              <w:t xml:space="preserve">1.000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gate threshold 0.90 → PASS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The evaluator is deliberately strict about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false alarms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as well as misses — a tool that cries wolf is one a lawyer stops trusting. The regression gate means every future change is measured before it ships.</w:t>
      </w: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8A5A2B"/>
          <w:sz w:val="24"/>
          <w:szCs w:val="24"/>
        </w:rPr>
        <w:t xml:space="preserve">3.4 The pipeline and governance (Phase 2)</w:t>
      </w: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Once the two skills have earned their place, the same gate generalises to the whole firm. The governance model is simple and administrator-friendly: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Author: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any lawyer or associate writes the skill, its contract, and a handful of golden examples.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Approver: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Tom signs the pipeline run for ops/security; Priya owns the domain baselines (the BVCA baseline, the DD checklist) that skills must respect verbatim.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Promotion: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a change re-runs the harness in CI. Green and no regression → version bumped, published, auto-served to every install. Red → blocked at the current version.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Audit: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every approved version keeps its eval report, so the firm can always show its working.</w:t>
      </w: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8A5A2B"/>
          <w:sz w:val="24"/>
          <w:szCs w:val="24"/>
        </w:rPr>
        <w:t xml:space="preserve">3.5 Built for real use — trust, integration, and risk</w:t>
      </w: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Three things separate a tool a lawyer keeps using from a demo they abandon: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No rubber-stamp gates.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A confirmation prompt everyone clicks "approve" on is worse than no gate — it manufactures false assurance. On a high-risk flag (say a &gt;1x preference), the skill makes the lawyer make a real decision: pick from structured options — accept, negotiate, reject — or type a one-line override before it's cleared. Nothing high-risk clears silently.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Two-second verification.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Every extracted term and every DD finding carries a deep-linked citation to the exact clause/section it came from, so a lawyer confirms it in seconds rather than re-reading the document. Trust is earned by making it cheap to check.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Part of the practice web, not a silo.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The skills are designed to sit in the firm's matter lifecycle. Using the Model Context Protocol (MCP), the pipeline can securely bridge Claude to your existing systems — the SharePoint/VDR where documents live, and a document management system (e.g. iManage or Clio) — so a review runs against the live matter, not a copy pasted into a chat window. This is what turns it from a playground into a platform.</w:t>
      </w: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8A5A2B"/>
          <w:sz w:val="24"/>
          <w:szCs w:val="24"/>
        </w:rPr>
        <w:t xml:space="preserve">3.6 Where the skills live — storage, marketplace and version control</w:t>
      </w: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Concretely, this is how a skill goes from one lawyer's laptop to a vetted, current tool the whole firm installs from one place — using your provisioned private repository, so nothing is ever public:</w:t>
      </w:r>
    </w:p>
    <w:tbl>
      <w:tblPr>
        <w:tblW w:type="dxa" w:w="9000"/>
        <w:tblBorders>
          <w:top w:val="single" w:color="D8CFC0" w:sz="2"/>
          <w:left w:val="single" w:color="D8CFC0" w:sz="2"/>
          <w:bottom w:val="single" w:color="D8CFC0" w:sz="2"/>
          <w:right w:val="single" w:color="D8CFC0" w:sz="2"/>
          <w:insideH w:val="single" w:color="E5DED2" w:sz="2"/>
          <w:insideV w:val="single" w:color="E5DED2" w:sz="2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33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6600"/>
            <w:shd w:fill="1F33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we implement it</w:t>
            </w:r>
          </w:p>
        </w:tc>
      </w:tr>
      <w:tr>
        <w:tc>
          <w:tcPr>
            <w:tcW w:type="dxa" w:w="2400"/>
            <w:shd w:fill="F2EE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9"/>
                <w:szCs w:val="19"/>
              </w:rPr>
              <w:t xml:space="preserve">Store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The firm's private GitHub repository is the single source of truth. Each skill is packaged as a plugin bundling its SKILL.md, the JSON-schema contract, the reference baseline/checklist it must respect, and its golden dataset. Firm-wide conventions live in CLAUDE.md and .claude/rules/.</w:t>
            </w:r>
          </w:p>
        </w:tc>
      </w:tr>
      <w:tr>
        <w:tc>
          <w:tcPr>
            <w:tcW w:type="dxa" w:w="2400"/>
            <w:shd w:fill="F2EE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9"/>
                <w:szCs w:val="19"/>
              </w:rPr>
              <w:t xml:space="preserve">Advertise / discover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A private plugin marketplace — a .claude-plugin/marketplace.json at the repo root that catalogues each approved skill (name, description, version, source). This is the firm's single shelf of vetted skills; it gives centralised discovery and version tracking.</w:t>
            </w:r>
          </w:p>
        </w:tc>
      </w:tr>
      <w:tr>
        <w:tc>
          <w:tcPr>
            <w:tcW w:type="dxa" w:w="2400"/>
            <w:shd w:fill="F2EE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9"/>
                <w:szCs w:val="19"/>
              </w:rPr>
              <w:t xml:space="preserve">Install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A lawyer adds the marketplace once (/plugin marketplace add harrowvale/legal-skills) then installs from the /plugin menu — no copy-paste, no ten private forks. One shelf, ten identical installs.</w:t>
            </w:r>
          </w:p>
        </w:tc>
      </w:tr>
      <w:tr>
        <w:tc>
          <w:tcPr>
            <w:tcW w:type="dxa" w:w="2400"/>
            <w:shd w:fill="F2EE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Every plugin carries a semantic version and a changelog. A new version cannot be published until the eval harness passes, so v2 only ships if it's demonstrably no worse than v1. Lawyers pull updates with /plugin marketplace update; the pipeline can pin a known-good version for a live matter so a mid-deal review never shifts under a lawyer's feet.</w:t>
            </w:r>
          </w:p>
        </w:tc>
      </w:tr>
      <w:tr>
        <w:tc>
          <w:tcPr>
            <w:tcW w:type="dxa" w:w="2400"/>
            <w:shd w:fill="F2EE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9"/>
                <w:szCs w:val="19"/>
              </w:rPr>
              <w:t xml:space="preserve">Access &amp; audit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Private repository — visible only to the ten lawyers, with Tom as administrator/approver. Every published version keeps its eval report, so the firm can always show which version was used and why it was trusted.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Net effect: the "ten people each reinventing their own approach" problem is replaced by one private, versioned, vetted shelf — the exact stretch goal, made operational.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1F3352"/>
          <w:sz w:val="30"/>
          <w:szCs w:val="30"/>
        </w:rPr>
        <w:t xml:space="preserve">4. Where your data goes — the sign-off answer</w:t>
      </w: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This is the question the partners will ask first, so here it is in plain terms, specific to your stack (Claude Team plan; documents in Microsoft 365 / SharePoint; a private GitHub repo).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This is a starting memo for Priya — the specifics should be confirmed against Anthropic's current Commercial Terms and Data Processing Addendum before sign-off.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Training: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Under Anthropic's Commercial Terms, inputs and outputs from commercial products (Claude Team / "Claude for Work") are not used to train Anthropic's models by default. The consumer-terms changes around extended retention and training do not apply to Team/Enterprise.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Retention: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Conversations are retained in the product so the team has continuity, and can be deleted from the dashboard. Zero-data-retention arrangements exist but are enabled per-organisation for qualifying Enterprise accounts via Anthropic's account team — worth raising if the partners want no retention at all.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Where documents live: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Client documents stay in your existing M365 / SharePoint governance. The skills operate on a document in-session; they do not create a new data store. A term sheet is only sent to Claude at the moment a lawyer runs the review.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The GitHub repo holds code, not client data: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the private repo stores skill definitions, contracts, and golden datasets. Golden examples must use synthetic or redacted content (as the hackathon samples do). A firm rule — never commit a client document to the repo — keeps the confidentiality boundary clean.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Recommendation: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for a firm handling this data, evaluate Claude Enterprise for SSO, audit logs, longer/stricter admin controls and ZDR eligibility. Team is fine to prove Phase 1; Enterprise is the likely home for firm-wide rollout.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Privilege and liability, stated plainly: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this is a drafting-and-audit accelerator, not an automated decision-maker. The reviewing lawyer remains responsible for the advice — the skill surfaces and cites; the lawyer decides. For privileged material, run ingestion under zero-retention terms so a term sheet isn't persisted beyond the session. We'll set out a short risk-allocation note (where the tool's role ends and professional judgement begins) alongside the memo.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Full memo with citations delivered as a one-pager for Priya. Primary sources: Anthropic Privacy Center and Commercial Terms (see footnotes in the memo).</w:t>
      </w:r>
    </w:p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1F3352"/>
          <w:sz w:val="30"/>
          <w:szCs w:val="30"/>
        </w:rPr>
        <w:t xml:space="preserve">5. Scope, effort and price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Priced as a fixed-fee proof-of-concept, not a day rate.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We've sized Phase 1 to sit inside your stated envelope on purpose — the aim is to earn Phase 2 by saving you real hours, not to maximise the first invoice. Two options so you can choose the scope:</w:t>
      </w:r>
    </w:p>
    <w:tbl>
      <w:tblPr>
        <w:tblW w:type="dxa" w:w="9000"/>
        <w:tblBorders>
          <w:top w:val="single" w:color="D8CFC0" w:sz="2"/>
          <w:left w:val="single" w:color="D8CFC0" w:sz="2"/>
          <w:bottom w:val="single" w:color="D8CFC0" w:sz="2"/>
          <w:right w:val="single" w:color="D8CFC0" w:sz="2"/>
          <w:insideH w:val="single" w:color="E5DED2" w:sz="2"/>
          <w:insideV w:val="single" w:color="E5DED2" w:sz="2"/>
        </w:tblBorders>
      </w:tblPr>
      <w:tblGrid>
        <w:gridCol w:w="2200"/>
        <w:gridCol w:w="4200"/>
        <w:gridCol w:w="1300"/>
        <w:gridCol w:w="1300"/>
      </w:tblGrid>
      <w:tr>
        <w:trPr>
          <w:tblHeader/>
        </w:trPr>
        <w:tc>
          <w:tcPr>
            <w:tcW w:type="dxa" w:w="2200"/>
            <w:shd w:fill="1F33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 1 option</w:t>
            </w:r>
          </w:p>
        </w:tc>
        <w:tc>
          <w:tcPr>
            <w:tcW w:type="dxa" w:w="4200"/>
            <w:shd w:fill="1F33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What's included</w:t>
            </w:r>
          </w:p>
        </w:tc>
        <w:tc>
          <w:tcPr>
            <w:tcW w:type="dxa" w:w="1300"/>
            <w:shd w:fill="1F33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00"/>
            <w:shd w:fill="1F33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Fixed fee</w:t>
            </w:r>
          </w:p>
        </w:tc>
      </w:tr>
      <w:tr>
        <w:tc>
          <w:tcPr>
            <w:tcW w:type="dxa" w:w="2200"/>
            <w:shd w:fill="F2EE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9"/>
                <w:szCs w:val="19"/>
              </w:rPr>
              <w:t xml:space="preserve">A — Recommended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Both skills (term-sheet Exception Report + DD checklist mapper), the eval harness &amp; regression gate, and the one-page data memo. Demoed running on your samples on 29 July.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~9–10 days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352"/>
                <w:sz w:val="19"/>
                <w:szCs w:val="19"/>
              </w:rPr>
              <w:t xml:space="preserve">£4,500</w:t>
            </w:r>
          </w:p>
        </w:tc>
      </w:tr>
      <w:tr>
        <w:tc>
          <w:tcPr>
            <w:tcW w:type="dxa" w:w="2200"/>
            <w:shd w:fill="F2EE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9"/>
                <w:szCs w:val="19"/>
              </w:rPr>
              <w:t xml:space="preserve">B — Leaner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Term-sheet Exception Report + eval harness + data memo. DD mapper deferred to Phase 2.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~6 days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352"/>
                <w:sz w:val="19"/>
                <w:szCs w:val="19"/>
              </w:rPr>
              <w:t xml:space="preserve">£2,800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Phase 2 (indicative, scoped after Phase 1):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the firm-wide pipeline and approval/versioning process, install path for all ten lawyers, the term-sheet→definitives consistency checker and disclosure-letter review, and MCP integration to the VDR/DMS. Indicative range £8,000–£15,000 depending on skill count, integration depth, and whether you move to Enterprise. Not billed now — and not worth committing to until Phase 1 has proved itself.</w:t>
      </w:r>
    </w:p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1F3352"/>
          <w:sz w:val="30"/>
          <w:szCs w:val="30"/>
        </w:rPr>
        <w:t xml:space="preserve">6. What success looks like</w:t>
      </w: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We'll judge Phase 1 the way Tom framed it — would a lawyer actually reach for this mid-deal?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 lawyer runs the term-sheet skill on a live sheet and gets Priya's Exception Report in the shape she wants, consistently, across formats.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Tom runs the DD mapper on a document dump and gets an accurate satisfied/missing report with citations, in seconds rather than an evening.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Priya signs off because the data question has a real, written answer.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The eval harness shows the skills clear the reliability threshold with no regression — the number the firm can point to.</w:t>
      </w:r>
    </w:p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1F3352"/>
          <w:sz w:val="30"/>
          <w:szCs w:val="30"/>
        </w:rPr>
        <w:t xml:space="preserve">7. Beyond the data room — the roadmap</w:t>
      </w:r>
    </w:p>
    <w:p>
      <w:pPr>
        <w:spacing w:after="120" w:line="276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Term-sheet review and due diligence are where we start because they're your daily pain. But the same pipeline extends naturally down the deal, and this is where it becomes a genuine platform: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Term-sheet → definitives consistency.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When the Shareholders' Agreement and Articles drafts arrive, the highest-value check is whether they faithfully reflect the signed term sheet — or whether something has drifted (a preference quietly becoming participating, a board seat added). We've already prototyped this: a consistency check confirms the GreenGrid Articles reconcile with the signed term sheet, clause by clause. This is the bridge from parsing to closing.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Disclosure-letter review.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Cross-check the seller's disclosures against the representations and warranties so no new risk is slipped in.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Firm-wide rollout &amp; Enterprise.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Publish the vetted skills to all ten lawyers via the pipeline, and evaluate Claude Enterprise for SSO, audit logs and zero-retention as the firm scales usage.</w:t>
      </w:r>
    </w:p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1F3352"/>
          <w:sz w:val="30"/>
          <w:szCs w:val="30"/>
        </w:rPr>
        <w:t xml:space="preserve">8. Next steps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You pick Option A or B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(or tell us to adjust scope).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A 20-minute call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to confirm the BVCA baseline reflects the firm's house view and to walk the DD checklist edge cases. (Tom offered his direct line for this.)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We demo both skills running on your samples at the 29 July check-in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, hand over the data memo for Priya, and agree whether to proceed to Phase 2.</w:t>
      </w:r>
    </w:p>
    <w:p>
      <w:pPr>
        <w:spacing w:before="240"/>
      </w:pPr>
      <w:r>
        <w:rPr>
          <w:rFonts w:ascii="Georgia" w:cs="Georgia" w:eastAsia="Georgia" w:hAnsi="Georgia"/>
          <w:i/>
          <w:iCs/>
          <w:color w:val="1F3352"/>
          <w:sz w:val="22"/>
          <w:szCs w:val="22"/>
        </w:rPr>
        <w:t xml:space="preserve">Thank you — we're ready to start on your word.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1F3352"/>
          <w:sz w:val="30"/>
          <w:szCs w:val="30"/>
        </w:rPr>
        <w:t xml:space="preserve">Appendix A — Sample Exception Report output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Two of your four samples, as the skill returns them (abridged from the structured JSON). Note the economics-then-control order and the aggressive / watch tags.</w:t>
      </w: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8A5A2B"/>
          <w:sz w:val="24"/>
          <w:szCs w:val="24"/>
        </w:rPr>
        <w:t xml:space="preserve">GreenGrid Analytics — Series A (priced round)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[watch] Option pool —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No option pool created in this round; future hires dilute post-round. Consider a pre-money pool. (Cap-table note.) Confidence 0.82.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B23A2E"/>
          <w:sz w:val="21"/>
          <w:szCs w:val="21"/>
        </w:rPr>
        <w:t xml:space="preserve">[missing] Pro-rata rights —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No pro-rata/participation right stated; unusual to omit for a lead. Confidence 0.80.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[info]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1x non-participating preference, broad-based weighted-average anti-dilution, 2 founder / 1 investor board — all standard. Figures reconcile with the cap table and Articles.</w:t>
      </w:r>
    </w:p>
    <w:p>
      <w:pPr>
        <w:pStyle w:val="Heading2"/>
        <w:spacing w:after="80" w:before="200"/>
      </w:pPr>
      <w:r>
        <w:rPr>
          <w:rFonts w:ascii="Georgia" w:cs="Georgia" w:eastAsia="Georgia" w:hAnsi="Georgia"/>
          <w:b/>
          <w:bCs/>
          <w:color w:val="8A5A2B"/>
          <w:sz w:val="24"/>
          <w:szCs w:val="24"/>
        </w:rPr>
        <w:t xml:space="preserve">Anchorline Biotech — Convertible loan note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B23A2E"/>
          <w:sz w:val="21"/>
          <w:szCs w:val="21"/>
        </w:rPr>
        <w:t xml:space="preserve">[aggressive] Change-of-control premium —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1.5x premium on a change of control before conversion; materially investor-favourable vs a 1x baseline. Confidence 0.92.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8A5A2B"/>
          <w:sz w:val="21"/>
          <w:szCs w:val="21"/>
        </w:rPr>
        <w:t xml:space="preserve">[watch] Interest —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8% per annum, compounding annually — above the 0–6% simple norm; increases the conversion/redemption amount. Confidence 0.88.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B23A2E"/>
          <w:sz w:val="21"/>
          <w:szCs w:val="21"/>
        </w:rPr>
        <w:t xml:space="preserve">[missing] Pro-rata rights —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None stated for the note holder. Confidence 0.76.</w:t>
      </w:r>
    </w:p>
    <w:p>
      <w:pPr>
        <w:pStyle w:val="Heading1"/>
        <w:spacing w:after="120" w:before="280"/>
      </w:pPr>
      <w:r>
        <w:rPr>
          <w:rFonts w:ascii="Georgia" w:cs="Georgia" w:eastAsia="Georgia" w:hAnsi="Georgia"/>
          <w:b/>
          <w:bCs/>
          <w:color w:val="1F3352"/>
          <w:sz w:val="30"/>
          <w:szCs w:val="30"/>
        </w:rPr>
        <w:t xml:space="preserve">Appendix B — Eval harness output (extract)</w:t>
      </w:r>
    </w:p>
    <w:p>
      <w:pPr>
        <w:pBdr>
          <w:top w:val="single" w:color="11141A" w:sz="6"/>
          <w:bottom w:val="single" w:color="11141A" w:sz="6"/>
          <w:left w:val="single" w:color="11141A" w:sz="6"/>
          <w:right w:val="single" w:color="11141A" w:sz="6"/>
        </w:pBdr>
        <w:shd w:fill="11141A" w:color="auto" w:val="clear"/>
        <w:spacing w:after="120"/>
      </w:pPr>
      <w:r>
        <w:rPr>
          <w:rFonts w:ascii="Consolas" w:cs="Consolas" w:eastAsia="Consolas" w:hAnsi="Consolas"/>
          <w:color w:val="7FE0A0"/>
          <w:sz w:val="16"/>
          <w:szCs w:val="16"/>
        </w:rPr>
        <w:t xml:space="preserve">=== Skill version v2 ===</w:t>
      </w:r>
    </w:p>
    <w:p>
      <w:pPr>
        <w:shd w:fill="11141A" w:color="auto" w:val="clear"/>
        <w:spacing w:after="0"/>
      </w:pPr>
      <w:r>
        <w:rPr>
          <w:rFonts w:ascii="Consolas" w:cs="Consolas" w:eastAsia="Consolas" w:hAnsi="Consolas"/>
          <w:color w:val="D6D6D6"/>
          <w:sz w:val="16"/>
          <w:szCs w:val="16"/>
        </w:rPr>
        <w:t xml:space="preserve">  nimbus-safe             instrument=OK  | exc P/R/F1=1.00/1.00/1.00 | missing F1=1.00</w:t>
      </w:r>
    </w:p>
    <w:p>
      <w:pPr>
        <w:shd w:fill="11141A" w:color="auto" w:val="clear"/>
        <w:spacing w:after="0"/>
      </w:pPr>
      <w:r>
        <w:rPr>
          <w:rFonts w:ascii="Consolas" w:cs="Consolas" w:eastAsia="Consolas" w:hAnsi="Consolas"/>
          <w:color w:val="D6D6D6"/>
          <w:sz w:val="16"/>
          <w:szCs w:val="16"/>
        </w:rPr>
        <w:t xml:space="preserve">  greengrid-series-a      instrument=OK  | exc P/R/F1=1.00/1.00/1.00 | missing F1=1.00</w:t>
      </w:r>
    </w:p>
    <w:p>
      <w:pPr>
        <w:shd w:fill="11141A" w:color="auto" w:val="clear"/>
        <w:spacing w:after="0"/>
      </w:pPr>
      <w:r>
        <w:rPr>
          <w:rFonts w:ascii="Consolas" w:cs="Consolas" w:eastAsia="Consolas" w:hAnsi="Consolas"/>
          <w:color w:val="D6D6D6"/>
          <w:sz w:val="16"/>
          <w:szCs w:val="16"/>
        </w:rPr>
        <w:t xml:space="preserve">  anchorline-convertible  instrument=OK  | exc P/R/F1=1.00/1.00/1.00 | missing F1=1.00</w:t>
      </w:r>
    </w:p>
    <w:p>
      <w:pPr>
        <w:shd w:fill="11141A" w:color="auto" w:val="clear"/>
        <w:spacing w:after="0"/>
      </w:pPr>
      <w:r>
        <w:rPr>
          <w:rFonts w:ascii="Consolas" w:cs="Consolas" w:eastAsia="Consolas" w:hAnsi="Consolas"/>
          <w:color w:val="D6D6D6"/>
          <w:sz w:val="16"/>
          <w:szCs w:val="16"/>
        </w:rPr>
        <w:t xml:space="preserve">  solace-seed             instrument=OK  | exc P/R/F1=1.00/1.00/1.00 | missing F1=1.00</w:t>
      </w:r>
    </w:p>
    <w:p>
      <w:pPr>
        <w:shd w:fill="11141A" w:color="auto" w:val="clear"/>
        <w:spacing w:after="0"/>
      </w:pPr>
      <w:r>
        <w:rPr>
          <w:rFonts w:ascii="Consolas" w:cs="Consolas" w:eastAsia="Consolas" w:hAnsi="Consolas"/>
          <w:color w:val="D6D6D6"/>
          <w:sz w:val="16"/>
          <w:szCs w:val="16"/>
        </w:rPr>
        <w:t xml:space="preserve">  AGG  instrument=1.00 exc_F1=1.00 miss_F1=1.00 OVERALL=1.000</w:t>
      </w:r>
    </w:p>
    <w:p>
      <w:pPr>
        <w:shd w:fill="11141A" w:color="auto" w:val="clear"/>
        <w:spacing w:after="0"/>
      </w:pPr>
      <w:r>
        <w:rPr>
          <w:rFonts w:ascii="Consolas" w:cs="Consolas" w:eastAsia="Consolas" w:hAnsi="Consolas"/>
          <w:color w:val="D6D6D6"/>
          <w:sz w:val="16"/>
          <w:szCs w:val="16"/>
        </w:rPr>
        <w:t xml:space="preserve"> </w:t>
      </w:r>
    </w:p>
    <w:p>
      <w:pPr>
        <w:shd w:fill="11141A" w:color="auto" w:val="clear"/>
        <w:spacing w:after="0"/>
      </w:pPr>
      <w:r>
        <w:rPr>
          <w:rFonts w:ascii="Consolas" w:cs="Consolas" w:eastAsia="Consolas" w:hAnsi="Consolas"/>
          <w:color w:val="D6D6D6"/>
          <w:sz w:val="16"/>
          <w:szCs w:val="16"/>
        </w:rPr>
        <w:t xml:space="preserve">=== REGRESSION GATE ===  v1 0.496 -&gt; v2 1.000   RESULT: PASS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Full prototype (skills, contract schema, golden datasets, evaluator, and the DD mapper) accompanies this proposal as a runnable folder.</w:t>
      </w:r>
    </w:p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· Prepared for Tom Harrow · 22 July 2026 · 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Harrow &amp; Vale LLP —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  <w:rPr>
        <w:color w:val="8A5A2B"/>
      </w:rPr>
    </w:lvl>
    <w:lvl w:ilvl="1" w15:tentative="1">
      <w:start w:val="1"/>
      <w:numFmt w:val="bullet"/>
      <w:lvlText w:val="–"/>
      <w:lvlJc w:val="left"/>
      <w:pPr>
        <w:ind w:left="8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Harrow &amp; Vale — Legal Skills Pipeline Proposal</dc:title>
  <dc:creator>Synthetic Signal Associate</dc:creator>
  <cp:lastModifiedBy>Un-named</cp:lastModifiedBy>
  <cp:revision>1</cp:revision>
  <dcterms:created xsi:type="dcterms:W3CDTF">2026-07-22T17:33:52.772Z</dcterms:created>
  <dcterms:modified xsi:type="dcterms:W3CDTF">2026-07-22T17:33:52.772Z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