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sz w:val="40"/>
        </w:rPr>
        <w:t>WORKFORCE MANAGEMENT DOCUMENT</w:t>
      </w:r>
    </w:p>
    <w:p>
      <w:pPr>
        <w:jc w:val="center"/>
      </w:pPr>
      <w:r>
        <w:rPr>
          <w:rFonts w:ascii="Calibri" w:hAnsi="Calibri"/>
          <w:b/>
          <w:sz w:val="40"/>
        </w:rPr>
        <w:t>DISTRIBUTION EPC</w:t>
      </w:r>
    </w:p>
    <w:p/>
    <w:p/>
    <w:p>
      <w:pPr>
        <w:jc w:val="center"/>
      </w:pPr>
      <w:r>
        <w:rPr>
          <w:rFonts w:ascii="Calibri" w:hAnsi="Calibri"/>
          <w:b/>
          <w:sz w:val="22"/>
        </w:rPr>
        <w:t xml:space="preserve">Document Version:  </w:t>
      </w:r>
      <w:r>
        <w:rPr>
          <w:rFonts w:ascii="Calibri" w:hAnsi="Calibri"/>
          <w:b w:val="0"/>
          <w:sz w:val="22"/>
        </w:rPr>
        <w:t>Version 1.0</w:t>
      </w:r>
    </w:p>
    <w:p>
      <w:pPr>
        <w:jc w:val="center"/>
      </w:pPr>
      <w:r>
        <w:rPr>
          <w:rFonts w:ascii="Calibri" w:hAnsi="Calibri"/>
          <w:b/>
          <w:sz w:val="22"/>
        </w:rPr>
        <w:t xml:space="preserve">Date:  </w:t>
      </w:r>
      <w:r>
        <w:rPr>
          <w:rFonts w:ascii="Calibri" w:hAnsi="Calibri"/>
          <w:b w:val="0"/>
          <w:sz w:val="22"/>
        </w:rPr>
        <w:t>12-Jun-2026</w:t>
      </w:r>
    </w:p>
    <w:p>
      <w:pPr>
        <w:jc w:val="center"/>
      </w:pPr>
      <w:r>
        <w:rPr>
          <w:rFonts w:ascii="Calibri" w:hAnsi="Calibri"/>
          <w:b/>
          <w:sz w:val="22"/>
        </w:rPr>
        <w:t xml:space="preserve">Prepared By:  </w:t>
      </w:r>
      <w:r>
        <w:rPr>
          <w:rFonts w:ascii="Calibri" w:hAnsi="Calibri"/>
          <w:b w:val="0"/>
          <w:sz w:val="22"/>
        </w:rPr>
        <w:t>Harsh Singh</w:t>
      </w:r>
    </w:p>
    <w:p>
      <w:pPr>
        <w:jc w:val="center"/>
      </w:pPr>
      <w:r>
        <w:rPr>
          <w:rFonts w:ascii="Calibri" w:hAnsi="Calibri"/>
          <w:b/>
          <w:sz w:val="22"/>
        </w:rPr>
        <w:t xml:space="preserve">Status:  </w:t>
      </w:r>
      <w:r>
        <w:rPr>
          <w:rFonts w:ascii="Calibri" w:hAnsi="Calibri"/>
          <w:b w:val="0"/>
          <w:sz w:val="22"/>
        </w:rPr>
        <w:t>Initial Release</w:t>
      </w:r>
    </w:p>
    <w:p>
      <w:r>
        <w:br w:type="page"/>
      </w:r>
    </w:p>
    <w:p>
      <w:pPr>
        <w:spacing w:before="240" w:after="120"/>
      </w:pPr>
      <w:r>
        <w:rPr>
          <w:rFonts w:ascii="Calibri" w:hAnsi="Calibri"/>
          <w:b/>
          <w:sz w:val="28"/>
        </w:rPr>
        <w:t>TABLE OF CONTENTS</w:t>
      </w:r>
    </w:p>
    <w:p>
      <w:pPr>
        <w:spacing w:after="60"/>
      </w:pPr>
      <w:r>
        <w:rPr>
          <w:rFonts w:ascii="Calibri" w:hAnsi="Calibri"/>
          <w:b w:val="0"/>
          <w:sz w:val="22"/>
        </w:rPr>
        <w:t>1.  Introduction</w:t>
      </w:r>
    </w:p>
    <w:p>
      <w:pPr>
        <w:spacing w:after="60"/>
      </w:pPr>
      <w:r>
        <w:rPr>
          <w:rFonts w:ascii="Calibri" w:hAnsi="Calibri"/>
          <w:b w:val="0"/>
          <w:sz w:val="22"/>
        </w:rPr>
        <w:t>2.  Distribution</w:t>
      </w:r>
    </w:p>
    <w:p>
      <w:pPr>
        <w:spacing w:after="60"/>
      </w:pPr>
      <w:r>
        <w:rPr>
          <w:rFonts w:ascii="Calibri" w:hAnsi="Calibri"/>
          <w:b w:val="0"/>
          <w:sz w:val="22"/>
        </w:rPr>
        <w:t>WORKFLOW 1:   Bid Process in Distribution EPC Projects</w:t>
      </w:r>
    </w:p>
    <w:p>
      <w:pPr>
        <w:spacing w:after="60"/>
      </w:pPr>
      <w:r>
        <w:rPr>
          <w:rFonts w:ascii="Calibri" w:hAnsi="Calibri"/>
          <w:b w:val="0"/>
          <w:sz w:val="22"/>
        </w:rPr>
        <w:t>WORKFLOW 2:   Contract Finalization and Project Mobilization Process</w:t>
      </w:r>
    </w:p>
    <w:p>
      <w:pPr>
        <w:spacing w:after="60"/>
      </w:pPr>
      <w:r>
        <w:rPr>
          <w:rFonts w:ascii="Calibri" w:hAnsi="Calibri"/>
          <w:b w:val="0"/>
          <w:sz w:val="22"/>
        </w:rPr>
        <w:t>WORKFLOW 3:   Project Mobilization and Site Establishment Process</w:t>
      </w:r>
    </w:p>
    <w:p>
      <w:pPr>
        <w:spacing w:after="60"/>
      </w:pPr>
      <w:r>
        <w:rPr>
          <w:rFonts w:ascii="Calibri" w:hAnsi="Calibri"/>
          <w:b w:val="0"/>
          <w:sz w:val="22"/>
        </w:rPr>
        <w:t>WORKFLOW 4:   Detailed Survey and Route Finalization Process</w:t>
      </w:r>
    </w:p>
    <w:p>
      <w:pPr>
        <w:spacing w:after="60"/>
      </w:pPr>
      <w:r>
        <w:rPr>
          <w:rFonts w:ascii="Calibri" w:hAnsi="Calibri"/>
          <w:b w:val="0"/>
          <w:sz w:val="22"/>
        </w:rPr>
        <w:t>WORKFLOW 5:   Detailed Engineering and Drawing Preparation Process</w:t>
      </w:r>
    </w:p>
    <w:p>
      <w:pPr>
        <w:spacing w:after="60"/>
      </w:pPr>
      <w:r>
        <w:rPr>
          <w:rFonts w:ascii="Calibri" w:hAnsi="Calibri"/>
          <w:b w:val="0"/>
          <w:sz w:val="22"/>
        </w:rPr>
        <w:t>WORKFLOW 6:   Procurement, Vendor Approval and Material Supply Process</w:t>
      </w:r>
    </w:p>
    <w:p>
      <w:pPr>
        <w:spacing w:after="60"/>
      </w:pPr>
      <w:r>
        <w:rPr>
          <w:rFonts w:ascii="Calibri" w:hAnsi="Calibri"/>
          <w:b w:val="0"/>
          <w:sz w:val="22"/>
        </w:rPr>
        <w:t>WORKFLOW 7:   Material Receipt, Inspection and Installation Release Process</w:t>
      </w:r>
    </w:p>
    <w:p>
      <w:pPr>
        <w:spacing w:after="60"/>
      </w:pPr>
      <w:r>
        <w:rPr>
          <w:rFonts w:ascii="Calibri" w:hAnsi="Calibri"/>
          <w:b w:val="0"/>
          <w:sz w:val="22"/>
        </w:rPr>
        <w:t>WORKFLOW 8:   Civil Works and Ground Preparation Process</w:t>
      </w:r>
    </w:p>
    <w:p>
      <w:pPr>
        <w:spacing w:after="60"/>
      </w:pPr>
      <w:r>
        <w:rPr>
          <w:rFonts w:ascii="Calibri" w:hAnsi="Calibri"/>
          <w:b w:val="0"/>
          <w:sz w:val="22"/>
        </w:rPr>
        <w:t>WORKFLOW 9:   Pole Erection and Overhead Line Construction Process</w:t>
      </w:r>
    </w:p>
    <w:p>
      <w:pPr>
        <w:spacing w:after="60"/>
      </w:pPr>
      <w:r>
        <w:rPr>
          <w:rFonts w:ascii="Calibri" w:hAnsi="Calibri"/>
          <w:b w:val="0"/>
          <w:sz w:val="22"/>
        </w:rPr>
        <w:t>WORKFLOW 10:  Distribution Transformer Installation Process</w:t>
      </w:r>
    </w:p>
    <w:p>
      <w:pPr>
        <w:spacing w:after="60"/>
      </w:pPr>
      <w:r>
        <w:rPr>
          <w:rFonts w:ascii="Calibri" w:hAnsi="Calibri"/>
          <w:b w:val="0"/>
          <w:sz w:val="22"/>
        </w:rPr>
        <w:t>WORKFLOW 11:  Underground Cable Laying and Termination Process</w:t>
      </w:r>
    </w:p>
    <w:p>
      <w:pPr>
        <w:spacing w:after="60"/>
      </w:pPr>
      <w:r>
        <w:rPr>
          <w:rFonts w:ascii="Calibri" w:hAnsi="Calibri"/>
          <w:b w:val="0"/>
          <w:sz w:val="22"/>
        </w:rPr>
        <w:t>WORKFLOW 12:  Smart Meter and AMI System Installation Process</w:t>
      </w:r>
    </w:p>
    <w:p>
      <w:pPr>
        <w:spacing w:after="60"/>
      </w:pPr>
      <w:r>
        <w:rPr>
          <w:rFonts w:ascii="Calibri" w:hAnsi="Calibri"/>
          <w:b w:val="0"/>
          <w:sz w:val="22"/>
        </w:rPr>
        <w:t>WORKFLOW 13:  Distribution Automation and SCADA Integration Process</w:t>
      </w:r>
    </w:p>
    <w:p>
      <w:pPr>
        <w:spacing w:after="60"/>
      </w:pPr>
      <w:r>
        <w:rPr>
          <w:rFonts w:ascii="Calibri" w:hAnsi="Calibri"/>
          <w:b w:val="0"/>
          <w:sz w:val="22"/>
        </w:rPr>
        <w:t>WORKFLOW 14:  Electrical Testing and Pre-Commissioning Process</w:t>
      </w:r>
    </w:p>
    <w:p>
      <w:pPr>
        <w:spacing w:after="60"/>
      </w:pPr>
      <w:r>
        <w:rPr>
          <w:rFonts w:ascii="Calibri" w:hAnsi="Calibri"/>
          <w:b w:val="0"/>
          <w:sz w:val="22"/>
        </w:rPr>
        <w:t>WORKFLOW 15:  External Clearances and Regulatory Approvals Process</w:t>
      </w:r>
    </w:p>
    <w:p>
      <w:pPr>
        <w:spacing w:after="60"/>
      </w:pPr>
      <w:r>
        <w:rPr>
          <w:rFonts w:ascii="Calibri" w:hAnsi="Calibri"/>
          <w:b w:val="0"/>
          <w:sz w:val="22"/>
        </w:rPr>
        <w:t>WORKFLOW 16:  Commissioning and Energization Process</w:t>
      </w:r>
    </w:p>
    <w:p>
      <w:pPr>
        <w:spacing w:after="60"/>
      </w:pPr>
      <w:r>
        <w:rPr>
          <w:rFonts w:ascii="Calibri" w:hAnsi="Calibri"/>
          <w:b w:val="0"/>
          <w:sz w:val="22"/>
        </w:rPr>
        <w:t>WORKFLOW 17:  Trial Run and Performance Monitoring Process</w:t>
      </w:r>
    </w:p>
    <w:p>
      <w:pPr>
        <w:spacing w:after="60"/>
      </w:pPr>
      <w:r>
        <w:rPr>
          <w:rFonts w:ascii="Calibri" w:hAnsi="Calibri"/>
          <w:b w:val="0"/>
          <w:sz w:val="22"/>
        </w:rPr>
        <w:t>WORKFLOW 18:  Project Handover and Client Acceptance Process</w:t>
      </w:r>
    </w:p>
    <w:p>
      <w:pPr>
        <w:spacing w:after="60"/>
      </w:pPr>
      <w:r>
        <w:rPr>
          <w:rFonts w:ascii="Calibri" w:hAnsi="Calibri"/>
          <w:b w:val="0"/>
          <w:sz w:val="22"/>
        </w:rPr>
        <w:t>WORKFLOW 19:  Defect Liability Period, Warranty Support and Performance Assurance Process</w:t>
      </w:r>
    </w:p>
    <w:p>
      <w:pPr>
        <w:spacing w:after="60"/>
      </w:pPr>
      <w:r>
        <w:rPr>
          <w:rFonts w:ascii="Calibri" w:hAnsi="Calibri"/>
          <w:b w:val="0"/>
          <w:sz w:val="22"/>
        </w:rPr>
        <w:t>WORKFLOW 20:  Final Acceptance Certificate, Contract Closure and Project Closeout Process</w:t>
      </w:r>
    </w:p>
    <w:p>
      <w:r>
        <w:br w:type="page"/>
      </w:r>
    </w:p>
    <w:p>
      <w:pPr>
        <w:spacing w:before="240" w:after="120"/>
      </w:pPr>
      <w:r>
        <w:rPr>
          <w:rFonts w:ascii="Calibri" w:hAnsi="Calibri"/>
          <w:b/>
          <w:sz w:val="28"/>
        </w:rPr>
        <w:t>1. Introduction</w:t>
      </w:r>
    </w:p>
    <w:p>
      <w:pPr>
        <w:spacing w:before="0" w:after="120"/>
        <w:jc w:val="both"/>
      </w:pPr>
      <w:r>
        <w:rPr>
          <w:rFonts w:ascii="Calibri" w:hAnsi="Calibri"/>
          <w:b w:val="0"/>
          <w:sz w:val="22"/>
        </w:rPr>
        <w:t>This Workforce Management Document provides a comprehensive reference for the execution of Distribution EPC (Engineering, Procurement, and Construction) projects undertaken by the organization on behalf of Distribution Companies (DISCOMs) and government utilities across India. The document captures the structured workflows, process sequences, and technical activities that govern each phase of a Distribution EPC project from initial bid preparation through final contract closure.</w:t>
      </w:r>
    </w:p>
    <w:p>
      <w:pPr>
        <w:spacing w:before="0" w:after="120"/>
        <w:jc w:val="both"/>
      </w:pPr>
      <w:r>
        <w:rPr>
          <w:rFonts w:ascii="Calibri" w:hAnsi="Calibri"/>
          <w:b w:val="0"/>
          <w:sz w:val="22"/>
        </w:rPr>
        <w:t>Distribution EPC projects encompass the design, supply, and construction of high tension (HT) overhead lines, low tension (LT) distribution networks, distribution transformer (DTR) installations, underground cable systems, smart metering and Advanced Metering Infrastructure (AMI), distribution automation and SCADA systems, and associated civil and electrical infrastructure under schemes including RDSS (Revamped Distribution Sector Scheme), DDUGJY (Deen Dayal Upadhyaya Gram Jyoti Yojana), SAUBHAGYA, and Smart Cities Mission.</w:t>
      </w:r>
    </w:p>
    <w:p>
      <w:pPr>
        <w:spacing w:before="0" w:after="120"/>
        <w:jc w:val="both"/>
      </w:pPr>
      <w:r>
        <w:rPr>
          <w:rFonts w:ascii="Calibri" w:hAnsi="Calibri"/>
          <w:b w:val="0"/>
          <w:sz w:val="22"/>
        </w:rPr>
        <w:t>Each workflow section documents the logical sequence of activities, parallel execution opportunities, sequential dependency gates, and system status transitions that apply to that phase of the project. The document is intended as a reference for Project Managers, Site Engineers, QA/QC personnel, procurement teams, and contract managers engaged in Distribution EPC project execution.</w:t>
      </w:r>
    </w:p>
    <w:p>
      <w:r>
        <w:br w:type="page"/>
      </w:r>
    </w:p>
    <w:p>
      <w:pPr>
        <w:spacing w:before="240" w:after="120"/>
      </w:pPr>
      <w:r>
        <w:rPr>
          <w:rFonts w:ascii="Calibri" w:hAnsi="Calibri"/>
          <w:b/>
          <w:sz w:val="28"/>
        </w:rPr>
        <w:t>2. Distribution</w:t>
      </w:r>
    </w:p>
    <w:p>
      <w:pPr>
        <w:spacing w:before="0" w:after="120"/>
        <w:jc w:val="both"/>
      </w:pPr>
      <w:r>
        <w:rPr>
          <w:rFonts w:ascii="Calibri" w:hAnsi="Calibri"/>
          <w:b w:val="0"/>
          <w:sz w:val="22"/>
        </w:rPr>
        <w:t>This document is distributed to the following functions within the project organization: Project Director, Project Manager, Senior Site Engineer, QA/QC Engineer, Safety Officer, Procurement Manager, Commercial Manager, Contract Manager, and Finance Controller. External distribution is limited to the DISCOM Project Manager and the designated client representative as required by the contract documentation management plan.</w:t>
      </w:r>
    </w:p>
    <w:p>
      <w:pPr>
        <w:spacing w:before="0" w:after="120"/>
        <w:jc w:val="both"/>
      </w:pPr>
      <w:r>
        <w:rPr>
          <w:rFonts w:ascii="Calibri" w:hAnsi="Calibri"/>
          <w:b w:val="0"/>
          <w:sz w:val="22"/>
        </w:rPr>
        <w:t>All controlled copies of this document are maintained in the project document management system. Any revisions to this document will be issued with an updated revision number and distributed to all original recipients. Superseded versions will be clearly marked as obsolete and removed from active use at all workstations.</w:t>
      </w:r>
    </w:p>
    <w:p>
      <w:r>
        <w:br w:type="page"/>
      </w:r>
    </w:p>
    <w:p>
      <w:r>
        <w:br w:type="page"/>
      </w:r>
    </w:p>
    <w:p>
      <w:pPr>
        <w:spacing w:before="240" w:after="120"/>
      </w:pPr>
      <w:r>
        <w:rPr>
          <w:rFonts w:ascii="Calibri" w:hAnsi="Calibri"/>
          <w:b/>
          <w:sz w:val="28"/>
        </w:rPr>
        <w:t>WORKFLOW 1: Bid Process in Distribution EPC Projects</w:t>
      </w:r>
    </w:p>
    <w:p>
      <w:pPr>
        <w:spacing w:before="0" w:after="120"/>
        <w:jc w:val="both"/>
      </w:pPr>
      <w:r>
        <w:rPr>
          <w:rFonts w:ascii="Calibri" w:hAnsi="Calibri"/>
          <w:b w:val="0"/>
          <w:sz w:val="22"/>
        </w:rPr>
        <w:t>The bid process is the foundational phase of any Distribution EPC project, representing the organization's structured effort to evaluate, prepare, and submit a competitive proposal to secure a project contract from a DISCOM or government utility. This phase begins when a tender or NIT is published and concludes with the formal award of the Letter of Award (LOA). The bid process determines the technical approach, cost baseline, and commercial terms that will govern the entire project lifecycle, making accuracy and thoroughness in this phase critical to project success.</w:t>
      </w:r>
    </w:p>
    <w:p>
      <w:r>
        <w:rPr>
          <w:rFonts w:ascii="Calibri" w:hAnsi="Calibri"/>
          <w:b/>
          <w:sz w:val="22"/>
        </w:rPr>
        <w:t>Flowchart:</w:t>
      </w:r>
    </w:p>
    <w:p>
      <w:pPr>
        <w:jc w:val="center"/>
      </w:pPr>
      <w:r>
        <w:drawing>
          <wp:inline xmlns:a="http://schemas.openxmlformats.org/drawingml/2006/main" xmlns:pic="http://schemas.openxmlformats.org/drawingml/2006/picture">
            <wp:extent cx="5486400" cy="11343823"/>
            <wp:docPr id="1" name="Picture 1"/>
            <wp:cNvGraphicFramePr>
              <a:graphicFrameLocks noChangeAspect="1"/>
            </wp:cNvGraphicFramePr>
            <a:graphic>
              <a:graphicData uri="http://schemas.openxmlformats.org/drawingml/2006/picture">
                <pic:pic>
                  <pic:nvPicPr>
                    <pic:cNvPr id="0" name="section_01.png"/>
                    <pic:cNvPicPr/>
                  </pic:nvPicPr>
                  <pic:blipFill>
                    <a:blip r:embed="rId9"/>
                    <a:stretch>
                      <a:fillRect/>
                    </a:stretch>
                  </pic:blipFill>
                  <pic:spPr>
                    <a:xfrm>
                      <a:off x="0" y="0"/>
                      <a:ext cx="5486400" cy="11343823"/>
                    </a:xfrm>
                    <a:prstGeom prst="rect"/>
                  </pic:spPr>
                </pic:pic>
              </a:graphicData>
            </a:graphic>
          </wp:inline>
        </w:drawing>
      </w:r>
    </w:p>
    <w:p>
      <w:pPr>
        <w:spacing w:before="160" w:after="80"/>
      </w:pPr>
      <w:r>
        <w:rPr>
          <w:rFonts w:ascii="Calibri" w:hAnsi="Calibri"/>
          <w:b/>
          <w:sz w:val="22"/>
        </w:rPr>
        <w:t>1.1 Tender / NIT Received – Opportunity Identification</w:t>
      </w:r>
    </w:p>
    <w:p>
      <w:pPr>
        <w:spacing w:before="0" w:after="120"/>
        <w:jc w:val="both"/>
      </w:pPr>
      <w:r>
        <w:rPr>
          <w:rFonts w:ascii="Calibri" w:hAnsi="Calibri"/>
          <w:b w:val="0"/>
          <w:sz w:val="22"/>
        </w:rPr>
        <w:t>The bid process begins when the organization receives a Tender or Notice Inviting Tender (NIT) from the client, typically a state DISCOM, state utility, or government body executing schemes such as RDSS, DDUGJY, SAUBHAGYA, or Smart Cities Mission. This document contains project requirements, technical specifications, commercial conditions, project scope, BOQ, timelines, and eligibility criteria specific to distribution infrastructure. At this stage, the company identifies the opportunity, registers it within the opportunity management system, and assigns a bid manager to lead the evaluation and preparation process.</w:t>
      </w:r>
    </w:p>
    <w:p>
      <w:pPr>
        <w:spacing w:before="160" w:after="80"/>
      </w:pPr>
      <w:r>
        <w:rPr>
          <w:rFonts w:ascii="Calibri" w:hAnsi="Calibri"/>
          <w:b/>
          <w:sz w:val="22"/>
        </w:rPr>
        <w:t>1.2 Bid / No-Bid Decision – Opportunity Evaluation</w:t>
      </w:r>
    </w:p>
    <w:p>
      <w:pPr>
        <w:spacing w:before="0" w:after="120"/>
        <w:jc w:val="both"/>
      </w:pPr>
      <w:r>
        <w:rPr>
          <w:rFonts w:ascii="Calibri" w:hAnsi="Calibri"/>
          <w:b w:val="0"/>
          <w:sz w:val="22"/>
        </w:rPr>
        <w:t>The bid management team conducts a structured evaluation of the tender to determine whether the organization should participate in the bidding process. Key evaluation factors include the type of distribution work (HT Line, LT Line, DTR, Rural Electrification, UG Cabling, Smart Metering, Feeder Separation, or DA/SCADA), the geographic location and accessibility of the project area, the specific DISCOM and its payment track record, the government scheme under which the project is funded, the competitive landscape and expected number of bidders, and the current resource availability of the organization. The outcome of this evaluation is a formal Bid/No-Bid decision that is documented and approved by senior management before any further investment in bid preparation is made.</w:t>
      </w:r>
    </w:p>
    <w:p>
      <w:pPr>
        <w:spacing w:before="160" w:after="80"/>
      </w:pPr>
      <w:r>
        <w:rPr>
          <w:rFonts w:ascii="Calibri" w:hAnsi="Calibri"/>
          <w:b/>
          <w:sz w:val="22"/>
        </w:rPr>
        <w:t>1.3 Pre-Bid Activities – Qualification and Site Verification</w:t>
      </w:r>
    </w:p>
    <w:p>
      <w:pPr>
        <w:spacing w:before="0" w:after="120"/>
        <w:jc w:val="both"/>
      </w:pPr>
      <w:r>
        <w:rPr>
          <w:rFonts w:ascii="Calibri" w:hAnsi="Calibri"/>
          <w:b w:val="0"/>
          <w:sz w:val="22"/>
        </w:rPr>
        <w:t>Once the decision to bid is confirmed, the pre-bid phase begins with a series of activities designed to gather field intelligence and clarify technical requirements before preparing the cost estimate. The team attends the pre-bid meeting organized by the client to understand the project scope, ask clarification questions, and receive responses to earlier submitted queries. A site visit and route reconnaissance are conducted to physically verify terrain conditions, access constraints, ROW availability, road crossing requirements, and distance from existing infrastructure that may affect project cost and execution methodology. Queries are formally submitted to the client regarding unclear technical specifications, ambiguous BOQ items, and site-specific conditions, and the client's responses are incorporated into the bid preparation.</w:t>
      </w:r>
    </w:p>
    <w:p>
      <w:pPr>
        <w:spacing w:before="160" w:after="80"/>
      </w:pPr>
      <w:r>
        <w:rPr>
          <w:rFonts w:ascii="Calibri" w:hAnsi="Calibri"/>
          <w:b/>
          <w:sz w:val="22"/>
        </w:rPr>
        <w:t>1.4 Scope and BOQ Analysis – Understanding Project Requirements</w:t>
      </w:r>
    </w:p>
    <w:p>
      <w:pPr>
        <w:spacing w:before="0" w:after="120"/>
        <w:jc w:val="both"/>
      </w:pPr>
      <w:r>
        <w:rPr>
          <w:rFonts w:ascii="Calibri" w:hAnsi="Calibri"/>
          <w:b w:val="0"/>
          <w:sz w:val="22"/>
        </w:rPr>
        <w:t>The BOQ provided by the client is analyzed in detail to understand the complete scope of supply and work to be executed under the project. Each line item of the BOQ is cross-verified with the technical specifications, drawings, and applicable IS standards to ensure that all material grades, conductor sizes, transformer ratings, and cable specifications are correctly understood. Quantity validation is performed by comparing BOQ quantities against the route/survey maps and consumer lists provided by the client, identifying any discrepancies or missing items that need clarification. The output of this analysis is a detailed scope matrix that forms the basis for vendor quotation requests and cost estimation.</w:t>
      </w:r>
    </w:p>
    <w:p>
      <w:pPr>
        <w:spacing w:before="160" w:after="80"/>
      </w:pPr>
      <w:r>
        <w:rPr>
          <w:rFonts w:ascii="Calibri" w:hAnsi="Calibri"/>
          <w:b/>
          <w:sz w:val="22"/>
        </w:rPr>
        <w:t>1.5 Vendor and Subcontractor Quotations – Market Cost Collection</w:t>
      </w:r>
    </w:p>
    <w:p>
      <w:pPr>
        <w:spacing w:before="0" w:after="120"/>
        <w:jc w:val="both"/>
      </w:pPr>
      <w:r>
        <w:rPr>
          <w:rFonts w:ascii="Calibri" w:hAnsi="Calibri"/>
          <w:b w:val="0"/>
          <w:sz w:val="22"/>
        </w:rPr>
        <w:t>Requests for quotations are issued to approved vendors and subcontractors covering all major material and work packages required for the project. Materials quoted include poles (CC/PSC/steel), conductors (ACSR/AAAC/ABC), distribution transformers (DTRs), XLPE/PILC cables, hardware and insulators, smart meters, FRTUs, DCUs, auto reclosers, and sectionalizers depending on project type. Subcontractor quotations are collected for civil works, erection activities, cable laying, and specialized activities such as HDD boring. Vendor quotations are collected from multiple sources to ensure competitive pricing and supply security throughout the project execution period.</w:t>
      </w:r>
    </w:p>
    <w:p>
      <w:pPr>
        <w:spacing w:before="160" w:after="80"/>
      </w:pPr>
      <w:r>
        <w:rPr>
          <w:rFonts w:ascii="Calibri" w:hAnsi="Calibri"/>
          <w:b/>
          <w:sz w:val="22"/>
        </w:rPr>
        <w:t>1.6 Parallel Cost Estimation – Detailed Cost Calculation</w:t>
      </w:r>
    </w:p>
    <w:p>
      <w:pPr>
        <w:spacing w:before="0" w:after="120"/>
        <w:jc w:val="both"/>
      </w:pPr>
      <w:r>
        <w:rPr>
          <w:rFonts w:ascii="Calibri" w:hAnsi="Calibri"/>
          <w:b w:val="0"/>
          <w:sz w:val="22"/>
        </w:rPr>
        <w:t>Once vendor quotations are received and scope analysis is complete, multiple cost estimation workstreams begin in parallel to build the comprehensive project cost model. Material cost estimation is performed by applying vendor-quoted rates to the BOQ quantities for all supply items including poles, conductors, transformers, cables, hardware, meters, and automation equipment. Civil works cost is estimated based on soil conditions, scope of earthwork, trench lengths for UG projects, and manhole/joint bay requirements. Labour cost is calculated based on crew requirements, productivity rates for each work activity, and the project duration. Equipment cost covers cranes, hydras, winches, cable drum trailers, boring machines, and testing instruments. Overhead cost covers project management, site offices, temporary facilities, vehicles, fuel, and communication. Taxes, duties, GST, and applicable levies are applied to arrive at the all-inclusive cost. All these streams run simultaneously to compress the bid preparation timeline.</w:t>
      </w:r>
    </w:p>
    <w:p>
      <w:pPr>
        <w:spacing w:before="160" w:after="80"/>
      </w:pPr>
      <w:r>
        <w:rPr>
          <w:rFonts w:ascii="Calibri" w:hAnsi="Calibri"/>
          <w:b/>
          <w:sz w:val="22"/>
        </w:rPr>
        <w:t>1.7 Base Cost Estimation – Total Project Cost Consolidation</w:t>
      </w:r>
    </w:p>
    <w:p>
      <w:pPr>
        <w:spacing w:before="0" w:after="120"/>
        <w:jc w:val="both"/>
      </w:pPr>
      <w:r>
        <w:rPr>
          <w:rFonts w:ascii="Calibri" w:hAnsi="Calibri"/>
          <w:b w:val="0"/>
          <w:sz w:val="22"/>
        </w:rPr>
        <w:t>All parallel cost streams are consolidated into a single base cost estimate representing the total cost of project execution. The base cost is reviewed against historical project data and unit rate benchmarks for similar distribution projects to validate reasonableness. This consolidated cost figure becomes the foundation upon which risk provisions, contingencies, and profit margin are added to arrive at the final bid price.</w:t>
      </w:r>
    </w:p>
    <w:p>
      <w:pPr>
        <w:spacing w:before="160" w:after="80"/>
      </w:pPr>
      <w:r>
        <w:rPr>
          <w:rFonts w:ascii="Calibri" w:hAnsi="Calibri"/>
          <w:b/>
          <w:sz w:val="22"/>
        </w:rPr>
        <w:t>1.8 Risk and Contingency Analysis – Project Risk Assessment</w:t>
      </w:r>
    </w:p>
    <w:p>
      <w:pPr>
        <w:spacing w:before="0" w:after="120"/>
        <w:jc w:val="both"/>
      </w:pPr>
      <w:r>
        <w:rPr>
          <w:rFonts w:ascii="Calibri" w:hAnsi="Calibri"/>
          <w:b w:val="0"/>
          <w:sz w:val="22"/>
        </w:rPr>
        <w:t>A formal risk assessment is conducted to identify, evaluate, and quantify project-specific risks that may impact cost and schedule. Key distribution project risks include ROW acquisition risk where landowners or local communities may resist line routing, soil risk where rock or waterlogged conditions increase civil costs beyond estimate, monsoon risk where extended rainy season delays outdoor construction, and consumer coordination risk where service connection refusals slow LT network commissioning. For feeder separation projects, cutover risk is assessed covering the complexity of night-time switching operations and impact on consumers during reconfiguration. Contingency provisions are quantified based on the assessed risk severity and probability, and added to the base cost to arrive at the total project cost.</w:t>
      </w:r>
    </w:p>
    <w:p>
      <w:pPr>
        <w:spacing w:before="160" w:after="80"/>
      </w:pPr>
      <w:r>
        <w:rPr>
          <w:rFonts w:ascii="Calibri" w:hAnsi="Calibri"/>
          <w:b/>
          <w:sz w:val="22"/>
        </w:rPr>
        <w:t>1.9 Margin Finalization – Profit Strategy Definition</w:t>
      </w:r>
    </w:p>
    <w:p>
      <w:pPr>
        <w:spacing w:before="0" w:after="120"/>
        <w:jc w:val="both"/>
      </w:pPr>
      <w:r>
        <w:rPr>
          <w:rFonts w:ascii="Calibri" w:hAnsi="Calibri"/>
          <w:b w:val="0"/>
          <w:sz w:val="22"/>
        </w:rPr>
        <w:t>The bid strategy team reviews the total project cost and determines the appropriate profit margin to be applied, taking into account competitive intelligence, the importance of the client relationship, the organization's current order book status, and the strategic value of the project geography or scheme. The margin is approved by senior management and applied to arrive at the final bid price. The decision also considers whether the organization will act as the prime contractor or in a consortium arrangement, which affects how margin is structured across the bid.</w:t>
      </w:r>
    </w:p>
    <w:p>
      <w:pPr>
        <w:spacing w:before="160" w:after="80"/>
      </w:pPr>
      <w:r>
        <w:rPr>
          <w:rFonts w:ascii="Calibri" w:hAnsi="Calibri"/>
          <w:b/>
          <w:sz w:val="22"/>
        </w:rPr>
        <w:t>1.10 Technical and Commercial Bid Preparation – Proposal Creation</w:t>
      </w:r>
    </w:p>
    <w:p>
      <w:pPr>
        <w:spacing w:before="0" w:after="120"/>
        <w:jc w:val="both"/>
      </w:pPr>
      <w:r>
        <w:rPr>
          <w:rFonts w:ascii="Calibri" w:hAnsi="Calibri"/>
          <w:b w:val="0"/>
          <w:sz w:val="22"/>
        </w:rPr>
        <w:t>The bid document is prepared in two parts: the technical bid and the commercial bid, as required by most DISCOM tender processes. The technical bid includes company qualification documents, technical compliance statements for each BOQ item, method statement for project execution, quality plan, HSE plan, proposed execution schedule, key personnel CVs, equipment deployment plan, and prior experience certificates. The commercial bid contains the price schedule with unit rates and amounts for each BOQ item, taxes, validity period, and payment terms. Both documents are reviewed against the tender checklist before submission to ensure complete compliance.</w:t>
      </w:r>
    </w:p>
    <w:p>
      <w:pPr>
        <w:spacing w:before="160" w:after="80"/>
      </w:pPr>
      <w:r>
        <w:rPr>
          <w:rFonts w:ascii="Calibri" w:hAnsi="Calibri"/>
          <w:b/>
          <w:sz w:val="22"/>
        </w:rPr>
        <w:t>1.11 Client Evaluation – Tender Assessment by Client</w:t>
      </w:r>
    </w:p>
    <w:p>
      <w:pPr>
        <w:spacing w:before="0" w:after="120"/>
        <w:jc w:val="both"/>
      </w:pPr>
      <w:r>
        <w:rPr>
          <w:rFonts w:ascii="Calibri" w:hAnsi="Calibri"/>
          <w:b w:val="0"/>
          <w:sz w:val="22"/>
        </w:rPr>
        <w:t>After bid submission, the DISCOM or client authority undertakes a formal evaluation process covering both technical and commercial bids. The technical bid is evaluated first for qualification criteria compliance, technical specification adherence, and execution capability. Commercially, bids are ranked by L1 (lowest price) or evaluated on quality-cum-cost basis depending on the tender conditions. The client may issue clarification letters or request additional information during the evaluation period, which the bid team must respond to within the stipulated timeframe.</w:t>
      </w:r>
    </w:p>
    <w:p>
      <w:pPr>
        <w:spacing w:before="160" w:after="80"/>
      </w:pPr>
      <w:r>
        <w:rPr>
          <w:rFonts w:ascii="Calibri" w:hAnsi="Calibri"/>
          <w:b/>
          <w:sz w:val="22"/>
        </w:rPr>
        <w:t>1.12 Bid Award (LOA) – Project Successfully Won</w:t>
      </w:r>
    </w:p>
    <w:p>
      <w:pPr>
        <w:spacing w:before="0" w:after="120"/>
        <w:jc w:val="both"/>
      </w:pPr>
      <w:r>
        <w:rPr>
          <w:rFonts w:ascii="Calibri" w:hAnsi="Calibri"/>
          <w:b w:val="0"/>
          <w:sz w:val="22"/>
        </w:rPr>
        <w:t>Upon completion of evaluation, the client issues a Letter of Award (LOA) to the successful bidder confirming the award of the project at the agreed contract price and terms. The LOA is received, reviewed, and formally acknowledged by the organization. The system status moves to "Project Won" and the project is registered in the project management system with the LOA value, client name, project scope, and mobilization timeline. The bid team is notified and the transition to contract finalization is initiated.</w:t>
      </w:r>
    </w:p>
    <w:p>
      <w:pPr>
        <w:spacing w:before="160" w:after="80"/>
      </w:pPr>
      <w:r>
        <w:rPr>
          <w:rFonts w:ascii="Calibri" w:hAnsi="Calibri"/>
          <w:b/>
          <w:sz w:val="22"/>
        </w:rPr>
        <w:t>1.13 Contract Finalization and PBG – Legal Agreement Completion</w:t>
      </w:r>
    </w:p>
    <w:p>
      <w:pPr>
        <w:spacing w:before="0" w:after="120"/>
        <w:jc w:val="both"/>
      </w:pPr>
      <w:r>
        <w:rPr>
          <w:rFonts w:ascii="Calibri" w:hAnsi="Calibri"/>
          <w:b w:val="0"/>
          <w:sz w:val="22"/>
        </w:rPr>
        <w:t>The LOA is followed by the preparation and negotiation of the formal contract agreement between the organization and the DISCOM. Key contract terms are reviewed including scope of work, BOQ, payment milestones, liquidated damages clauses, defect liability period, and variation order provisions. Performance Bank Guarantee (PBG) is arranged as required by the contract, typically 5–10% of the contract value, and submitted to the client within the stipulated timeframe. The signed contract document creates the legal foundation for project execution, and the system status transitions to "Contract Signed."</w:t>
      </w:r>
    </w:p>
    <w:p>
      <w:r>
        <w:br w:type="page"/>
      </w:r>
    </w:p>
    <w:p>
      <w:pPr>
        <w:spacing w:before="240" w:after="120"/>
      </w:pPr>
      <w:r>
        <w:rPr>
          <w:rFonts w:ascii="Calibri" w:hAnsi="Calibri"/>
          <w:b/>
          <w:sz w:val="28"/>
        </w:rPr>
        <w:t>WORKFLOW 2: Contract Finalization and Project Mobilization Process</w:t>
      </w:r>
    </w:p>
    <w:p>
      <w:pPr>
        <w:spacing w:before="0" w:after="120"/>
        <w:jc w:val="both"/>
      </w:pPr>
      <w:r>
        <w:rPr>
          <w:rFonts w:ascii="Calibri" w:hAnsi="Calibri"/>
          <w:b w:val="0"/>
          <w:sz w:val="22"/>
        </w:rPr>
        <w:t>The contract finalization and project mobilization phase bridges the transition from a successfully won bid to an operationally active project. This phase ensures that all legal, financial, and organizational prerequisites are in place before physical execution work begins on site. A well-executed mobilization process establishes the correct contractual framework, secures all required compliance documents, and puts in place the project team and planning infrastructure needed for efficient execution.</w:t>
      </w:r>
    </w:p>
    <w:p>
      <w:r>
        <w:rPr>
          <w:rFonts w:ascii="Calibri" w:hAnsi="Calibri"/>
          <w:b/>
          <w:sz w:val="22"/>
        </w:rPr>
        <w:t>Flowchart:</w:t>
      </w:r>
    </w:p>
    <w:p>
      <w:pPr>
        <w:jc w:val="center"/>
      </w:pPr>
      <w:r>
        <w:drawing>
          <wp:inline xmlns:a="http://schemas.openxmlformats.org/drawingml/2006/main" xmlns:pic="http://schemas.openxmlformats.org/drawingml/2006/picture">
            <wp:extent cx="5486400" cy="6083992"/>
            <wp:docPr id="2" name="Picture 2"/>
            <wp:cNvGraphicFramePr>
              <a:graphicFrameLocks noChangeAspect="1"/>
            </wp:cNvGraphicFramePr>
            <a:graphic>
              <a:graphicData uri="http://schemas.openxmlformats.org/drawingml/2006/picture">
                <pic:pic>
                  <pic:nvPicPr>
                    <pic:cNvPr id="0" name="section_02.png"/>
                    <pic:cNvPicPr/>
                  </pic:nvPicPr>
                  <pic:blipFill>
                    <a:blip r:embed="rId10"/>
                    <a:stretch>
                      <a:fillRect/>
                    </a:stretch>
                  </pic:blipFill>
                  <pic:spPr>
                    <a:xfrm>
                      <a:off x="0" y="0"/>
                      <a:ext cx="5486400" cy="6083992"/>
                    </a:xfrm>
                    <a:prstGeom prst="rect"/>
                  </pic:spPr>
                </pic:pic>
              </a:graphicData>
            </a:graphic>
          </wp:inline>
        </w:drawing>
      </w:r>
    </w:p>
    <w:p>
      <w:pPr>
        <w:spacing w:before="160" w:after="80"/>
      </w:pPr>
      <w:r>
        <w:rPr>
          <w:rFonts w:ascii="Calibri" w:hAnsi="Calibri"/>
          <w:b/>
          <w:sz w:val="22"/>
        </w:rPr>
        <w:t>2.1 LOA / LOI Received – Project Award Confirmation</w:t>
      </w:r>
    </w:p>
    <w:p>
      <w:pPr>
        <w:spacing w:before="0" w:after="120"/>
        <w:jc w:val="both"/>
      </w:pPr>
      <w:r>
        <w:rPr>
          <w:rFonts w:ascii="Calibri" w:hAnsi="Calibri"/>
          <w:b w:val="0"/>
          <w:sz w:val="22"/>
        </w:rPr>
        <w:t>The Letter of Award (LOA) or Letter of Intent (LOI) is received from the DISCOM and formally acknowledged in writing within the stipulated response period. The organization's project management office registers the new project, assigns a Project Manager, and initiates the contract formalization process. The system status transitions from "Bid Won" to "Contract Formalization in Progress," and internal notifications are sent to the legal, finance, and operations teams to begin their respective mobilization activities.</w:t>
      </w:r>
    </w:p>
    <w:p>
      <w:pPr>
        <w:spacing w:before="160" w:after="80"/>
      </w:pPr>
      <w:r>
        <w:rPr>
          <w:rFonts w:ascii="Calibri" w:hAnsi="Calibri"/>
          <w:b/>
          <w:sz w:val="22"/>
        </w:rPr>
        <w:t>2.2 Draft and Review Contract – Contract Preparation</w:t>
      </w:r>
    </w:p>
    <w:p>
      <w:pPr>
        <w:spacing w:before="0" w:after="120"/>
        <w:jc w:val="both"/>
      </w:pPr>
      <w:r>
        <w:rPr>
          <w:rFonts w:ascii="Calibri" w:hAnsi="Calibri"/>
          <w:b w:val="0"/>
          <w:sz w:val="22"/>
        </w:rPr>
        <w:t>The contract document is drafted based on the LOA terms and the applicable contract format, which for distribution projects is typically the DISCOM standard format aligned to state utility procurement norms or the FIDIC Conditions of Contract for Construction. Key sections reviewed include the scope of work and BOQ, technical specifications, price and payment schedule with milestone payments tied to completion of HT line sections, LT network, DTR installation, smart meter installation, and energization milestones. The legal team reviews indemnity clauses, force majeure provisions, dispute resolution mechanisms, and governing law to ensure organizational interests are protected.</w:t>
      </w:r>
    </w:p>
    <w:p>
      <w:pPr>
        <w:spacing w:before="160" w:after="80"/>
      </w:pPr>
      <w:r>
        <w:rPr>
          <w:rFonts w:ascii="Calibri" w:hAnsi="Calibri"/>
          <w:b/>
          <w:sz w:val="22"/>
        </w:rPr>
        <w:t>2.3 Negotiation and Finalization – Commercial and Legal Alignment</w:t>
      </w:r>
    </w:p>
    <w:p>
      <w:pPr>
        <w:spacing w:before="0" w:after="120"/>
        <w:jc w:val="both"/>
      </w:pPr>
      <w:r>
        <w:rPr>
          <w:rFonts w:ascii="Calibri" w:hAnsi="Calibri"/>
          <w:b w:val="0"/>
          <w:sz w:val="22"/>
        </w:rPr>
        <w:t>Contract negotiation sessions are held between the organization's commercial team and the DISCOM to resolve any differences in contract terms. Key negotiation points include payment milestone definitions and percentages, liquidated damages (LD) rate caps, defect liability period duration, variation order process and eligible items, and mobilization advance availability. Final agreed terms are documented in the contract minutes and incorporated into the final contract draft, which is reviewed and approved by both parties before execution.</w:t>
      </w:r>
    </w:p>
    <w:p>
      <w:pPr>
        <w:spacing w:before="160" w:after="80"/>
      </w:pPr>
      <w:r>
        <w:rPr>
          <w:rFonts w:ascii="Calibri" w:hAnsi="Calibri"/>
          <w:b/>
          <w:sz w:val="22"/>
        </w:rPr>
        <w:t>2.4 Contract Signing – Legal Agreement Execution</w:t>
      </w:r>
    </w:p>
    <w:p>
      <w:pPr>
        <w:spacing w:before="0" w:after="120"/>
        <w:jc w:val="both"/>
      </w:pPr>
      <w:r>
        <w:rPr>
          <w:rFonts w:ascii="Calibri" w:hAnsi="Calibri"/>
          <w:b w:val="0"/>
          <w:sz w:val="22"/>
        </w:rPr>
        <w:t>The finalized contract is formally executed by authorized signatories from both the organization and the DISCOM in accordance with company policy and procurement regulations. The signed contract document is distributed to all relevant internal departments: project management, engineering, procurement, finance, and legal. The system status transitions to "Contract Signed" and the project enters the active execution phase of the Workforce Management Platform's Activity Orbit.</w:t>
      </w:r>
    </w:p>
    <w:p>
      <w:pPr>
        <w:spacing w:before="160" w:after="80"/>
      </w:pPr>
      <w:r>
        <w:rPr>
          <w:rFonts w:ascii="Calibri" w:hAnsi="Calibri"/>
          <w:b/>
          <w:sz w:val="22"/>
        </w:rPr>
        <w:t>2.5 Parallel Compliance Activities – Financial and Regulatory Commitments</w:t>
      </w:r>
    </w:p>
    <w:p>
      <w:pPr>
        <w:spacing w:before="0" w:after="120"/>
        <w:jc w:val="both"/>
      </w:pPr>
      <w:r>
        <w:rPr>
          <w:rFonts w:ascii="Calibri" w:hAnsi="Calibri"/>
          <w:b w:val="0"/>
          <w:sz w:val="22"/>
        </w:rPr>
        <w:t>Once the contract is signed, multiple operational and compliance activities begin in parallel to make the contract fully operational. Performance Bank Guarantee (PBG) is arranged and submitted to the DISCOM as financial security, typically within 15–30 days of contract signing. Contractor All Risk (CAR) insurance is arranged to cover all construction activities, equipment, and third-party liabilities for the entire project duration. Workmen Compensation insurance is secured to cover workforce injury risks during distribution line construction activities. A labour license is obtained from the Labour Commissioner covering the number of workers to be deployed at the project site. ESI and PF registrations are completed for all contractual and subcontract workers to ensure statutory labour compliance. These compliance activities run simultaneously because all conditions must be satisfied before mobilization advance can be received and site activities can formally commence.</w:t>
      </w:r>
    </w:p>
    <w:p>
      <w:pPr>
        <w:spacing w:before="160" w:after="80"/>
      </w:pPr>
      <w:r>
        <w:rPr>
          <w:rFonts w:ascii="Calibri" w:hAnsi="Calibri"/>
          <w:b/>
          <w:sz w:val="22"/>
        </w:rPr>
        <w:t>2.6 Contract Effective – Contract Activation</w:t>
      </w:r>
    </w:p>
    <w:p>
      <w:pPr>
        <w:spacing w:before="0" w:after="120"/>
        <w:jc w:val="both"/>
      </w:pPr>
      <w:r>
        <w:rPr>
          <w:rFonts w:ascii="Calibri" w:hAnsi="Calibri"/>
          <w:b w:val="0"/>
          <w:sz w:val="22"/>
        </w:rPr>
        <w:t>Upon submission of PBG and completion of key compliance prerequisites, the DISCOM issues formal Contract Effective notification confirming that all conditions precedent have been met. This milestone triggers the mobilization advance payment process and formally authorizes the contractor to commence site mobilization activities. The system status moves to "Contract Effective" in the project management system.</w:t>
      </w:r>
    </w:p>
    <w:p>
      <w:pPr>
        <w:spacing w:before="160" w:after="80"/>
      </w:pPr>
      <w:r>
        <w:rPr>
          <w:rFonts w:ascii="Calibri" w:hAnsi="Calibri"/>
          <w:b/>
          <w:sz w:val="22"/>
        </w:rPr>
        <w:t>2.7 Bid to Execution Handover – Ownership Transfer</w:t>
      </w:r>
    </w:p>
    <w:p>
      <w:pPr>
        <w:spacing w:before="0" w:after="120"/>
        <w:jc w:val="both"/>
      </w:pPr>
      <w:r>
        <w:rPr>
          <w:rFonts w:ascii="Calibri" w:hAnsi="Calibri"/>
          <w:b w:val="0"/>
          <w:sz w:val="22"/>
        </w:rPr>
        <w:t>A formal internal handover meeting is conducted where the bid team transfers full project knowledge and ownership to the execution project manager. The handover package includes the bid documents, BOQ, rates, assumptions made during estimation, client correspondence, site visit notes, and any commitments made during negotiation. The project manager reviews and acknowledges the handover, ensuring continuity of technical and commercial understanding from bid to execution.</w:t>
      </w:r>
    </w:p>
    <w:p>
      <w:pPr>
        <w:spacing w:before="160" w:after="80"/>
      </w:pPr>
      <w:r>
        <w:rPr>
          <w:rFonts w:ascii="Calibri" w:hAnsi="Calibri"/>
          <w:b/>
          <w:sz w:val="22"/>
        </w:rPr>
        <w:t>2.8 Project Planning Activities – Execution Preparation</w:t>
      </w:r>
    </w:p>
    <w:p>
      <w:pPr>
        <w:spacing w:before="0" w:after="120"/>
        <w:jc w:val="both"/>
      </w:pPr>
      <w:r>
        <w:rPr>
          <w:rFonts w:ascii="Calibri" w:hAnsi="Calibri"/>
          <w:b w:val="0"/>
          <w:sz w:val="22"/>
        </w:rPr>
        <w:t>Immediately following contract effectiveness, multiple project planning activities begin in parallel to prepare for site mobilization. The project organization structure is established with clear roles for the Project Manager, Site Engineers, QA/QC Engineer, Safety Officer, Procurement Manager, and subcontract coordinators. A baseline project schedule is prepared in MS Project or Primavera, covering all major milestones from mobilization through PAC. The project budget is mapped to the WBS with cost control accounts assigned to each work package. The execution plan is prepared covering construction methodology, equipment deployment plan, subcontractor strategy, and HSE plan. These parallel planning activities must be completed before physical site operations begin.</w:t>
      </w:r>
    </w:p>
    <w:p>
      <w:r>
        <w:br w:type="page"/>
      </w:r>
    </w:p>
    <w:p>
      <w:pPr>
        <w:spacing w:before="240" w:after="120"/>
      </w:pPr>
      <w:r>
        <w:rPr>
          <w:rFonts w:ascii="Calibri" w:hAnsi="Calibri"/>
          <w:b/>
          <w:sz w:val="28"/>
        </w:rPr>
        <w:t>WORKFLOW 3: Project Mobilization and Site Establishment Process</w:t>
      </w:r>
    </w:p>
    <w:p>
      <w:pPr>
        <w:spacing w:before="0" w:after="120"/>
        <w:jc w:val="both"/>
      </w:pPr>
      <w:r>
        <w:rPr>
          <w:rFonts w:ascii="Calibri" w:hAnsi="Calibri"/>
          <w:b w:val="0"/>
          <w:sz w:val="22"/>
        </w:rPr>
        <w:t>The project mobilization and site establishment phase converts the contractual authorization into a physically operational project site equipped with the people, equipment, facilities, and systems necessary for efficient distribution network construction. This phase is time-critical because delays in mobilization directly impact project schedule and expose the contractor to LD risk. The phase ends when the site is declared operationally established and engineering and construction activities can formally begin.</w:t>
      </w:r>
    </w:p>
    <w:p>
      <w:r>
        <w:rPr>
          <w:rFonts w:ascii="Calibri" w:hAnsi="Calibri"/>
          <w:b/>
          <w:sz w:val="22"/>
        </w:rPr>
        <w:t>Flowchart:</w:t>
      </w:r>
    </w:p>
    <w:p>
      <w:pPr>
        <w:jc w:val="center"/>
      </w:pPr>
      <w:r>
        <w:drawing>
          <wp:inline xmlns:a="http://schemas.openxmlformats.org/drawingml/2006/main" xmlns:pic="http://schemas.openxmlformats.org/drawingml/2006/picture">
            <wp:extent cx="5486400" cy="5014452"/>
            <wp:docPr id="3" name="Picture 3"/>
            <wp:cNvGraphicFramePr>
              <a:graphicFrameLocks noChangeAspect="1"/>
            </wp:cNvGraphicFramePr>
            <a:graphic>
              <a:graphicData uri="http://schemas.openxmlformats.org/drawingml/2006/picture">
                <pic:pic>
                  <pic:nvPicPr>
                    <pic:cNvPr id="0" name="section_03.png"/>
                    <pic:cNvPicPr/>
                  </pic:nvPicPr>
                  <pic:blipFill>
                    <a:blip r:embed="rId11"/>
                    <a:stretch>
                      <a:fillRect/>
                    </a:stretch>
                  </pic:blipFill>
                  <pic:spPr>
                    <a:xfrm>
                      <a:off x="0" y="0"/>
                      <a:ext cx="5486400" cy="5014452"/>
                    </a:xfrm>
                    <a:prstGeom prst="rect"/>
                  </pic:spPr>
                </pic:pic>
              </a:graphicData>
            </a:graphic>
          </wp:inline>
        </w:drawing>
      </w:r>
    </w:p>
    <w:p>
      <w:pPr>
        <w:spacing w:before="160" w:after="80"/>
      </w:pPr>
      <w:r>
        <w:rPr>
          <w:rFonts w:ascii="Calibri" w:hAnsi="Calibri"/>
          <w:b/>
          <w:sz w:val="22"/>
        </w:rPr>
        <w:t>3.1 Mobilization Advance and Bank Guarantee Processing</w:t>
      </w:r>
    </w:p>
    <w:p>
      <w:pPr>
        <w:spacing w:before="0" w:after="120"/>
        <w:jc w:val="both"/>
      </w:pPr>
      <w:r>
        <w:rPr>
          <w:rFonts w:ascii="Calibri" w:hAnsi="Calibri"/>
          <w:b w:val="0"/>
          <w:sz w:val="22"/>
        </w:rPr>
        <w:t>Where the contract provides for a mobilization advance, the contractor submits a formal advance payment request along with an Advance Bank Guarantee (ABG) of equivalent value to the DISCOM. The advance payment is credited to the project account upon DISCOM approval and is used to fund initial site establishment, material procurement long-lead orders, and workforce deployment. The ABG is tracked for validity and renewed as needed in line with the advance recovery schedule specified in the contract.</w:t>
      </w:r>
    </w:p>
    <w:p>
      <w:pPr>
        <w:spacing w:before="160" w:after="80"/>
      </w:pPr>
      <w:r>
        <w:rPr>
          <w:rFonts w:ascii="Calibri" w:hAnsi="Calibri"/>
          <w:b/>
          <w:sz w:val="22"/>
        </w:rPr>
        <w:t>3.2 Site Possession – Physical Site and Route Handover</w:t>
      </w:r>
    </w:p>
    <w:p>
      <w:pPr>
        <w:spacing w:before="0" w:after="120"/>
        <w:jc w:val="both"/>
      </w:pPr>
      <w:r>
        <w:rPr>
          <w:rFonts w:ascii="Calibri" w:hAnsi="Calibri"/>
          <w:b w:val="0"/>
          <w:sz w:val="22"/>
        </w:rPr>
        <w:t>The DISCOM formally hands over the project area to the contractor through a site possession letter and joint walkover. For distribution projects, site possession includes the handing over of the identified HT line route, LT network area, DTR locations, consumer list, and any existing infrastructure to be integrated or replaced. The contractor's site manager verifies that the handed-over area is accessible, that ROW has been obtained for at least the initial construction stretch, and that any encumbrances or access constraints are documented in the site possession report.</w:t>
      </w:r>
    </w:p>
    <w:p>
      <w:pPr>
        <w:spacing w:before="160" w:after="80"/>
      </w:pPr>
      <w:r>
        <w:rPr>
          <w:rFonts w:ascii="Calibri" w:hAnsi="Calibri"/>
          <w:b/>
          <w:sz w:val="22"/>
        </w:rPr>
        <w:t>3.3 Joint Route Survey – Initial Route and Site Assessment</w:t>
      </w:r>
    </w:p>
    <w:p>
      <w:pPr>
        <w:spacing w:before="0" w:after="120"/>
        <w:jc w:val="both"/>
      </w:pPr>
      <w:r>
        <w:rPr>
          <w:rFonts w:ascii="Calibri" w:hAnsi="Calibri"/>
          <w:b w:val="0"/>
          <w:sz w:val="22"/>
        </w:rPr>
        <w:t>A joint survey is conducted between the contractor's survey team and the DISCOM field team to physically verify the project route and site conditions. For HT and LT line projects, this involves walking the entire route to confirm pole locations, span measurements, and existing infrastructure positions. For DTR projects, transformer locations are jointly inspected and confirmed. For underground cable projects, the cable route is walked and any deviations from the drawing are documented. The joint survey report is signed by both parties and forms the baseline for any future variation claims related to scope changes discovered during survey.</w:t>
      </w:r>
    </w:p>
    <w:p>
      <w:pPr>
        <w:spacing w:before="160" w:after="80"/>
      </w:pPr>
      <w:r>
        <w:rPr>
          <w:rFonts w:ascii="Calibri" w:hAnsi="Calibri"/>
          <w:b/>
          <w:sz w:val="22"/>
        </w:rPr>
        <w:t>3.4 Parallel Site Preparation Activities – Operational Setup</w:t>
      </w:r>
    </w:p>
    <w:p>
      <w:pPr>
        <w:spacing w:before="0" w:after="120"/>
        <w:jc w:val="both"/>
      </w:pPr>
      <w:r>
        <w:rPr>
          <w:rFonts w:ascii="Calibri" w:hAnsi="Calibri"/>
          <w:b w:val="0"/>
          <w:sz w:val="22"/>
        </w:rPr>
        <w:t>Multiple site establishment activities begin in parallel immediately after site possession to create a functional operational base. A temporary project office is set up with workstations, communication infrastructure, and document storage for the project team. A material storage yard is established with adequate area for pole stacking, conductor drum storage, DTR laydown, cable drum storage, and hardware material. Equipment is mobilized to site including cranes, hydras, winches, vehicles, boring machines, and testing instruments. Manpower is deployed covering survey engineers, electrical engineers, supervisors, safety officers, skilled linemen, and general labour. The HSE site setup is completed including first aid station, PPE store, safety signage, emergency contact board, and site safety induction training for all deployed personnel. All these activities run simultaneously to minimize total mobilization time.</w:t>
      </w:r>
    </w:p>
    <w:p>
      <w:pPr>
        <w:spacing w:before="160" w:after="80"/>
      </w:pPr>
      <w:r>
        <w:rPr>
          <w:rFonts w:ascii="Calibri" w:hAnsi="Calibri"/>
          <w:b/>
          <w:sz w:val="22"/>
        </w:rPr>
        <w:t>3.5 Site Established – Operational Infrastructure Ready</w:t>
      </w:r>
    </w:p>
    <w:p>
      <w:pPr>
        <w:spacing w:before="0" w:after="120"/>
        <w:jc w:val="both"/>
      </w:pPr>
      <w:r>
        <w:rPr>
          <w:rFonts w:ascii="Calibri" w:hAnsi="Calibri"/>
          <w:b w:val="0"/>
          <w:sz w:val="22"/>
        </w:rPr>
        <w:t>Upon completion of all parallel site preparation activities, the site is formally declared established by the Project Manager. This milestone is documented in the project management system and communicated to the DISCOM as confirmation that the contractor is fully operational. The system status transitions to "Site Established" and the project enters the active construction and engineering phase.</w:t>
      </w:r>
    </w:p>
    <w:p>
      <w:pPr>
        <w:spacing w:before="160" w:after="80"/>
      </w:pPr>
      <w:r>
        <w:rPr>
          <w:rFonts w:ascii="Calibri" w:hAnsi="Calibri"/>
          <w:b/>
          <w:sz w:val="22"/>
        </w:rPr>
        <w:t>3.6 Engineering and Construction Activities Begin – Execution Phase Entry</w:t>
      </w:r>
    </w:p>
    <w:p>
      <w:pPr>
        <w:spacing w:before="0" w:after="120"/>
        <w:jc w:val="both"/>
      </w:pPr>
      <w:r>
        <w:rPr>
          <w:rFonts w:ascii="Calibri" w:hAnsi="Calibri"/>
          <w:b w:val="0"/>
          <w:sz w:val="22"/>
        </w:rPr>
        <w:t>With site establishment confirmed, engineering design activities and survey field work commence simultaneously. The design team begins detailed engineering using the joint survey data, and the field team proceeds with detailed route surveys for engineering input. This milestone marks the official entry into the project execution phase, and progress reporting to the DISCOM commences from this point as per the contractual reporting schedule.</w:t>
      </w:r>
    </w:p>
    <w:p>
      <w:r>
        <w:br w:type="page"/>
      </w:r>
    </w:p>
    <w:p>
      <w:pPr>
        <w:spacing w:before="240" w:after="120"/>
      </w:pPr>
      <w:r>
        <w:rPr>
          <w:rFonts w:ascii="Calibri" w:hAnsi="Calibri"/>
          <w:b/>
          <w:sz w:val="28"/>
        </w:rPr>
        <w:t>WORKFLOW 4: Detailed Survey and Route Finalization Process</w:t>
      </w:r>
    </w:p>
    <w:p>
      <w:pPr>
        <w:spacing w:before="0" w:after="120"/>
        <w:jc w:val="both"/>
      </w:pPr>
      <w:r>
        <w:rPr>
          <w:rFonts w:ascii="Calibri" w:hAnsi="Calibri"/>
          <w:b w:val="0"/>
          <w:sz w:val="22"/>
        </w:rPr>
        <w:t>The detailed survey and route finalization phase translates the conceptual project route into a precise, engineered, and client-approved alignment that can serve as the definitive basis for design calculations, material procurement, and construction activities. This phase is critical because all downstream activities — drawing preparation, pole schedule finalization, material quantities, and construction planning — depend entirely on the accuracy and approval of the survey output. This phase cannot begin until site possession has been completed and the joint survey team is mobilized.</w:t>
      </w:r>
    </w:p>
    <w:p>
      <w:r>
        <w:rPr>
          <w:rFonts w:ascii="Calibri" w:hAnsi="Calibri"/>
          <w:b/>
          <w:sz w:val="22"/>
        </w:rPr>
        <w:t>Flowchart:</w:t>
      </w:r>
    </w:p>
    <w:p>
      <w:pPr>
        <w:jc w:val="center"/>
      </w:pPr>
      <w:r>
        <w:drawing>
          <wp:inline xmlns:a="http://schemas.openxmlformats.org/drawingml/2006/main" xmlns:pic="http://schemas.openxmlformats.org/drawingml/2006/picture">
            <wp:extent cx="5486400" cy="6056142"/>
            <wp:docPr id="4" name="Picture 4"/>
            <wp:cNvGraphicFramePr>
              <a:graphicFrameLocks noChangeAspect="1"/>
            </wp:cNvGraphicFramePr>
            <a:graphic>
              <a:graphicData uri="http://schemas.openxmlformats.org/drawingml/2006/picture">
                <pic:pic>
                  <pic:nvPicPr>
                    <pic:cNvPr id="0" name="section_04.png"/>
                    <pic:cNvPicPr/>
                  </pic:nvPicPr>
                  <pic:blipFill>
                    <a:blip r:embed="rId12"/>
                    <a:stretch>
                      <a:fillRect/>
                    </a:stretch>
                  </pic:blipFill>
                  <pic:spPr>
                    <a:xfrm>
                      <a:off x="0" y="0"/>
                      <a:ext cx="5486400" cy="6056142"/>
                    </a:xfrm>
                    <a:prstGeom prst="rect"/>
                  </pic:spPr>
                </pic:pic>
              </a:graphicData>
            </a:graphic>
          </wp:inline>
        </w:drawing>
      </w:r>
    </w:p>
    <w:p>
      <w:pPr>
        <w:spacing w:before="160" w:after="80"/>
      </w:pPr>
      <w:r>
        <w:rPr>
          <w:rFonts w:ascii="Calibri" w:hAnsi="Calibri"/>
          <w:b/>
          <w:sz w:val="22"/>
        </w:rPr>
        <w:t>4.1 HT Line Route Survey – High Voltage Corridor Mapping</w:t>
      </w:r>
    </w:p>
    <w:p>
      <w:pPr>
        <w:spacing w:before="0" w:after="120"/>
        <w:jc w:val="both"/>
      </w:pPr>
      <w:r>
        <w:rPr>
          <w:rFonts w:ascii="Calibri" w:hAnsi="Calibri"/>
          <w:b w:val="0"/>
          <w:sz w:val="22"/>
        </w:rPr>
        <w:t>The HT line route survey is conducted using GPS instruments and GIS data collection tools to precisely map the alignment of the 11kV or 33kV overhead line from the source substation or supply point to the terminal point of the project. The survey team records GPS coordinates at each pole location, measures span lengths between consecutive poles, identifies all angle and dead-end pole locations, verifies available ROW width, and documents all obstructions such as trees, buildings, existing utility lines, and structures that require special crossing arrangements. All crossing locations with roads, railways, rivers, canals, and other utilities are measured for vertical clearance and horizontal setback, and any locations requiring deviation from the original route are documented with recommended alternatives.</w:t>
      </w:r>
    </w:p>
    <w:p>
      <w:pPr>
        <w:spacing w:before="160" w:after="80"/>
      </w:pPr>
      <w:r>
        <w:rPr>
          <w:rFonts w:ascii="Calibri" w:hAnsi="Calibri"/>
          <w:b/>
          <w:sz w:val="22"/>
        </w:rPr>
        <w:t>4.2 LT Line and Consumer Survey – Low Voltage Network Planning</w:t>
      </w:r>
    </w:p>
    <w:p>
      <w:pPr>
        <w:spacing w:before="0" w:after="120"/>
        <w:jc w:val="both"/>
      </w:pPr>
      <w:r>
        <w:rPr>
          <w:rFonts w:ascii="Calibri" w:hAnsi="Calibri"/>
          <w:b w:val="0"/>
          <w:sz w:val="22"/>
        </w:rPr>
        <w:t>The LT network survey covers the complete low voltage distribution system from each DTR location to the last consumer service connection point in the zone. The survey team verifies the consumer list provided by the DISCOM against physical field conditions, confirming each consumer's location, service connection point, and phase requirement. LT pole locations are marked and GPS-recorded, service tee-off points are identified, and the total LT route length per DTR zone is measured. For DDUGJY or SAUBHAGYA projects, special attention is given to BPL household coverage, and any consumers missing from the provided list but physically present in the field are documented as additions for BOQ revision.</w:t>
      </w:r>
    </w:p>
    <w:p>
      <w:pPr>
        <w:spacing w:before="160" w:after="80"/>
      </w:pPr>
      <w:r>
        <w:rPr>
          <w:rFonts w:ascii="Calibri" w:hAnsi="Calibri"/>
          <w:b/>
          <w:sz w:val="22"/>
        </w:rPr>
        <w:t>4.3 Parallel Survey Activities – Specialized Investigation</w:t>
      </w:r>
    </w:p>
    <w:p>
      <w:pPr>
        <w:spacing w:before="0" w:after="120"/>
        <w:jc w:val="both"/>
      </w:pPr>
      <w:r>
        <w:rPr>
          <w:rFonts w:ascii="Calibri" w:hAnsi="Calibri"/>
          <w:b w:val="0"/>
          <w:sz w:val="22"/>
        </w:rPr>
        <w:t>Multiple specialized survey activities proceed in parallel alongside the HT and LT route surveys to gather all technical data needed for engineering. Soil investigation is conducted at representative locations along the line route to determine soil bearing capacity, soil resistivity for earthing design, and depth to rock, which directly impacts pole foundation and earth pit design. DTR location surveys confirm ground-mounted or pole-mounted installation feasibility, access for crane operations, and proximity to the HT line for connection design. For underground cable projects, a comprehensive underground utility scan is performed using GPR (Ground Penetrating Radar) technology to map existing buried water, sewer, telecom, gas, and power infrastructure that must be avoided or crossed safely during cable laying. Crossing identification surveys enumerate all road crossings, railway crossings, canal crossings, and building crossings requiring special technical treatment, with measurements recorded for permitting purposes.</w:t>
      </w:r>
    </w:p>
    <w:p>
      <w:pPr>
        <w:spacing w:before="160" w:after="80"/>
      </w:pPr>
      <w:r>
        <w:rPr>
          <w:rFonts w:ascii="Calibri" w:hAnsi="Calibri"/>
          <w:b/>
          <w:sz w:val="22"/>
        </w:rPr>
        <w:t>4.4 Pole Schedule and Route Drawing Preparation – Engineering Documentation</w:t>
      </w:r>
    </w:p>
    <w:p>
      <w:pPr>
        <w:spacing w:before="0" w:after="120"/>
        <w:jc w:val="both"/>
      </w:pPr>
      <w:r>
        <w:rPr>
          <w:rFonts w:ascii="Calibri" w:hAnsi="Calibri"/>
          <w:b w:val="0"/>
          <w:sz w:val="22"/>
        </w:rPr>
        <w:t>Using the GPS-recorded field data, the survey team prepares a detailed pole schedule listing each pole with its unique identification number, GPS coordinates, pole type, height, class, foundation type, and all fittings to be installed. A route drawing is prepared on a cadastral or topographic map base showing the HT line alignment, LT network, DTR locations, crossing locations, and proposed deviations. This drawing becomes the primary reference for all design calculations and material quantity finalization.</w:t>
      </w:r>
    </w:p>
    <w:p>
      <w:pPr>
        <w:spacing w:before="160" w:after="80"/>
      </w:pPr>
      <w:r>
        <w:rPr>
          <w:rFonts w:ascii="Calibri" w:hAnsi="Calibri"/>
          <w:b/>
          <w:sz w:val="22"/>
        </w:rPr>
        <w:t>4.5 Survey Report Compilation – Technical Data Consolidation</w:t>
      </w:r>
    </w:p>
    <w:p>
      <w:pPr>
        <w:spacing w:before="0" w:after="120"/>
        <w:jc w:val="both"/>
      </w:pPr>
      <w:r>
        <w:rPr>
          <w:rFonts w:ascii="Calibri" w:hAnsi="Calibri"/>
          <w:b w:val="0"/>
          <w:sz w:val="22"/>
        </w:rPr>
        <w:t>All survey data, field measurements, photographs, and observations are compiled into a formal survey report that documents the complete technical picture of the project area. The survey report includes the route description, total route length, number of poles, crossing inventory, soil conditions summary, and any special technical challenges identified that need to be addressed during engineering. This report is submitted internally for engineering review and externally to the client for information and awareness.</w:t>
      </w:r>
    </w:p>
    <w:p>
      <w:pPr>
        <w:spacing w:before="160" w:after="80"/>
      </w:pPr>
      <w:r>
        <w:rPr>
          <w:rFonts w:ascii="Calibri" w:hAnsi="Calibri"/>
          <w:b/>
          <w:sz w:val="22"/>
        </w:rPr>
        <w:t>4.6 Client Review and Route Approval – External Validation</w:t>
      </w:r>
    </w:p>
    <w:p>
      <w:pPr>
        <w:spacing w:before="0" w:after="120"/>
        <w:jc w:val="both"/>
      </w:pPr>
      <w:r>
        <w:rPr>
          <w:rFonts w:ascii="Calibri" w:hAnsi="Calibri"/>
          <w:b w:val="0"/>
          <w:sz w:val="22"/>
        </w:rPr>
        <w:t>The route drawing and pole schedule are formally submitted to the DISCOM for review and approval. The DISCOM field team reviews the proposed alignment against their operational and safety requirements, may suggest modifications to pole locations due to access requirements or future maintenance considerations, and provides written approval or comments. Any approved changes are incorporated into the drawing, and the revised drawing is resubmitted for final approval.</w:t>
      </w:r>
    </w:p>
    <w:p>
      <w:pPr>
        <w:spacing w:before="160" w:after="80"/>
      </w:pPr>
      <w:r>
        <w:rPr>
          <w:rFonts w:ascii="Calibri" w:hAnsi="Calibri"/>
          <w:b/>
          <w:sz w:val="22"/>
        </w:rPr>
        <w:t>4.7 Approved Route Drawing Issued – IFC Survey Release</w:t>
      </w:r>
    </w:p>
    <w:p>
      <w:pPr>
        <w:spacing w:before="0" w:after="120"/>
        <w:jc w:val="both"/>
      </w:pPr>
      <w:r>
        <w:rPr>
          <w:rFonts w:ascii="Calibri" w:hAnsi="Calibri"/>
          <w:b w:val="0"/>
          <w:sz w:val="22"/>
        </w:rPr>
        <w:t>Upon DISCOM approval, the route drawing and pole schedule are stamped "Issued for Construction" (IFC) and formally released to the engineering and procurement teams. This IFC release is a critical milestone because material procurement quantities can only be finalized after IFC route drawings are issued. The system status transitions to "Survey Approved" and the detailed engineering phase commences based on this approved baseline.</w:t>
      </w:r>
    </w:p>
    <w:p>
      <w:r>
        <w:br w:type="page"/>
      </w:r>
    </w:p>
    <w:p>
      <w:pPr>
        <w:spacing w:before="240" w:after="120"/>
      </w:pPr>
      <w:r>
        <w:rPr>
          <w:rFonts w:ascii="Calibri" w:hAnsi="Calibri"/>
          <w:b/>
          <w:sz w:val="28"/>
        </w:rPr>
        <w:t>WORKFLOW 5: Detailed Engineering and Drawing Preparation Process</w:t>
      </w:r>
    </w:p>
    <w:p>
      <w:pPr>
        <w:spacing w:before="0" w:after="120"/>
        <w:jc w:val="both"/>
      </w:pPr>
      <w:r>
        <w:rPr>
          <w:rFonts w:ascii="Calibri" w:hAnsi="Calibri"/>
          <w:b w:val="0"/>
          <w:sz w:val="22"/>
        </w:rPr>
        <w:t>The detailed engineering and drawing preparation phase transforms the approved survey data into complete construction-ready technical documents that define every aspect of the distribution network to be built. This phase produces IFC drawings, design calculations, and engineering specifications that are the authoritative technical baseline for procurement, construction, and testing activities. This phase cannot begin until IFC survey drawings have been issued and client approval of the route has been received.</w:t>
      </w:r>
    </w:p>
    <w:p>
      <w:r>
        <w:rPr>
          <w:rFonts w:ascii="Calibri" w:hAnsi="Calibri"/>
          <w:b/>
          <w:sz w:val="22"/>
        </w:rPr>
        <w:t>Flowchart:</w:t>
      </w:r>
    </w:p>
    <w:p>
      <w:pPr>
        <w:jc w:val="center"/>
      </w:pPr>
      <w:r>
        <w:drawing>
          <wp:inline xmlns:a="http://schemas.openxmlformats.org/drawingml/2006/main" xmlns:pic="http://schemas.openxmlformats.org/drawingml/2006/picture">
            <wp:extent cx="5486400" cy="6014301"/>
            <wp:docPr id="5" name="Picture 5"/>
            <wp:cNvGraphicFramePr>
              <a:graphicFrameLocks noChangeAspect="1"/>
            </wp:cNvGraphicFramePr>
            <a:graphic>
              <a:graphicData uri="http://schemas.openxmlformats.org/drawingml/2006/picture">
                <pic:pic>
                  <pic:nvPicPr>
                    <pic:cNvPr id="0" name="section_05.png"/>
                    <pic:cNvPicPr/>
                  </pic:nvPicPr>
                  <pic:blipFill>
                    <a:blip r:embed="rId13"/>
                    <a:stretch>
                      <a:fillRect/>
                    </a:stretch>
                  </pic:blipFill>
                  <pic:spPr>
                    <a:xfrm>
                      <a:off x="0" y="0"/>
                      <a:ext cx="5486400" cy="6014301"/>
                    </a:xfrm>
                    <a:prstGeom prst="rect"/>
                  </pic:spPr>
                </pic:pic>
              </a:graphicData>
            </a:graphic>
          </wp:inline>
        </w:drawing>
      </w:r>
    </w:p>
    <w:p>
      <w:pPr>
        <w:spacing w:before="160" w:after="80"/>
      </w:pPr>
      <w:r>
        <w:rPr>
          <w:rFonts w:ascii="Calibri" w:hAnsi="Calibri"/>
          <w:b/>
          <w:sz w:val="22"/>
        </w:rPr>
        <w:t>5.1 Design Basis and Engineering Inputs – Technical Planning Foundation</w:t>
      </w:r>
    </w:p>
    <w:p>
      <w:pPr>
        <w:spacing w:before="0" w:after="120"/>
        <w:jc w:val="both"/>
      </w:pPr>
      <w:r>
        <w:rPr>
          <w:rFonts w:ascii="Calibri" w:hAnsi="Calibri"/>
          <w:b w:val="0"/>
          <w:sz w:val="22"/>
        </w:rPr>
        <w:t>The engineering team establishes the design basis document that defines all technical parameters, standards, and assumptions governing the design of the distribution network. Key inputs include the approved IFC survey data, consumer load data per DTR zone, DISCOM-specific technical specifications and standard drawings, IS standards applicable to distribution equipment and lines, applicable government scheme technical requirements (RDSS/DDUGJY/Smart Metering specifications), and local weather and environmental data for conductor sag-tension calculations. The design basis is reviewed and approved internally before detailed design calculations begin, ensuring all engineers work from a consistent set of assumptions.</w:t>
      </w:r>
    </w:p>
    <w:p>
      <w:pPr>
        <w:spacing w:before="160" w:after="80"/>
      </w:pPr>
      <w:r>
        <w:rPr>
          <w:rFonts w:ascii="Calibri" w:hAnsi="Calibri"/>
          <w:b/>
          <w:sz w:val="22"/>
        </w:rPr>
        <w:t>5.2 HT Line Design – High Voltage Overhead Line Engineering</w:t>
      </w:r>
    </w:p>
    <w:p>
      <w:pPr>
        <w:spacing w:before="0" w:after="120"/>
        <w:jc w:val="both"/>
      </w:pPr>
      <w:r>
        <w:rPr>
          <w:rFonts w:ascii="Calibri" w:hAnsi="Calibri"/>
          <w:b w:val="0"/>
          <w:sz w:val="22"/>
        </w:rPr>
        <w:t>The 11kV/33kV overhead line is designed using sag-tension calculation software or manual methods per IS 5613 to determine conductor sag at maximum temperature and minimum temperature for each span, ensuring compliance with minimum ground clearances per IE Rules 1956. Pole schedule is finalized with pole heights and classes assigned based on the calculated load at each pole location including wind load, conductor weight, and tension at angle poles. Dropout fuse (DO fuse) locations are positioned at each DTR tap-off point and at section points for protection coordination, and AB switch locations are designed for isolation and sectionalizing purposes. Earthing design for the HT line specifies earth wires and earth electrodes at each pole along the route to achieve the required earth fault protection. Line drawings are prepared showing both plan and profile views with all elevations, clearances, and dimensions.</w:t>
      </w:r>
    </w:p>
    <w:p>
      <w:pPr>
        <w:spacing w:before="160" w:after="80"/>
      </w:pPr>
      <w:r>
        <w:rPr>
          <w:rFonts w:ascii="Calibri" w:hAnsi="Calibri"/>
          <w:b/>
          <w:sz w:val="22"/>
        </w:rPr>
        <w:t>5.3 LT Network Design – Low Voltage Distribution Engineering</w:t>
      </w:r>
    </w:p>
    <w:p>
      <w:pPr>
        <w:spacing w:before="0" w:after="120"/>
        <w:jc w:val="both"/>
      </w:pPr>
      <w:r>
        <w:rPr>
          <w:rFonts w:ascii="Calibri" w:hAnsi="Calibri"/>
          <w:b w:val="0"/>
          <w:sz w:val="22"/>
        </w:rPr>
        <w:t>The LT network serving 415V/230V consumers is designed starting with a load calculation for each DTR zone, aggregating consumer loads with appropriate demand factors to determine the peak demand the LT network must supply. Conductor sizing is performed for each LT feeder to ensure that voltage drop from the DTR secondary bus to the farthest consumer remains within ±6% of 415V as prescribed by IE Rules, with conductor upgrades specified where required. ABC cable (Aerial Bundled Conductor) is specified for urban and semi-urban areas per IS 14255 for safety and reduced power theft risk, while bare ACSR conductor may be used in rural areas per project specifications. LT pole schedule and service connection schedule are prepared, documenting each LT pole location and each consumer tee-off point.</w:t>
      </w:r>
    </w:p>
    <w:p>
      <w:pPr>
        <w:spacing w:before="160" w:after="80"/>
      </w:pPr>
      <w:r>
        <w:rPr>
          <w:rFonts w:ascii="Calibri" w:hAnsi="Calibri"/>
          <w:b/>
          <w:sz w:val="22"/>
        </w:rPr>
        <w:t>5.4 Parallel Specialized Engineering Activities – Discipline Specific Design</w:t>
      </w:r>
    </w:p>
    <w:p>
      <w:pPr>
        <w:spacing w:before="0" w:after="120"/>
        <w:jc w:val="both"/>
      </w:pPr>
      <w:r>
        <w:rPr>
          <w:rFonts w:ascii="Calibri" w:hAnsi="Calibri"/>
          <w:b w:val="0"/>
          <w:sz w:val="22"/>
        </w:rPr>
        <w:t>Multiple specialized engineering workstreams proceed in parallel based on the project type scope. DTR design covers the selection of transformer capacity based on load calculations, earthing arrangement (three-point earthing: body, neutral, LA), civil pad dimensions for ground-mounted transformers, and metering arrangement. Underground cable design covers cable sizing for thermal rating and voltage drop compliance, trench cross-section design, cable route profile, and joint bay layout drawings per project specifications. Smart Meter and AMI design covers the meter type selection (single-phase/three-phase/HT), HES (Head End System) architecture, DCU (Data Concentrator Unit) placement per DTR zone, communication protocol (RF Mesh/GPRS/PLC), and MDM (Meter Data Management) integration architecture. Distribution Automation and SCADA design covers FRTU selection and configuration, FLISR (Fault Location Isolation and Service Restoration) zone definition, recloser-sectionalizer coordination sequence, communication network design (GPRS/fiber/RF), and SCADA HMI screen layout. Each workstream produces drawings and specifications appropriate to its discipline.</w:t>
      </w:r>
    </w:p>
    <w:p>
      <w:pPr>
        <w:spacing w:before="160" w:after="80"/>
      </w:pPr>
      <w:r>
        <w:rPr>
          <w:rFonts w:ascii="Calibri" w:hAnsi="Calibri"/>
          <w:b/>
          <w:sz w:val="22"/>
        </w:rPr>
        <w:t>5.5 Internal Design Check – Engineering Quality Validation</w:t>
      </w:r>
    </w:p>
    <w:p>
      <w:pPr>
        <w:spacing w:before="0" w:after="120"/>
        <w:jc w:val="both"/>
      </w:pPr>
      <w:r>
        <w:rPr>
          <w:rFonts w:ascii="Calibri" w:hAnsi="Calibri"/>
          <w:b w:val="0"/>
          <w:sz w:val="22"/>
        </w:rPr>
        <w:t>All completed design calculations, drawings, and specifications undergo an internal review by a senior engineer independent of the design author. The review checks mathematical correctness, code compliance, consistency between disciplines (e.g., pole schedule matches route drawing, cable schedule matches cable route drawing), and compliance with DISCOM-specific requirements. Comments are raised and addressed by the designer before the documents are approved for external submission.</w:t>
      </w:r>
    </w:p>
    <w:p>
      <w:pPr>
        <w:spacing w:before="160" w:after="80"/>
      </w:pPr>
      <w:r>
        <w:rPr>
          <w:rFonts w:ascii="Calibri" w:hAnsi="Calibri"/>
          <w:b/>
          <w:sz w:val="22"/>
        </w:rPr>
        <w:t>5.6 Drawing Submission to Client – External Approval Process</w:t>
      </w:r>
    </w:p>
    <w:p>
      <w:pPr>
        <w:spacing w:before="0" w:after="120"/>
        <w:jc w:val="both"/>
      </w:pPr>
      <w:r>
        <w:rPr>
          <w:rFonts w:ascii="Calibri" w:hAnsi="Calibri"/>
          <w:b w:val="0"/>
          <w:sz w:val="22"/>
        </w:rPr>
        <w:t>Completed and internally approved drawings are formally submitted to the DISCOM or client for review and approval. Submission packages typically include HT line route and profile drawings, LT network drawings, DTR layout drawings, cable route drawings and trench cross-sections, and system single-line diagrams. The submission is accompanied by a transmittal letter with revision numbers and a review response requested within the timeframe specified in the contract.</w:t>
      </w:r>
    </w:p>
    <w:p>
      <w:pPr>
        <w:spacing w:before="160" w:after="80"/>
      </w:pPr>
      <w:r>
        <w:rPr>
          <w:rFonts w:ascii="Calibri" w:hAnsi="Calibri"/>
          <w:b/>
          <w:sz w:val="22"/>
        </w:rPr>
        <w:t>5.7 Client Review and Comment Incorporation – Revision Cycle</w:t>
      </w:r>
    </w:p>
    <w:p>
      <w:pPr>
        <w:spacing w:before="0" w:after="120"/>
        <w:jc w:val="both"/>
      </w:pPr>
      <w:r>
        <w:rPr>
          <w:rFonts w:ascii="Calibri" w:hAnsi="Calibri"/>
          <w:b w:val="0"/>
          <w:sz w:val="22"/>
        </w:rPr>
        <w:t>The DISCOM or client engineering team reviews the submitted drawings against their technical standards, operability requirements, and safety norms. Review comments are received in writing and the design team processes each comment, either incorporating the change or providing a technical justification for the original design. Revised drawings are resubmitted for client concurrence. The review and revision cycle may occur one or two times for complex projects before final approval.</w:t>
      </w:r>
    </w:p>
    <w:p>
      <w:pPr>
        <w:spacing w:before="160" w:after="80"/>
      </w:pPr>
      <w:r>
        <w:rPr>
          <w:rFonts w:ascii="Calibri" w:hAnsi="Calibri"/>
          <w:b/>
          <w:sz w:val="22"/>
        </w:rPr>
        <w:t>5.8 IFC Drawings Issued – Construction Ready Documents Released</w:t>
      </w:r>
    </w:p>
    <w:p>
      <w:pPr>
        <w:spacing w:before="0" w:after="120"/>
        <w:jc w:val="both"/>
      </w:pPr>
      <w:r>
        <w:rPr>
          <w:rFonts w:ascii="Calibri" w:hAnsi="Calibri"/>
          <w:b w:val="0"/>
          <w:sz w:val="22"/>
        </w:rPr>
        <w:t>Upon receiving final client approval, all drawings are stamped "Issued for Construction" (IFC) with the approval signature and date. IFC drawings are formally distributed to the procurement team for material ordering, the site team for construction execution, and the QA/QC team for inspection reference. The system status transitions to "Detailed Engineering Complete" and procurement and construction activities are formally authorized to proceed on the basis of these IFC documents.</w:t>
      </w:r>
    </w:p>
    <w:p>
      <w:r>
        <w:br w:type="page"/>
      </w:r>
    </w:p>
    <w:p>
      <w:pPr>
        <w:spacing w:before="240" w:after="120"/>
      </w:pPr>
      <w:r>
        <w:rPr>
          <w:rFonts w:ascii="Calibri" w:hAnsi="Calibri"/>
          <w:b/>
          <w:sz w:val="28"/>
        </w:rPr>
        <w:t>WORKFLOW 6: Procurement, Vendor Approval and Material Supply Process</w:t>
      </w:r>
    </w:p>
    <w:p>
      <w:pPr>
        <w:spacing w:before="0" w:after="120"/>
        <w:jc w:val="both"/>
      </w:pPr>
      <w:r>
        <w:rPr>
          <w:rFonts w:ascii="Calibri" w:hAnsi="Calibri"/>
          <w:b w:val="0"/>
          <w:sz w:val="22"/>
        </w:rPr>
        <w:t>The procurement phase encompasses the full lifecycle of material sourcing from procurement planning through vendor selection, inspection, and dispatch to site, ensuring that the right materials in the right quantities and quality reach the construction site at the right time to support the construction schedule. Distribution projects involve a wide variety of materials spanning civil, structural, electrical, and IT/communications categories, requiring coordinated procurement from multiple vendors. Procurement must be closely aligned with the construction schedule to prevent material-driven delays while avoiding excessive inventory that ties up working capital.</w:t>
      </w:r>
    </w:p>
    <w:p>
      <w:r>
        <w:rPr>
          <w:rFonts w:ascii="Calibri" w:hAnsi="Calibri"/>
          <w:b/>
          <w:sz w:val="22"/>
        </w:rPr>
        <w:t>Flowchart:</w:t>
      </w:r>
    </w:p>
    <w:p>
      <w:pPr>
        <w:jc w:val="center"/>
      </w:pPr>
      <w:r>
        <w:drawing>
          <wp:inline xmlns:a="http://schemas.openxmlformats.org/drawingml/2006/main" xmlns:pic="http://schemas.openxmlformats.org/drawingml/2006/picture">
            <wp:extent cx="5486400" cy="5627529"/>
            <wp:docPr id="6" name="Picture 6"/>
            <wp:cNvGraphicFramePr>
              <a:graphicFrameLocks noChangeAspect="1"/>
            </wp:cNvGraphicFramePr>
            <a:graphic>
              <a:graphicData uri="http://schemas.openxmlformats.org/drawingml/2006/picture">
                <pic:pic>
                  <pic:nvPicPr>
                    <pic:cNvPr id="0" name="section_06.png"/>
                    <pic:cNvPicPr/>
                  </pic:nvPicPr>
                  <pic:blipFill>
                    <a:blip r:embed="rId14"/>
                    <a:stretch>
                      <a:fillRect/>
                    </a:stretch>
                  </pic:blipFill>
                  <pic:spPr>
                    <a:xfrm>
                      <a:off x="0" y="0"/>
                      <a:ext cx="5486400" cy="5627529"/>
                    </a:xfrm>
                    <a:prstGeom prst="rect"/>
                  </pic:spPr>
                </pic:pic>
              </a:graphicData>
            </a:graphic>
          </wp:inline>
        </w:drawing>
      </w:r>
    </w:p>
    <w:p>
      <w:pPr>
        <w:spacing w:before="160" w:after="80"/>
      </w:pPr>
      <w:r>
        <w:rPr>
          <w:rFonts w:ascii="Calibri" w:hAnsi="Calibri"/>
          <w:b/>
          <w:sz w:val="22"/>
        </w:rPr>
        <w:t>6.1 Procurement Plan – Material Planning and Sourcing Strategy</w:t>
      </w:r>
    </w:p>
    <w:p>
      <w:pPr>
        <w:spacing w:before="0" w:after="120"/>
        <w:jc w:val="both"/>
      </w:pPr>
      <w:r>
        <w:rPr>
          <w:rFonts w:ascii="Calibri" w:hAnsi="Calibri"/>
          <w:b w:val="0"/>
          <w:sz w:val="22"/>
        </w:rPr>
        <w:t>The procurement team prepares a comprehensive material requirements plan (MRP) derived from the IFC drawings, finalized BOQ, and construction schedule. The plan identifies all materials to be procured, their quantities, required delivery dates tied to the construction sequence, and classification as long-lead or standard-lead items. Long-lead items are identified and expedited first: distribution transformers typically require 8–12 weeks, smart meters require 10–16 weeks including type approval validation, and XLPE cables require 6–10 weeks. The procurement schedule is reviewed with the construction scheduler to confirm that material delivery timelines support the planned construction sequence without causing critical path delays.</w:t>
      </w:r>
    </w:p>
    <w:p>
      <w:pPr>
        <w:spacing w:before="160" w:after="80"/>
      </w:pPr>
      <w:r>
        <w:rPr>
          <w:rFonts w:ascii="Calibri" w:hAnsi="Calibri"/>
          <w:b/>
          <w:sz w:val="22"/>
        </w:rPr>
        <w:t>6.2 Vendor Identification and RFQ – Quotation Collection</w:t>
      </w:r>
    </w:p>
    <w:p>
      <w:pPr>
        <w:spacing w:before="0" w:after="120"/>
        <w:jc w:val="both"/>
      </w:pPr>
      <w:r>
        <w:rPr>
          <w:rFonts w:ascii="Calibri" w:hAnsi="Calibri"/>
          <w:b w:val="0"/>
          <w:sz w:val="22"/>
        </w:rPr>
        <w:t>Vendors are identified from the DISCOM-approved vendor list, which is mandatory for many scheme-funded projects where client approval of material sources is contractually required. Requests for Quotation (RFQ) are issued to multiple vendors for each material category covering technical requirements, quantity, delivery schedule, inspection requirements, warranty terms, and commercial payment terms. Technical and commercial bids are collected and kept separate to ensure unbiased evaluation. For smart meters and SCADA equipment, vendor pre-qualification may be required by the DISCOM before RFQ can be issued.</w:t>
      </w:r>
    </w:p>
    <w:p>
      <w:pPr>
        <w:spacing w:before="160" w:after="80"/>
      </w:pPr>
      <w:r>
        <w:rPr>
          <w:rFonts w:ascii="Calibri" w:hAnsi="Calibri"/>
          <w:b/>
          <w:sz w:val="22"/>
        </w:rPr>
        <w:t>6.3 Technical Bid Evaluation – Vendor Technical Assessment</w:t>
      </w:r>
    </w:p>
    <w:p>
      <w:pPr>
        <w:spacing w:before="0" w:after="120"/>
        <w:jc w:val="both"/>
      </w:pPr>
      <w:r>
        <w:rPr>
          <w:rFonts w:ascii="Calibri" w:hAnsi="Calibri"/>
          <w:b w:val="0"/>
          <w:sz w:val="22"/>
        </w:rPr>
        <w:t>Each vendor's technical proposal is evaluated against the IFC drawings, DISCOM technical specifications, and applicable IS standards. Conductors are evaluated against IS 398 (ACSR) or IS 14255 (ABC), poles against IS 785 or IS 1678, distribution transformers against IS 2026, XLPE cables against IS 7098, and smart meters against IS 16444 and DISCOM meter specifications. Type test certificates, NABL-accredited laboratory test reports, and Bureau of Indian Standards (BIS) certification are verified for each material. Vendors who fail to meet technical requirements are disqualified, and technically compliant vendors are shortlisted for commercial evaluation.</w:t>
      </w:r>
    </w:p>
    <w:p>
      <w:pPr>
        <w:spacing w:before="160" w:after="80"/>
      </w:pPr>
      <w:r>
        <w:rPr>
          <w:rFonts w:ascii="Calibri" w:hAnsi="Calibri"/>
          <w:b/>
          <w:sz w:val="22"/>
        </w:rPr>
        <w:t>6.4 Purchase Order Issuance – Procurement Commitment</w:t>
      </w:r>
    </w:p>
    <w:p>
      <w:pPr>
        <w:spacing w:before="0" w:after="120"/>
        <w:jc w:val="both"/>
      </w:pPr>
      <w:r>
        <w:rPr>
          <w:rFonts w:ascii="Calibri" w:hAnsi="Calibri"/>
          <w:b w:val="0"/>
          <w:sz w:val="22"/>
        </w:rPr>
        <w:t>Purchase orders are issued to the selected vendors covering the complete specification, quantity, unit price, delivery schedule with phased delivery milestones, inspection clause specifying TPI requirements, payment terms, and warranty period. The PO is reviewed and approved by the project manager and the procurement manager before issue. The system status for each material package transitions to "PO Issued" in the procurement tracking system, triggering expediting and inspection activities.</w:t>
      </w:r>
    </w:p>
    <w:p>
      <w:pPr>
        <w:spacing w:before="160" w:after="80"/>
      </w:pPr>
      <w:r>
        <w:rPr>
          <w:rFonts w:ascii="Calibri" w:hAnsi="Calibri"/>
          <w:b/>
          <w:sz w:val="22"/>
        </w:rPr>
        <w:t>6.5 Vendor Drawing Approval – Technical Confirmation</w:t>
      </w:r>
    </w:p>
    <w:p>
      <w:pPr>
        <w:spacing w:before="0" w:after="120"/>
        <w:jc w:val="both"/>
      </w:pPr>
      <w:r>
        <w:rPr>
          <w:rFonts w:ascii="Calibri" w:hAnsi="Calibri"/>
          <w:b w:val="0"/>
          <w:sz w:val="22"/>
        </w:rPr>
        <w:t>Before manufacturing begins for engineered items, vendors are required to submit manufacturing drawings and data sheets for contractor and DISCOM approval. DTR nameplate and dimensional drawings are reviewed for rating compliance and civil interface dimensions. Smart meter type approval documents and communication interface specifications are reviewed. FRTU technical drawings including I/O configuration and communication protocol documents are reviewed and approved. Approval with or without comments is issued within the review period specified in the PO, and vendors must resolve all comments before commencing manufacturing.</w:t>
      </w:r>
    </w:p>
    <w:p>
      <w:pPr>
        <w:spacing w:before="160" w:after="80"/>
      </w:pPr>
      <w:r>
        <w:rPr>
          <w:rFonts w:ascii="Calibri" w:hAnsi="Calibri"/>
          <w:b/>
          <w:sz w:val="22"/>
        </w:rPr>
        <w:t>6.6 Parallel Manufacturing and Supply Activities – Production Monitoring</w:t>
      </w:r>
    </w:p>
    <w:p>
      <w:pPr>
        <w:spacing w:before="0" w:after="120"/>
        <w:jc w:val="both"/>
      </w:pPr>
      <w:r>
        <w:rPr>
          <w:rFonts w:ascii="Calibri" w:hAnsi="Calibri"/>
          <w:b w:val="0"/>
          <w:sz w:val="22"/>
        </w:rPr>
        <w:t>Once vendor drawings are approved and manufacturing commences, multiple parallel activities are conducted to monitor and manage supply progress. Advance payment is processed to vendors as per PO payment milestones to facilitate material procurement by the vendor. The expediting team tracks raw material procurement by the vendor against the production schedule. Stage quality inspections are conducted at the vendor's facility at key manufacturing milestones for critical equipment such as DTRs and smart meters. Delivery tracking monitors dispatch readiness against the planned delivery schedule, with weekly updates to the project procurement tracker. These activities run simultaneously across all active POs.</w:t>
      </w:r>
    </w:p>
    <w:p>
      <w:pPr>
        <w:spacing w:before="160" w:after="80"/>
      </w:pPr>
      <w:r>
        <w:rPr>
          <w:rFonts w:ascii="Calibri" w:hAnsi="Calibri"/>
          <w:b/>
          <w:sz w:val="22"/>
        </w:rPr>
        <w:t>6.7 Vendor Inspection (TPI/FAT) – Factory Quality Verification</w:t>
      </w:r>
    </w:p>
    <w:p>
      <w:pPr>
        <w:spacing w:before="0" w:after="120"/>
        <w:jc w:val="both"/>
      </w:pPr>
      <w:r>
        <w:rPr>
          <w:rFonts w:ascii="Calibri" w:hAnsi="Calibri"/>
          <w:b w:val="0"/>
          <w:sz w:val="22"/>
        </w:rPr>
        <w:t>A formal inspection is conducted at the vendor's factory before dispatch clearance is given, involving the contractor's QA team and optionally a Third Party Inspection (TPI) agency or DISCOM representative. For distribution transformers, routine tests per IS 2026 are witnessed: turns ratio test, winding resistance measurement, insulation resistance test, no-load loss and current measurement, short circuit impedance measurement, and dielectric tests. For conductors, drum identification, length measurement, and resistance measurement are verified per IS 398. For PSC poles, load testing is witnessed per IS 1678. For smart meters, type approval certificates are verified against the specific meter model and the DISCOM meter specification conformance is confirmed.</w:t>
      </w:r>
    </w:p>
    <w:p>
      <w:pPr>
        <w:spacing w:before="160" w:after="80"/>
      </w:pPr>
      <w:r>
        <w:rPr>
          <w:rFonts w:ascii="Calibri" w:hAnsi="Calibri"/>
          <w:b/>
          <w:sz w:val="22"/>
        </w:rPr>
        <w:t>6.8 Dispatch Clearance – Material Release for Delivery</w:t>
      </w:r>
    </w:p>
    <w:p>
      <w:pPr>
        <w:spacing w:before="0" w:after="120"/>
        <w:jc w:val="both"/>
      </w:pPr>
      <w:r>
        <w:rPr>
          <w:rFonts w:ascii="Calibri" w:hAnsi="Calibri"/>
          <w:b w:val="0"/>
          <w:sz w:val="22"/>
        </w:rPr>
        <w:t>Upon satisfactory completion of inspection and all test results meeting specification requirements, the contractor issues a Dispatch Clearance Certificate authorizing the vendor to pack and dispatch the material to site. The packing list is reviewed to confirm completeness of supply including accessories, spare parts, and documentation. Transit insurance is arranged for all consignments to protect against damage during transportation. Dispatch is staggered as per the construction program to avoid simultaneous arrival of large quantities that would overwhelm site storage and receiving capacity.</w:t>
      </w:r>
    </w:p>
    <w:p>
      <w:r>
        <w:br w:type="page"/>
      </w:r>
    </w:p>
    <w:p>
      <w:pPr>
        <w:spacing w:before="240" w:after="120"/>
      </w:pPr>
      <w:r>
        <w:rPr>
          <w:rFonts w:ascii="Calibri" w:hAnsi="Calibri"/>
          <w:b/>
          <w:sz w:val="28"/>
        </w:rPr>
        <w:t>WORKFLOW 7: Material Receipt, Inspection and Installation Release Process</w:t>
      </w:r>
    </w:p>
    <w:p>
      <w:pPr>
        <w:spacing w:before="0" w:after="120"/>
        <w:jc w:val="both"/>
      </w:pPr>
      <w:r>
        <w:rPr>
          <w:rFonts w:ascii="Calibri" w:hAnsi="Calibri"/>
          <w:b w:val="0"/>
          <w:sz w:val="22"/>
        </w:rPr>
        <w:t>The material receipt, inspection, and installation release process ensures that all materials arriving at the project site are verified for quantity, quality, and physical condition before being accepted into site inventory and released for installation. This phase is a critical quality control gate because defective or non-conforming materials installed in the distribution network can cause premature failures, safety hazards, and costly rework after energization. This phase cannot begin for any material until site store infrastructure is established and the receiving team is deployed.</w:t>
      </w:r>
    </w:p>
    <w:p>
      <w:r>
        <w:rPr>
          <w:rFonts w:ascii="Calibri" w:hAnsi="Calibri"/>
          <w:b/>
          <w:sz w:val="22"/>
        </w:rPr>
        <w:t>Flowchart:</w:t>
      </w:r>
    </w:p>
    <w:p>
      <w:pPr>
        <w:jc w:val="center"/>
      </w:pPr>
      <w:r>
        <w:drawing>
          <wp:inline xmlns:a="http://schemas.openxmlformats.org/drawingml/2006/main" xmlns:pic="http://schemas.openxmlformats.org/drawingml/2006/picture">
            <wp:extent cx="5486400" cy="5004015"/>
            <wp:docPr id="7" name="Picture 7"/>
            <wp:cNvGraphicFramePr>
              <a:graphicFrameLocks noChangeAspect="1"/>
            </wp:cNvGraphicFramePr>
            <a:graphic>
              <a:graphicData uri="http://schemas.openxmlformats.org/drawingml/2006/picture">
                <pic:pic>
                  <pic:nvPicPr>
                    <pic:cNvPr id="0" name="section_07.png"/>
                    <pic:cNvPicPr/>
                  </pic:nvPicPr>
                  <pic:blipFill>
                    <a:blip r:embed="rId15"/>
                    <a:stretch>
                      <a:fillRect/>
                    </a:stretch>
                  </pic:blipFill>
                  <pic:spPr>
                    <a:xfrm>
                      <a:off x="0" y="0"/>
                      <a:ext cx="5486400" cy="5004015"/>
                    </a:xfrm>
                    <a:prstGeom prst="rect"/>
                  </pic:spPr>
                </pic:pic>
              </a:graphicData>
            </a:graphic>
          </wp:inline>
        </w:drawing>
      </w:r>
    </w:p>
    <w:p>
      <w:pPr>
        <w:spacing w:before="160" w:after="80"/>
      </w:pPr>
      <w:r>
        <w:rPr>
          <w:rFonts w:ascii="Calibri" w:hAnsi="Calibri"/>
          <w:b/>
          <w:sz w:val="22"/>
        </w:rPr>
        <w:t>7.1 Receipt Readiness – Site Store Preparation</w:t>
      </w:r>
    </w:p>
    <w:p>
      <w:pPr>
        <w:spacing w:before="0" w:after="120"/>
        <w:jc w:val="both"/>
      </w:pPr>
      <w:r>
        <w:rPr>
          <w:rFonts w:ascii="Calibri" w:hAnsi="Calibri"/>
          <w:b w:val="0"/>
          <w:sz w:val="22"/>
        </w:rPr>
        <w:t>Before the first material consignment arrives, the site store infrastructure is made fully operational. The material yard is laid out with designated areas for different material types: a pole stacking area with timber/concrete sleeper supports, a conductor drum storage area on hard standing, a DTR laydown area with level ground and anchor points, a hardware/insulator storage area in covered sheds, and a cable drum storage area. A crane or hydra is made available for unloading DTRs and heavy items. The store keeper and receiving team are briefed on the material inspection procedure and provided with the approved vendor inspection test plans and IS standard references for each material type.</w:t>
      </w:r>
    </w:p>
    <w:p>
      <w:pPr>
        <w:spacing w:before="160" w:after="80"/>
      </w:pPr>
      <w:r>
        <w:rPr>
          <w:rFonts w:ascii="Calibri" w:hAnsi="Calibri"/>
          <w:b/>
          <w:sz w:val="22"/>
        </w:rPr>
        <w:t>7.2 Unloading and Physical Verification – Material Receipt</w:t>
      </w:r>
    </w:p>
    <w:p>
      <w:pPr>
        <w:spacing w:before="0" w:after="120"/>
        <w:jc w:val="both"/>
      </w:pPr>
      <w:r>
        <w:rPr>
          <w:rFonts w:ascii="Calibri" w:hAnsi="Calibri"/>
          <w:b w:val="0"/>
          <w:sz w:val="22"/>
        </w:rPr>
        <w:t>Upon arrival of each consignment, the delivery challan is cross-checked against the corresponding Purchase Order to verify that the correct material, specification, and quantity have been delivered. Physical counting and measurement of poles, conductor drum length marking, and DTR nameplate reading are performed. Any visible transit damage, missing items, or specification mismatches observed during unloading are immediately recorded in the receiving report and photographed. A Goods Receipt Note (GRN) is prepared upon completion of unloading and initial quantity verification, capturing all observations.</w:t>
      </w:r>
    </w:p>
    <w:p>
      <w:pPr>
        <w:spacing w:before="160" w:after="80"/>
      </w:pPr>
      <w:r>
        <w:rPr>
          <w:rFonts w:ascii="Calibri" w:hAnsi="Calibri"/>
          <w:b/>
          <w:sz w:val="22"/>
        </w:rPr>
        <w:t>7.3 Parallel Incoming Inspection Activities – Quality and Compliance Verification</w:t>
      </w:r>
    </w:p>
    <w:p>
      <w:pPr>
        <w:spacing w:before="0" w:after="120"/>
        <w:jc w:val="both"/>
      </w:pPr>
      <w:r>
        <w:rPr>
          <w:rFonts w:ascii="Calibri" w:hAnsi="Calibri"/>
          <w:b w:val="0"/>
          <w:sz w:val="22"/>
        </w:rPr>
        <w:t>Following receipt, multiple material-specific inspection activities begin in parallel depending on the materials received. Pole inspection covers length measurement, circumference at specified locations, visual inspection for cracks or surface defects, and bend measurement per IS 785 or IS 1678 acceptance criteria. Conductor inspection covers drum label verification against the test certificate, resistance measurement of a sample length, and diameter measurement. DTR incoming inspection covers nameplate rating verification, oil level check, oil leakage inspection, bushing condition inspection, silica gel color observation, tilt indicator status check, and fan operation test for ONAN/ONAF units. Hardware and insulator incoming inspection covers dimensional checks and mechanical damage assessment. XLPE cable drum inspection covers drum labeling, end seal condition, drum rotation test, and visual jacket inspection. Smart meter incoming inspection covers seal integrity, serial number registration against the purchase order, and screen power-on test. All these inspections run in parallel, with each material type assigned to the appropriate inspection personnel.</w:t>
      </w:r>
    </w:p>
    <w:p>
      <w:pPr>
        <w:spacing w:before="160" w:after="80"/>
      </w:pPr>
      <w:r>
        <w:rPr>
          <w:rFonts w:ascii="Calibri" w:hAnsi="Calibri"/>
          <w:b/>
          <w:sz w:val="22"/>
        </w:rPr>
        <w:t>7.4 GRN Issued – Formal Inventory Acceptance</w:t>
      </w:r>
    </w:p>
    <w:p>
      <w:pPr>
        <w:spacing w:before="0" w:after="120"/>
        <w:jc w:val="both"/>
      </w:pPr>
      <w:r>
        <w:rPr>
          <w:rFonts w:ascii="Calibri" w:hAnsi="Calibri"/>
          <w:b w:val="0"/>
          <w:sz w:val="22"/>
        </w:rPr>
        <w:t>Once all parallel incoming inspection activities are satisfactorily completed for a consignment, a formal GRN (Goods Receipt Note) is issued approving the material for acceptance into site inventory. The GRN triggers the accounting entry for inventory receipt and notifies the procurement team of successful delivery completion for payment milestone tracking. The system status for the material package transitions to "Material Received and Accepted."</w:t>
      </w:r>
    </w:p>
    <w:p>
      <w:pPr>
        <w:spacing w:before="160" w:after="80"/>
      </w:pPr>
      <w:r>
        <w:rPr>
          <w:rFonts w:ascii="Calibri" w:hAnsi="Calibri"/>
          <w:b/>
          <w:sz w:val="22"/>
        </w:rPr>
        <w:t>7.5 SDR and Claim Management – Discrepancy Resolution</w:t>
      </w:r>
    </w:p>
    <w:p>
      <w:pPr>
        <w:spacing w:before="0" w:after="120"/>
        <w:jc w:val="both"/>
      </w:pPr>
      <w:r>
        <w:rPr>
          <w:rFonts w:ascii="Calibri" w:hAnsi="Calibri"/>
          <w:b w:val="0"/>
          <w:sz w:val="22"/>
        </w:rPr>
        <w:t>Where inspection reveals shortage, damage, or non-conformance, a Shortage/Damage Report (SDR) is formally issued to the vendor citing the specific items, quantities, and nature of the discrepancy. For transit damage, an insurance claim is filed with supporting photographs, survey report, and documentation of original dispatch clearance. The vendor is required to provide replacement material within the timeframe specified in the PO, and the construction schedule is flagged to account for any delay in receiving replacement items. The status of each open SDR is tracked weekly until closure.</w:t>
      </w:r>
    </w:p>
    <w:p>
      <w:pPr>
        <w:spacing w:before="160" w:after="80"/>
      </w:pPr>
      <w:r>
        <w:rPr>
          <w:rFonts w:ascii="Calibri" w:hAnsi="Calibri"/>
          <w:b/>
          <w:sz w:val="22"/>
        </w:rPr>
        <w:t>7.6 Storage and Preservation – Material Protection</w:t>
      </w:r>
    </w:p>
    <w:p>
      <w:pPr>
        <w:spacing w:before="0" w:after="120"/>
        <w:jc w:val="both"/>
      </w:pPr>
      <w:r>
        <w:rPr>
          <w:rFonts w:ascii="Calibri" w:hAnsi="Calibri"/>
          <w:b w:val="0"/>
          <w:sz w:val="22"/>
        </w:rPr>
        <w:t>Accepted materials are stored in accordance with preservation requirements appropriate to each material type. Poles are stacked horizontally on supports with a minimum of three support points, with each layer separated by timber spacers to prevent stress concentration. Conductor drums are stored upright on their flanges on hard standing to prevent conductor damage, and drums are never laid flat. DTRs are stored on level ground, secured from tipping, with oil level maintained, silica gel breather intact, and pressure relief device in normal condition. Hardware and insulators are stored in covered warehouses protected from dust and moisture. A First-In First-Out (FIFO) material issue register is maintained to ensure older stock is issued before newer material.</w:t>
      </w:r>
    </w:p>
    <w:p>
      <w:pPr>
        <w:spacing w:before="160" w:after="80"/>
      </w:pPr>
      <w:r>
        <w:rPr>
          <w:rFonts w:ascii="Calibri" w:hAnsi="Calibri"/>
          <w:b/>
          <w:sz w:val="22"/>
        </w:rPr>
        <w:t>7.7 Released for Installation – Material Ready for Execution</w:t>
      </w:r>
    </w:p>
    <w:p>
      <w:pPr>
        <w:spacing w:before="0" w:after="120"/>
        <w:jc w:val="both"/>
      </w:pPr>
      <w:r>
        <w:rPr>
          <w:rFonts w:ascii="Calibri" w:hAnsi="Calibri"/>
          <w:b w:val="0"/>
          <w:sz w:val="22"/>
        </w:rPr>
        <w:t>After completing storage, all accepted materials are formally logged in the site material tracking system with location, quantity, and inspection status recorded. The site engineer can then raise a Material Issue Request for materials needed at specific work fronts. The system status transitions to "Released for Installation" for each accepted material batch, and material is issued from the store to the construction crews against the work front-specific material issue voucher, ensuring traceability from receipt to installation.</w:t>
      </w:r>
    </w:p>
    <w:p>
      <w:r>
        <w:br w:type="page"/>
      </w:r>
    </w:p>
    <w:p>
      <w:pPr>
        <w:spacing w:before="240" w:after="120"/>
      </w:pPr>
      <w:r>
        <w:rPr>
          <w:rFonts w:ascii="Calibri" w:hAnsi="Calibri"/>
          <w:b/>
          <w:sz w:val="28"/>
        </w:rPr>
        <w:t>WORKFLOW 8: Civil Works and Ground Preparation Process</w:t>
      </w:r>
    </w:p>
    <w:p>
      <w:pPr>
        <w:spacing w:before="0" w:after="120"/>
        <w:jc w:val="both"/>
      </w:pPr>
      <w:r>
        <w:rPr>
          <w:rFonts w:ascii="Calibri" w:hAnsi="Calibri"/>
          <w:b w:val="0"/>
          <w:sz w:val="22"/>
        </w:rPr>
        <w:t>The civil works and ground preparation phase creates the physical infrastructure foundation upon which all electrical and mechanical installation activities depend. For distribution projects, civil work encompasses pole foundation excavation and concreting, stay arrangement, DTR civil pads, earth pit construction, trench excavation for underground networks, and manhole/joint bay construction. Civil work is on the critical path for most distribution project activities and must be completed sequentially ahead of the erection and installation teams. Quality of civil work directly impacts the structural reliability and longevity of the distribution network.</w:t>
      </w:r>
    </w:p>
    <w:p>
      <w:r>
        <w:rPr>
          <w:rFonts w:ascii="Calibri" w:hAnsi="Calibri"/>
          <w:b/>
          <w:sz w:val="22"/>
        </w:rPr>
        <w:t>Flowchart:</w:t>
      </w:r>
    </w:p>
    <w:p>
      <w:pPr>
        <w:jc w:val="center"/>
      </w:pPr>
      <w:r>
        <w:drawing>
          <wp:inline xmlns:a="http://schemas.openxmlformats.org/drawingml/2006/main" xmlns:pic="http://schemas.openxmlformats.org/drawingml/2006/picture">
            <wp:extent cx="5486400" cy="5611091"/>
            <wp:docPr id="8" name="Picture 8"/>
            <wp:cNvGraphicFramePr>
              <a:graphicFrameLocks noChangeAspect="1"/>
            </wp:cNvGraphicFramePr>
            <a:graphic>
              <a:graphicData uri="http://schemas.openxmlformats.org/drawingml/2006/picture">
                <pic:pic>
                  <pic:nvPicPr>
                    <pic:cNvPr id="0" name="section_08.png"/>
                    <pic:cNvPicPr/>
                  </pic:nvPicPr>
                  <pic:blipFill>
                    <a:blip r:embed="rId16"/>
                    <a:stretch>
                      <a:fillRect/>
                    </a:stretch>
                  </pic:blipFill>
                  <pic:spPr>
                    <a:xfrm>
                      <a:off x="0" y="0"/>
                      <a:ext cx="5486400" cy="5611091"/>
                    </a:xfrm>
                    <a:prstGeom prst="rect"/>
                  </pic:spPr>
                </pic:pic>
              </a:graphicData>
            </a:graphic>
          </wp:inline>
        </w:drawing>
      </w:r>
    </w:p>
    <w:p>
      <w:pPr>
        <w:spacing w:before="160" w:after="80"/>
      </w:pPr>
      <w:r>
        <w:rPr>
          <w:rFonts w:ascii="Calibri" w:hAnsi="Calibri"/>
          <w:b/>
          <w:sz w:val="22"/>
        </w:rPr>
        <w:t>8.1 Pole Foundation Execution – Overhead Line Civil Work</w:t>
      </w:r>
    </w:p>
    <w:p>
      <w:pPr>
        <w:spacing w:before="0" w:after="120"/>
        <w:jc w:val="both"/>
      </w:pPr>
      <w:r>
        <w:rPr>
          <w:rFonts w:ascii="Calibri" w:hAnsi="Calibri"/>
          <w:b w:val="0"/>
          <w:sz w:val="22"/>
        </w:rPr>
        <w:t>Pole foundation excavation and concreting is carried out at each marked pole location in accordance with the approved pole schedule and foundation design. The boring or excavation method is selected based on soil type: mechanical boring in normal soil, rock drilling using jackhammer or rock drill in rocky terrain, and extended depth excavation with PCC base in soft or waterlogged soil where bearing capacity is inadequate at standard depth. Foundation dimensions including diameter, depth, and PCC concrete grade are verified against the design before placement of the pole. Backfilling is done in compacted layers of 150–200mm with appropriate moisture content, and soil compaction is verified by a density test or rod probing at specified intervals.</w:t>
      </w:r>
    </w:p>
    <w:p>
      <w:pPr>
        <w:spacing w:before="160" w:after="80"/>
      </w:pPr>
      <w:r>
        <w:rPr>
          <w:rFonts w:ascii="Calibri" w:hAnsi="Calibri"/>
          <w:b/>
          <w:sz w:val="22"/>
        </w:rPr>
        <w:t>8.2 Stay Foundation and Stay Arrangement – Tension Support Civil Work</w:t>
      </w:r>
    </w:p>
    <w:p>
      <w:pPr>
        <w:spacing w:before="0" w:after="120"/>
        <w:jc w:val="both"/>
      </w:pPr>
      <w:r>
        <w:rPr>
          <w:rFonts w:ascii="Calibri" w:hAnsi="Calibri"/>
          <w:b w:val="0"/>
          <w:sz w:val="22"/>
        </w:rPr>
        <w:t>Stay foundations are constructed at all angle poles, section poles, terminal poles, and other poles carrying unbalanced tension loads as specified in the pole schedule. The stay pit is excavated at the correct angle (typically 45 degrees from the line direction) and at the specified distance from the pole. A concrete stay block is cast in the stay pit, the stay rod is embedded through the block, and the GI stay wire is attached from the stay rod through a stay insulator to the stay attachment on the pole. Stay wire tensioning is verified to provide adequate support before the line loading is applied.</w:t>
      </w:r>
    </w:p>
    <w:p>
      <w:pPr>
        <w:spacing w:before="160" w:after="80"/>
      </w:pPr>
      <w:r>
        <w:rPr>
          <w:rFonts w:ascii="Calibri" w:hAnsi="Calibri"/>
          <w:b/>
          <w:sz w:val="22"/>
        </w:rPr>
        <w:t>8.3 Parallel Civil Construction Activities – Simultaneous Infrastructure Development</w:t>
      </w:r>
    </w:p>
    <w:p>
      <w:pPr>
        <w:spacing w:before="0" w:after="120"/>
        <w:jc w:val="both"/>
      </w:pPr>
      <w:r>
        <w:rPr>
          <w:rFonts w:ascii="Calibri" w:hAnsi="Calibri"/>
          <w:b w:val="0"/>
          <w:sz w:val="22"/>
        </w:rPr>
        <w:t>Multiple civil construction activities proceed in parallel across the project work fronts to maximize progress. Earth pit construction for DTR locations involves excavating pit, installing electrode (GI pipe or plate as designed), backfilling with charcoal and salt mixture, constructing brick masonry chamber with CI cover, and installing the GI flat lead wire connection. DTR civil pad construction for ground-mounted transformers involves mass concrete pad with anchor bolt inserts, rail channels for rolling the transformer into position, and leveling verification. For underground cable projects, trench excavation proceeds in sections with a minimum lead of 100 meters ahead of cable pulling, with HDD (Horizontal Directional Drilling) conducted at all road crossings to avoid traffic disruption. Control room and panel room construction proceeds at substation interface points for DA/SCADA projects covering civil structure, cable entry glands, and cable trays. These activities run simultaneously across different work zones.</w:t>
      </w:r>
    </w:p>
    <w:p>
      <w:pPr>
        <w:spacing w:before="160" w:after="80"/>
      </w:pPr>
      <w:r>
        <w:rPr>
          <w:rFonts w:ascii="Calibri" w:hAnsi="Calibri"/>
          <w:b/>
          <w:sz w:val="22"/>
        </w:rPr>
        <w:t>8.4 Civil Quality Control – Construction Quality Verification</w:t>
      </w:r>
    </w:p>
    <w:p>
      <w:pPr>
        <w:spacing w:before="0" w:after="120"/>
        <w:jc w:val="both"/>
      </w:pPr>
      <w:r>
        <w:rPr>
          <w:rFonts w:ascii="Calibri" w:hAnsi="Calibri"/>
          <w:b w:val="0"/>
          <w:sz w:val="22"/>
        </w:rPr>
        <w:t>Quality control inspections are conducted at each civil work stage to verify compliance with design specifications and IS standards. Foundation depth is measured in the bore before concrete is poured. Concrete cube samples are collected at one per 50 cubic meters and tested at 7 days and 28 days for compressive strength compliance. Earth resistance is measured at each completed earth pit using a digital earth resistance tester by the three-electrode method, and the measurement is recorded in the earthing test register. Trench depth and bedding conditions for underground cable projects are verified before cable laying commences. All inspection results are recorded in the civil quality control register.</w:t>
      </w:r>
    </w:p>
    <w:p>
      <w:pPr>
        <w:spacing w:before="160" w:after="80"/>
      </w:pPr>
      <w:r>
        <w:rPr>
          <w:rFonts w:ascii="Calibri" w:hAnsi="Calibri"/>
          <w:b/>
          <w:sz w:val="22"/>
        </w:rPr>
        <w:t>8.5 Civil Structures Ready – Milestone for Installation Readiness</w:t>
      </w:r>
    </w:p>
    <w:p>
      <w:pPr>
        <w:spacing w:before="0" w:after="120"/>
        <w:jc w:val="both"/>
      </w:pPr>
      <w:r>
        <w:rPr>
          <w:rFonts w:ascii="Calibri" w:hAnsi="Calibri"/>
          <w:b w:val="0"/>
          <w:sz w:val="22"/>
        </w:rPr>
        <w:t>Upon completion of civil work for a defined stretch or zone, the civil completion status is updated in the project management system. The site engineer certifies civil completion for each work front, which formally triggers the release of that front for the erection and installation teams. This milestone is tracked per zone or feeder section to enable parallel progress of civil and installation activities across different project zones.</w:t>
      </w:r>
    </w:p>
    <w:p>
      <w:pPr>
        <w:spacing w:before="160" w:after="80"/>
      </w:pPr>
      <w:r>
        <w:rPr>
          <w:rFonts w:ascii="Calibri" w:hAnsi="Calibri"/>
          <w:b/>
          <w:sz w:val="22"/>
        </w:rPr>
        <w:t>8.6 Civil Completion – Release for Installation Execution</w:t>
      </w:r>
    </w:p>
    <w:p>
      <w:pPr>
        <w:spacing w:before="0" w:after="120"/>
        <w:jc w:val="both"/>
      </w:pPr>
      <w:r>
        <w:rPr>
          <w:rFonts w:ascii="Calibri" w:hAnsi="Calibri"/>
          <w:b w:val="0"/>
          <w:sz w:val="22"/>
        </w:rPr>
        <w:t>Full civil completion across all project zones is certified by the site QA/QC engineer after verifying all inspection records, concrete test results, and earth resistance measurements are within specification. This milestone marks the completion of the civil works subphase and the status transitions to "Civil Complete" in the project management system, enabling unrestricted release of all fronts for electrical erection and installation activities.</w:t>
      </w:r>
    </w:p>
    <w:p>
      <w:r>
        <w:br w:type="page"/>
      </w:r>
    </w:p>
    <w:p>
      <w:pPr>
        <w:spacing w:before="240" w:after="120"/>
      </w:pPr>
      <w:r>
        <w:rPr>
          <w:rFonts w:ascii="Calibri" w:hAnsi="Calibri"/>
          <w:b/>
          <w:sz w:val="28"/>
        </w:rPr>
        <w:t>WORKFLOW 9: Pole Erection and Overhead Line Construction Process</w:t>
      </w:r>
    </w:p>
    <w:p>
      <w:pPr>
        <w:spacing w:before="0" w:after="120"/>
        <w:jc w:val="both"/>
      </w:pPr>
      <w:r>
        <w:rPr>
          <w:rFonts w:ascii="Calibri" w:hAnsi="Calibri"/>
          <w:b w:val="0"/>
          <w:sz w:val="22"/>
        </w:rPr>
        <w:t>The pole erection and overhead line construction phase is the primary physical construction activity for HT Line, LT Line, Rural Electrification, and Feeder Separation project types, transforming individual poles, conductors, and hardware into a complete overhead distribution network ready for electrical testing and energization. This phase requires coordinated deployment of erection crews, specialized equipment, and skilled linemen working in a carefully planned sequence from one end of the line to the other. This phase cannot begin until civil foundations are complete, materials are released from store, and the IFC drawings are available at the work front.</w:t>
      </w:r>
    </w:p>
    <w:p>
      <w:r>
        <w:rPr>
          <w:rFonts w:ascii="Calibri" w:hAnsi="Calibri"/>
          <w:b/>
          <w:sz w:val="22"/>
        </w:rPr>
        <w:t>Flowchart:</w:t>
      </w:r>
    </w:p>
    <w:p>
      <w:pPr>
        <w:jc w:val="center"/>
      </w:pPr>
      <w:r>
        <w:drawing>
          <wp:inline xmlns:a="http://schemas.openxmlformats.org/drawingml/2006/main" xmlns:pic="http://schemas.openxmlformats.org/drawingml/2006/picture">
            <wp:extent cx="5486400" cy="6041985"/>
            <wp:docPr id="9" name="Picture 9"/>
            <wp:cNvGraphicFramePr>
              <a:graphicFrameLocks noChangeAspect="1"/>
            </wp:cNvGraphicFramePr>
            <a:graphic>
              <a:graphicData uri="http://schemas.openxmlformats.org/drawingml/2006/picture">
                <pic:pic>
                  <pic:nvPicPr>
                    <pic:cNvPr id="0" name="section_09.png"/>
                    <pic:cNvPicPr/>
                  </pic:nvPicPr>
                  <pic:blipFill>
                    <a:blip r:embed="rId17"/>
                    <a:stretch>
                      <a:fillRect/>
                    </a:stretch>
                  </pic:blipFill>
                  <pic:spPr>
                    <a:xfrm>
                      <a:off x="0" y="0"/>
                      <a:ext cx="5486400" cy="6041985"/>
                    </a:xfrm>
                    <a:prstGeom prst="rect"/>
                  </pic:spPr>
                </pic:pic>
              </a:graphicData>
            </a:graphic>
          </wp:inline>
        </w:drawing>
      </w:r>
    </w:p>
    <w:p>
      <w:pPr>
        <w:spacing w:before="160" w:after="80"/>
      </w:pPr>
      <w:r>
        <w:rPr>
          <w:rFonts w:ascii="Calibri" w:hAnsi="Calibri"/>
          <w:b/>
          <w:sz w:val="22"/>
        </w:rPr>
        <w:t>9.1 Civil Ready and Materials Released – Execution Readiness Gate</w:t>
      </w:r>
    </w:p>
    <w:p>
      <w:pPr>
        <w:spacing w:before="0" w:after="120"/>
        <w:jc w:val="both"/>
      </w:pPr>
      <w:r>
        <w:rPr>
          <w:rFonts w:ascii="Calibri" w:hAnsi="Calibri"/>
          <w:b w:val="0"/>
          <w:sz w:val="22"/>
        </w:rPr>
        <w:t>Before erection activities begin on any section, the section supervisor verifies that all pole foundations in the section are complete and cured to the required strength, all materials for the section (poles, cross arms, insulators, conductors, hardware) are issued from store, and IFC drawings and the pole schedule are available. Safety briefing specific to pole erection activities is conducted with the erection crew covering electrical proximity hazards, crane/hydra operation safe zones, and fall prevention requirements.</w:t>
      </w:r>
    </w:p>
    <w:p>
      <w:pPr>
        <w:spacing w:before="160" w:after="80"/>
      </w:pPr>
      <w:r>
        <w:rPr>
          <w:rFonts w:ascii="Calibri" w:hAnsi="Calibri"/>
          <w:b/>
          <w:sz w:val="22"/>
        </w:rPr>
        <w:t>9.2 Pole Erection – Vertical Structure Installation</w:t>
      </w:r>
    </w:p>
    <w:p>
      <w:pPr>
        <w:spacing w:before="0" w:after="120"/>
        <w:jc w:val="both"/>
      </w:pPr>
      <w:r>
        <w:rPr>
          <w:rFonts w:ascii="Calibri" w:hAnsi="Calibri"/>
          <w:b w:val="0"/>
          <w:sz w:val="22"/>
        </w:rPr>
        <w:t>Poles are transported to the individual locations and erected using a crane or hydra truck. The erection sequence begins with placing the pole foot into the prepared bore or excavation at the correct offset angle for tension poles, followed by lifting with the crane to vertical and temporary bracing to maintain plumb alignment during initial backfilling. Vertical alignment is verified using a level instrument or plumb bob, and rake adjustment at tension poles is made as specified in the design to pre-compensate for conductor loading deflection. Backfilling is done in compacted layers immediately after erection to achieve full structural integrity, and cross arm and insulator pin bracket fixing is completed at ground level or using a ladder with safety harness before final backfilling.</w:t>
      </w:r>
    </w:p>
    <w:p>
      <w:pPr>
        <w:spacing w:before="160" w:after="80"/>
      </w:pPr>
      <w:r>
        <w:rPr>
          <w:rFonts w:ascii="Calibri" w:hAnsi="Calibri"/>
          <w:b/>
          <w:sz w:val="22"/>
        </w:rPr>
        <w:t>9.3 Parallel Hardware Installation Activities – Fitting and Assembly</w:t>
      </w:r>
    </w:p>
    <w:p>
      <w:pPr>
        <w:spacing w:before="0" w:after="120"/>
        <w:jc w:val="both"/>
      </w:pPr>
      <w:r>
        <w:rPr>
          <w:rFonts w:ascii="Calibri" w:hAnsi="Calibri"/>
          <w:b w:val="0"/>
          <w:sz w:val="22"/>
        </w:rPr>
        <w:t>Following pole erection, multiple hardware installation activities proceed in parallel at each pole to efficiently complete the structural assembly. Cross arm fixing and AB switch mounting is performed where the pole is designated as a section switch or bus point in the approved design. Dropout fuse (DO fuse) mounting is completed at each DTR tap-off pole, installing the fuse base, fuse carrier, and HRC fuse link per the transformer capacity. Lightning arrestor (LA) mounting is completed at each DTR tap pole, installing the LA on a separate LA bracket with an earth lead connection to the pole earth electrode. Stay wire fitting is completed at all tension, angle, and terminal poles with the turnbuckle adjusted to proper tension and the stay insulator installed at the midpoint of the stay wire for electrical isolation. These activities run in parallel at each pole location.</w:t>
      </w:r>
    </w:p>
    <w:p>
      <w:pPr>
        <w:spacing w:before="160" w:after="80"/>
      </w:pPr>
      <w:r>
        <w:rPr>
          <w:rFonts w:ascii="Calibri" w:hAnsi="Calibri"/>
          <w:b/>
          <w:sz w:val="22"/>
        </w:rPr>
        <w:t>9.4 Insulator Fitting – Electrical Isolation Hardware</w:t>
      </w:r>
    </w:p>
    <w:p>
      <w:pPr>
        <w:spacing w:before="0" w:after="120"/>
        <w:jc w:val="both"/>
      </w:pPr>
      <w:r>
        <w:rPr>
          <w:rFonts w:ascii="Calibri" w:hAnsi="Calibri"/>
          <w:b w:val="0"/>
          <w:sz w:val="22"/>
        </w:rPr>
        <w:t>Pin insulators are fitted to the cross arm pin bolts at all tangent (straight line) poles where conductor change of direction is less than 2 degrees. Disc or strain insulators in the specified disc number are assembled as a string at dead-end poles and angle poles where the conductor tension must be fully supported by the insulator string. Each insulator is visually inspected immediately before fitting to confirm freedom from cracks, chips, and surface damage, as damaged insulators in service cause flashovers and outages.</w:t>
      </w:r>
    </w:p>
    <w:p>
      <w:pPr>
        <w:spacing w:before="160" w:after="80"/>
      </w:pPr>
      <w:r>
        <w:rPr>
          <w:rFonts w:ascii="Calibri" w:hAnsi="Calibri"/>
          <w:b/>
          <w:sz w:val="22"/>
        </w:rPr>
        <w:t>9.5 HT Conductor Stringing – High Voltage Line Construction</w:t>
      </w:r>
    </w:p>
    <w:p>
      <w:pPr>
        <w:spacing w:before="0" w:after="120"/>
        <w:jc w:val="both"/>
      </w:pPr>
      <w:r>
        <w:rPr>
          <w:rFonts w:ascii="Calibri" w:hAnsi="Calibri"/>
          <w:b w:val="0"/>
          <w:sz w:val="22"/>
        </w:rPr>
        <w:t>ACSR or AAAC conductor stringing begins from one end of the section with conductor drums positioned on drum stands with brake mechanisms to control paying-out tension. A pilot rope is laid along the ground or pulled through conductor rollers hung on each pole, then attached to the conductor and used to pull the conductor through the line while maintaining it clear of the ground at each span. A mechanical winch or bull wheel is used to pull the conductor through the entire section, after which sag adjustment is performed section by section using a sag board or dynamometer method with sag values taken from the design sag table corresponding to the measured span and ambient temperature. Conductor binding at each tangent insulator and clamping at each dead-end is completed after sag verification. Jumper connections at AB switch poles, section poles, and angle poles are made using parallel groove clamps or bolted jumper connectors.</w:t>
      </w:r>
    </w:p>
    <w:p>
      <w:pPr>
        <w:spacing w:before="160" w:after="80"/>
      </w:pPr>
      <w:r>
        <w:rPr>
          <w:rFonts w:ascii="Calibri" w:hAnsi="Calibri"/>
          <w:b/>
          <w:sz w:val="22"/>
        </w:rPr>
        <w:t>9.6 LT and ABC Cable Stringing – Low Voltage Distribution Line</w:t>
      </w:r>
    </w:p>
    <w:p>
      <w:pPr>
        <w:spacing w:before="0" w:after="120"/>
        <w:jc w:val="both"/>
      </w:pPr>
      <w:r>
        <w:rPr>
          <w:rFonts w:ascii="Calibri" w:hAnsi="Calibri"/>
          <w:b w:val="0"/>
          <w:sz w:val="22"/>
        </w:rPr>
        <w:t>LT cross arms and ABC cable support brackets are fixed to LT poles at the design height. For ABC cable installation, the messenger wire (neutral) is strung first and tensioned to the correct value before the phase conductors are added to the bundle using suspension clamps and strain clamps. Service tee-off joints using piercing connectors are made at each consumer tap point as identified in the consumer schedule, completing the LT network down to the individual service connection point.</w:t>
      </w:r>
    </w:p>
    <w:p>
      <w:pPr>
        <w:spacing w:before="160" w:after="80"/>
      </w:pPr>
      <w:r>
        <w:rPr>
          <w:rFonts w:ascii="Calibri" w:hAnsi="Calibri"/>
          <w:b/>
          <w:sz w:val="22"/>
        </w:rPr>
        <w:t>9.7 Conductor Joint and Section Point Verification – Line Integrity Check</w:t>
      </w:r>
    </w:p>
    <w:p>
      <w:pPr>
        <w:spacing w:before="0" w:after="120"/>
        <w:jc w:val="both"/>
      </w:pPr>
      <w:r>
        <w:rPr>
          <w:rFonts w:ascii="Calibri" w:hAnsi="Calibri"/>
          <w:b w:val="0"/>
          <w:sz w:val="22"/>
        </w:rPr>
        <w:t>All mid-span conductor joints are documented in a joint register with the pole span number, joint type, and inspector signature, as mid-span joints are weak points that must be minimized and carefully made. T-off connections at DTR tap points are verified for correct crimping torque or bolt torque as applicable. AB switch mechanical operation is tested at each section point by performing open and close operations to confirm smooth operation before line energization.</w:t>
      </w:r>
    </w:p>
    <w:p>
      <w:pPr>
        <w:spacing w:before="160" w:after="80"/>
      </w:pPr>
      <w:r>
        <w:rPr>
          <w:rFonts w:ascii="Calibri" w:hAnsi="Calibri"/>
          <w:b/>
          <w:sz w:val="22"/>
        </w:rPr>
        <w:t>9.8 Mechanical Completion of Line – Structural Readiness Milestone</w:t>
      </w:r>
    </w:p>
    <w:p>
      <w:pPr>
        <w:spacing w:before="0" w:after="120"/>
        <w:jc w:val="both"/>
      </w:pPr>
      <w:r>
        <w:rPr>
          <w:rFonts w:ascii="Calibri" w:hAnsi="Calibri"/>
          <w:b w:val="0"/>
          <w:sz w:val="22"/>
        </w:rPr>
        <w:t>Upon completion of all pole erection, hardware fitting, conductor stringing, and hardware verification activities for the entire line, the mechanical completion of the overhead line is certified by the QA/QC engineer after a physical inspection covering a representative sample of poles and spans. This milestone status is updated to "Mechanical Completion Achieved" in the project management system and the section is released to the electrical testing team for pre-commissioning activities.</w:t>
      </w:r>
    </w:p>
    <w:p>
      <w:r>
        <w:br w:type="page"/>
      </w:r>
    </w:p>
    <w:p>
      <w:pPr>
        <w:spacing w:before="240" w:after="120"/>
      </w:pPr>
      <w:r>
        <w:rPr>
          <w:rFonts w:ascii="Calibri" w:hAnsi="Calibri"/>
          <w:b/>
          <w:sz w:val="28"/>
        </w:rPr>
        <w:t>WORKFLOW 10: Distribution Transformer Installation Process</w:t>
      </w:r>
    </w:p>
    <w:p>
      <w:pPr>
        <w:spacing w:before="0" w:after="120"/>
        <w:jc w:val="both"/>
      </w:pPr>
      <w:r>
        <w:rPr>
          <w:rFonts w:ascii="Calibri" w:hAnsi="Calibri"/>
          <w:b w:val="0"/>
          <w:sz w:val="22"/>
        </w:rPr>
        <w:t>The distribution transformer installation process covers the complete sequence from receiving the transformer at the installation location through mechanical installation, high voltage and low voltage connections, earthing, oil testing, and pre-commissioning tests, culminating in the transformer being certified as electrically ready for energization. The DTR is the most critical individual asset in the distribution network, converting HT voltage to LT supply voltage for consumer use, and its correct installation and testing directly determines the safety, reliability, and performance of the consumer supply. This process cannot begin until the DTR civil pad or pole mounting brackets are complete, all HT line work in the zone is mechanically complete, and the transformer has been released from the site store after incoming inspection.</w:t>
      </w:r>
    </w:p>
    <w:p>
      <w:r>
        <w:rPr>
          <w:rFonts w:ascii="Calibri" w:hAnsi="Calibri"/>
          <w:b/>
          <w:sz w:val="22"/>
        </w:rPr>
        <w:t>Flowchart:</w:t>
      </w:r>
    </w:p>
    <w:p>
      <w:pPr>
        <w:jc w:val="center"/>
      </w:pPr>
      <w:r>
        <w:drawing>
          <wp:inline xmlns:a="http://schemas.openxmlformats.org/drawingml/2006/main" xmlns:pic="http://schemas.openxmlformats.org/drawingml/2006/picture">
            <wp:extent cx="5486400" cy="6801146"/>
            <wp:docPr id="10" name="Picture 10"/>
            <wp:cNvGraphicFramePr>
              <a:graphicFrameLocks noChangeAspect="1"/>
            </wp:cNvGraphicFramePr>
            <a:graphic>
              <a:graphicData uri="http://schemas.openxmlformats.org/drawingml/2006/picture">
                <pic:pic>
                  <pic:nvPicPr>
                    <pic:cNvPr id="0" name="section_10.png"/>
                    <pic:cNvPicPr/>
                  </pic:nvPicPr>
                  <pic:blipFill>
                    <a:blip r:embed="rId18"/>
                    <a:stretch>
                      <a:fillRect/>
                    </a:stretch>
                  </pic:blipFill>
                  <pic:spPr>
                    <a:xfrm>
                      <a:off x="0" y="0"/>
                      <a:ext cx="5486400" cy="6801146"/>
                    </a:xfrm>
                    <a:prstGeom prst="rect"/>
                  </pic:spPr>
                </pic:pic>
              </a:graphicData>
            </a:graphic>
          </wp:inline>
        </w:drawing>
      </w:r>
    </w:p>
    <w:p>
      <w:pPr>
        <w:spacing w:before="160" w:after="80"/>
      </w:pPr>
      <w:r>
        <w:rPr>
          <w:rFonts w:ascii="Calibri" w:hAnsi="Calibri"/>
          <w:b/>
          <w:sz w:val="22"/>
        </w:rPr>
        <w:t>10.1 Civil Ready and Materials Released – DTR Installation Entry Gate</w:t>
      </w:r>
    </w:p>
    <w:p>
      <w:pPr>
        <w:spacing w:before="0" w:after="120"/>
        <w:jc w:val="both"/>
      </w:pPr>
      <w:r>
        <w:rPr>
          <w:rFonts w:ascii="Calibri" w:hAnsi="Calibri"/>
          <w:b w:val="0"/>
          <w:sz w:val="22"/>
        </w:rPr>
        <w:t>The installation supervisor verifies that the DTR civil pad is complete with the concrete achieving required strength, or that pole mounting brackets are fully installed and bolted with the required torque. The DTR is confirmed released from store with passing incoming inspection records. All HT and LT connection materials are confirmed available at the installation location. A pre-installation safety briefing is conducted covering electrical proximity hazards from adjacent energized lines, crane/hydra safe load limits, and tilt indicator requirements during transport and lifting.</w:t>
      </w:r>
    </w:p>
    <w:p>
      <w:pPr>
        <w:spacing w:before="160" w:after="80"/>
      </w:pPr>
      <w:r>
        <w:rPr>
          <w:rFonts w:ascii="Calibri" w:hAnsi="Calibri"/>
          <w:b/>
          <w:sz w:val="22"/>
        </w:rPr>
        <w:t>10.2 DTR Transportation and Positioning – Equipment Delivery to Location</w:t>
      </w:r>
    </w:p>
    <w:p>
      <w:pPr>
        <w:spacing w:before="0" w:after="120"/>
        <w:jc w:val="both"/>
      </w:pPr>
      <w:r>
        <w:rPr>
          <w:rFonts w:ascii="Calibri" w:hAnsi="Calibri"/>
          <w:b w:val="0"/>
          <w:sz w:val="22"/>
        </w:rPr>
        <w:t>The transformer is transported by truck from the site store to the installation location with proper blocking to prevent movement, tilt indicator monitored throughout transportation, and the oil level pre-checked. Site access for the crane or hydra is verified as adequate for safe maneuvering. The transformer is positioned adjacent to the installation point using the crane or hydra, with slings attached at the lifting lugs provided on the transformer tank.</w:t>
      </w:r>
    </w:p>
    <w:p>
      <w:pPr>
        <w:spacing w:before="160" w:after="80"/>
      </w:pPr>
      <w:r>
        <w:rPr>
          <w:rFonts w:ascii="Calibri" w:hAnsi="Calibri"/>
          <w:b/>
          <w:sz w:val="22"/>
        </w:rPr>
        <w:t>10.3 DTR Erection – Mechanical Installation</w:t>
      </w:r>
    </w:p>
    <w:p>
      <w:pPr>
        <w:spacing w:before="0" w:after="120"/>
        <w:jc w:val="both"/>
      </w:pPr>
      <w:r>
        <w:rPr>
          <w:rFonts w:ascii="Calibri" w:hAnsi="Calibri"/>
          <w:b w:val="0"/>
          <w:sz w:val="22"/>
        </w:rPr>
        <w:t>For pole-mounted installation, a fabricated steel cradle or channel iron bracket is welded or bolted to the pole or cross arm, and the transformer is lifted by hydra, positioned on the cradle, and secured with anchor bolts. The transformer is leveled using a spirit level to ensure oil circulation is unimpeded. For ground-mounted installation, the transformer is positioned on the RCC pad using rollers and pulled into final position on the rail channel system, then secured with anchor bolts at the base frame.</w:t>
      </w:r>
    </w:p>
    <w:p>
      <w:pPr>
        <w:spacing w:before="160" w:after="80"/>
      </w:pPr>
      <w:r>
        <w:rPr>
          <w:rFonts w:ascii="Calibri" w:hAnsi="Calibri"/>
          <w:b/>
          <w:sz w:val="22"/>
        </w:rPr>
        <w:t>10.4 HT Connections – High Voltage Termination</w:t>
      </w:r>
    </w:p>
    <w:p>
      <w:pPr>
        <w:spacing w:before="0" w:after="120"/>
        <w:jc w:val="both"/>
      </w:pPr>
      <w:r>
        <w:rPr>
          <w:rFonts w:ascii="Calibri" w:hAnsi="Calibri"/>
          <w:b w:val="0"/>
          <w:sz w:val="22"/>
        </w:rPr>
        <w:t>The AB switch drop lead or HT feeder tap connection is made to the HV bushings using the specified HT jumper conductor and connector type. Dropout fuse connections are made between the main HT line and the HV bushing using the DO fuse base and carrier properly rated for the transformer capacity. Lightning arrestor ground leads are connected to the HT bushing earth terminal and to the dedicated LA earth electrode. All HT connections are torqued to the manufacturer's specified values and checked for tightness by the QA/QC inspector.</w:t>
      </w:r>
    </w:p>
    <w:p>
      <w:pPr>
        <w:spacing w:before="160" w:after="80"/>
      </w:pPr>
      <w:r>
        <w:rPr>
          <w:rFonts w:ascii="Calibri" w:hAnsi="Calibri"/>
          <w:b/>
          <w:sz w:val="22"/>
        </w:rPr>
        <w:t>10.5 LT Connections – Low Voltage Distribution Setup</w:t>
      </w:r>
    </w:p>
    <w:p>
      <w:pPr>
        <w:spacing w:before="0" w:after="120"/>
        <w:jc w:val="both"/>
      </w:pPr>
      <w:r>
        <w:rPr>
          <w:rFonts w:ascii="Calibri" w:hAnsi="Calibri"/>
          <w:b w:val="0"/>
          <w:sz w:val="22"/>
        </w:rPr>
        <w:t>The LV secondary bushings are connected to the LT distribution board or metering panel using the specified LT bus bar or cable. LT outgoing feeders are connected to the distribution board terminals, with each feeder correctly labeled, and the LT neutral busbar is connected to the neutral bushing with a separate neutral earthing connection to the dedicated neutral earth electrode.</w:t>
      </w:r>
    </w:p>
    <w:p>
      <w:pPr>
        <w:spacing w:before="160" w:after="80"/>
      </w:pPr>
      <w:r>
        <w:rPr>
          <w:rFonts w:ascii="Calibri" w:hAnsi="Calibri"/>
          <w:b/>
          <w:sz w:val="22"/>
        </w:rPr>
        <w:t>10.6 DTR Earthing – Three-Point Grounding System</w:t>
      </w:r>
    </w:p>
    <w:p>
      <w:pPr>
        <w:spacing w:before="0" w:after="120"/>
        <w:jc w:val="both"/>
      </w:pPr>
      <w:r>
        <w:rPr>
          <w:rFonts w:ascii="Calibri" w:hAnsi="Calibri"/>
          <w:b w:val="0"/>
          <w:sz w:val="22"/>
        </w:rPr>
        <w:t>Three independent earthing systems are established at each DTR location as required by IE Rules 1956 and IS 3043. Body or tank earthing is implemented by connecting a GI flat strip from the transformer tank earth terminal to the body earth electrode, with the body earth resistance target below 5 ohms. Neutral earthing is implemented by connecting the LV neutral busbar to a separate neutral earth electrode with a target resistance below 1 ohm, providing the essential reference point for the LT distribution system. LA earthing is established through a dedicated earth electrode connected to the arrester earth terminal, kept separate from body and neutral earths to prevent surge energy from damaging the transformer. Each earth pit resistance is measured separately and recorded in the earthing test register before connection is made.</w:t>
      </w:r>
    </w:p>
    <w:p>
      <w:pPr>
        <w:spacing w:before="160" w:after="80"/>
      </w:pPr>
      <w:r>
        <w:rPr>
          <w:rFonts w:ascii="Calibri" w:hAnsi="Calibri"/>
          <w:b/>
          <w:sz w:val="22"/>
        </w:rPr>
        <w:t>10.7 Oil Treatment – Insulating Oil Quality Verification</w:t>
      </w:r>
    </w:p>
    <w:p>
      <w:pPr>
        <w:spacing w:before="0" w:after="120"/>
        <w:jc w:val="both"/>
      </w:pPr>
      <w:r>
        <w:rPr>
          <w:rFonts w:ascii="Calibri" w:hAnsi="Calibri"/>
          <w:b w:val="0"/>
          <w:sz w:val="22"/>
        </w:rPr>
        <w:t>Oil BDV (Breakdown Voltage) test is conducted on a sample of transformer oil using an oil BDV tester with 2.5mm gap electrodes, and a minimum of six readings are taken. The average BDV value must be a minimum of 30 kV to be acceptable for energization. If the BDV is below the threshold, the oil is filtered using an oil filtration machine until the BDV exceeds the minimum value. Oil level is topped up if needed to the indicated level on the oil level indicator. The silica gel breather is checked for color — blue is acceptable, pink indicates saturation and requires replacement.</w:t>
      </w:r>
    </w:p>
    <w:p>
      <w:pPr>
        <w:spacing w:before="160" w:after="80"/>
      </w:pPr>
      <w:r>
        <w:rPr>
          <w:rFonts w:ascii="Calibri" w:hAnsi="Calibri"/>
          <w:b/>
          <w:sz w:val="22"/>
        </w:rPr>
        <w:t>10.8 DTR Pre-Commissioning – Electrical Verification Before Energization</w:t>
      </w:r>
    </w:p>
    <w:p>
      <w:pPr>
        <w:spacing w:before="0" w:after="120"/>
        <w:jc w:val="both"/>
      </w:pPr>
      <w:r>
        <w:rPr>
          <w:rFonts w:ascii="Calibri" w:hAnsi="Calibri"/>
          <w:b w:val="0"/>
          <w:sz w:val="22"/>
        </w:rPr>
        <w:t>A comprehensive set of electrical pre-commissioning tests is conducted on the installed transformer before it is declared ready for energization. Insulation resistance tests are performed for all six terminal combinations: HV to LV, HV to Earth, LV to Earth (both LV windings for 3-winding units), with minimum acceptable values per IS 2026. Turns ratio test (TTR) is performed at each tap position and compared against the nameplate ratio with an acceptable deviation of ±0.5%. Vector group verification confirms the phase relationship between HV and LV windings matches the nameplate. No-load current and voltage are measured on the LV side with HV excited at rated voltage to confirm normal magnetizing characteristics. All results are recorded in the pre-commissioning test docket and signed by the contractor QA engineer.</w:t>
      </w:r>
    </w:p>
    <w:p>
      <w:r>
        <w:br w:type="page"/>
      </w:r>
    </w:p>
    <w:p>
      <w:pPr>
        <w:spacing w:before="240" w:after="120"/>
      </w:pPr>
      <w:r>
        <w:rPr>
          <w:rFonts w:ascii="Calibri" w:hAnsi="Calibri"/>
          <w:b/>
          <w:sz w:val="28"/>
        </w:rPr>
        <w:t>WORKFLOW 11: Underground Cable Laying and Termination Process</w:t>
      </w:r>
    </w:p>
    <w:p>
      <w:pPr>
        <w:spacing w:before="0" w:after="120"/>
        <w:jc w:val="both"/>
      </w:pPr>
      <w:r>
        <w:rPr>
          <w:rFonts w:ascii="Calibri" w:hAnsi="Calibri"/>
          <w:b w:val="0"/>
          <w:sz w:val="22"/>
        </w:rPr>
        <w:t>The underground cable laying and termination process covers the complete sequence of installing high voltage XLPE or PILC cables in trenches or ducts below ground, making all necessary joints and terminations, and electrically testing the installed cable system to verify its integrity before energization. Underground cable systems in distribution networks provide a reliable, safe, and aesthetic alternative to overhead lines in urban areas and are mandated for certain areas by DISCOMs and municipal bodies. This process requires meticulous attention to cable handling, bending radius control, and jointing quality because underground cable faults are costly and time-consuming to locate and repair compared to overhead line faults.</w:t>
      </w:r>
    </w:p>
    <w:p>
      <w:r>
        <w:rPr>
          <w:rFonts w:ascii="Calibri" w:hAnsi="Calibri"/>
          <w:b/>
          <w:sz w:val="22"/>
        </w:rPr>
        <w:t>Flowchart:</w:t>
      </w:r>
    </w:p>
    <w:p>
      <w:pPr>
        <w:jc w:val="center"/>
      </w:pPr>
      <w:r>
        <w:drawing>
          <wp:inline xmlns:a="http://schemas.openxmlformats.org/drawingml/2006/main" xmlns:pic="http://schemas.openxmlformats.org/drawingml/2006/picture">
            <wp:extent cx="5486400" cy="6804687"/>
            <wp:docPr id="11" name="Picture 11"/>
            <wp:cNvGraphicFramePr>
              <a:graphicFrameLocks noChangeAspect="1"/>
            </wp:cNvGraphicFramePr>
            <a:graphic>
              <a:graphicData uri="http://schemas.openxmlformats.org/drawingml/2006/picture">
                <pic:pic>
                  <pic:nvPicPr>
                    <pic:cNvPr id="0" name="section_11.png"/>
                    <pic:cNvPicPr/>
                  </pic:nvPicPr>
                  <pic:blipFill>
                    <a:blip r:embed="rId19"/>
                    <a:stretch>
                      <a:fillRect/>
                    </a:stretch>
                  </pic:blipFill>
                  <pic:spPr>
                    <a:xfrm>
                      <a:off x="0" y="0"/>
                      <a:ext cx="5486400" cy="6804687"/>
                    </a:xfrm>
                    <a:prstGeom prst="rect"/>
                  </pic:spPr>
                </pic:pic>
              </a:graphicData>
            </a:graphic>
          </wp:inline>
        </w:drawing>
      </w:r>
    </w:p>
    <w:p>
      <w:pPr>
        <w:spacing w:before="160" w:after="80"/>
      </w:pPr>
      <w:r>
        <w:rPr>
          <w:rFonts w:ascii="Calibri" w:hAnsi="Calibri"/>
          <w:b/>
          <w:sz w:val="22"/>
        </w:rPr>
        <w:t>11.1 Civil Ready and Materials Released – Cable Laying Entry Gate</w:t>
      </w:r>
    </w:p>
    <w:p>
      <w:pPr>
        <w:spacing w:before="0" w:after="120"/>
        <w:jc w:val="both"/>
      </w:pPr>
      <w:r>
        <w:rPr>
          <w:rFonts w:ascii="Calibri" w:hAnsi="Calibri"/>
          <w:b w:val="0"/>
          <w:sz w:val="22"/>
        </w:rPr>
        <w:t>Before cable laying can commence, all trench excavation in the section must be complete with correct depth and bedding sand available, HDD crossings at road junctions must be complete with installed ducts, all cable drums for the section must be released from the site store with passing inspection records, and joint bay or manhole construction must be complete at planned joint locations. The cable laying supervisor verifies all these prerequisites and conducts a section readiness check before authorizing cable laying to begin.</w:t>
      </w:r>
    </w:p>
    <w:p>
      <w:pPr>
        <w:spacing w:before="160" w:after="80"/>
      </w:pPr>
      <w:r>
        <w:rPr>
          <w:rFonts w:ascii="Calibri" w:hAnsi="Calibri"/>
          <w:b/>
          <w:sz w:val="22"/>
        </w:rPr>
        <w:t>11.2 Existing Utility Scan – Underground Obstruction Mapping</w:t>
      </w:r>
    </w:p>
    <w:p>
      <w:pPr>
        <w:spacing w:before="0" w:after="120"/>
        <w:jc w:val="both"/>
      </w:pPr>
      <w:r>
        <w:rPr>
          <w:rFonts w:ascii="Calibri" w:hAnsi="Calibri"/>
          <w:b w:val="0"/>
          <w:sz w:val="22"/>
        </w:rPr>
        <w:t>A detailed underground utility scan using GPR (Ground Penetrating Radar) is conducted along the full cable route to map the location and depth of all existing buried services before trench excavation. Water mains, sewer lines, telecommunications ducts, gas pipes, and existing power cables are mapped and marked on the cable route drawing. Crossing strategies are confirmed for each identified existing service: open cut with hand excavation near the existing service, or HDD boring where the existing service depth and location prevent direct crossing. Joint bay locations are finalized based on the confirmed obstacle map.</w:t>
      </w:r>
    </w:p>
    <w:p>
      <w:pPr>
        <w:spacing w:before="160" w:after="80"/>
      </w:pPr>
      <w:r>
        <w:rPr>
          <w:rFonts w:ascii="Calibri" w:hAnsi="Calibri"/>
          <w:b/>
          <w:sz w:val="22"/>
        </w:rPr>
        <w:t>11.3 Cable Pulling – Underground Cable Placement</w:t>
      </w:r>
    </w:p>
    <w:p>
      <w:pPr>
        <w:spacing w:before="0" w:after="120"/>
        <w:jc w:val="both"/>
      </w:pPr>
      <w:r>
        <w:rPr>
          <w:rFonts w:ascii="Calibri" w:hAnsi="Calibri"/>
          <w:b w:val="0"/>
          <w:sz w:val="22"/>
        </w:rPr>
        <w:t>Cable drums are mounted on hydraulic drum stands at the pulling point, with the pulling direction selected to minimize the number of bends that the cable must navigate during installation. A pulling rope is pre-threaded through the trench or duct system with cable rollers positioned at every change of direction and at regular intervals along straight sections to support the cable and maintain the minimum bending radius. The cable end is connected to the pulling rope through a cable pulling stocking or pulling eye, and the cable is pulled through at a controlled speed by a mechanical winch or capstan with a dynamometer monitoring pulling tension. Length reconciliation is performed for each drum to confirm that the installed length matches the drum length certificate.</w:t>
      </w:r>
    </w:p>
    <w:p>
      <w:pPr>
        <w:spacing w:before="160" w:after="80"/>
      </w:pPr>
      <w:r>
        <w:rPr>
          <w:rFonts w:ascii="Calibri" w:hAnsi="Calibri"/>
          <w:b/>
          <w:sz w:val="22"/>
        </w:rPr>
        <w:t>11.4 Parallel Cable Protection Activities – Burial and Marking</w:t>
      </w:r>
    </w:p>
    <w:p>
      <w:pPr>
        <w:spacing w:before="0" w:after="120"/>
        <w:jc w:val="both"/>
      </w:pPr>
      <w:r>
        <w:rPr>
          <w:rFonts w:ascii="Calibri" w:hAnsi="Calibri"/>
          <w:b w:val="0"/>
          <w:sz w:val="22"/>
        </w:rPr>
        <w:t>Following cable laying in each section, multiple cable protection activities proceed in parallel. A 150mm sand bedding layer is placed and compacted over the laid cable to provide a cushion against settlement loads. Interlocking route marker tiles in a contrasting color are placed over the sand layer directly above the cable. A warning tape printed with "DANGER — HV CABLE BELOW" is placed 300mm above the cable as an additional warning layer. Backfilling proceeds in 200mm compacted layers from the warning tape level to finished ground level, with the top layer reinstated to match the original surface condition. These activities run sequentially in each section, allowing parallel execution across different sections.</w:t>
      </w:r>
    </w:p>
    <w:p>
      <w:pPr>
        <w:spacing w:before="160" w:after="80"/>
      </w:pPr>
      <w:r>
        <w:rPr>
          <w:rFonts w:ascii="Calibri" w:hAnsi="Calibri"/>
          <w:b/>
          <w:sz w:val="22"/>
        </w:rPr>
        <w:t>11.5 Road Crossing Installation – Special Civil Execution</w:t>
      </w:r>
    </w:p>
    <w:p>
      <w:pPr>
        <w:spacing w:before="0" w:after="120"/>
        <w:jc w:val="both"/>
      </w:pPr>
      <w:r>
        <w:rPr>
          <w:rFonts w:ascii="Calibri" w:hAnsi="Calibri"/>
          <w:b w:val="0"/>
          <w:sz w:val="22"/>
        </w:rPr>
        <w:t>At each road crossing location, the HDD bore is conducted at sufficient depth below the road surface to clear all existing utilities, with the bore diameter sized to accommodate the specified duct. The HDPE duct is pulled through the completed bore and extended 500mm into the trench on each side. The cable is pulled through the duct, and both duct ends are sealed with compound to prevent ingress of water and rodents. Road surface reinstatement is executed to municipal highway authority specification, with bituminous surfacing matching the existing road profile.</w:t>
      </w:r>
    </w:p>
    <w:p>
      <w:pPr>
        <w:spacing w:before="160" w:after="80"/>
      </w:pPr>
      <w:r>
        <w:rPr>
          <w:rFonts w:ascii="Calibri" w:hAnsi="Calibri"/>
          <w:b/>
          <w:sz w:val="22"/>
        </w:rPr>
        <w:t>11.6 Cable Jointing – Underground Connection Execution</w:t>
      </w:r>
    </w:p>
    <w:p>
      <w:pPr>
        <w:spacing w:before="0" w:after="120"/>
        <w:jc w:val="both"/>
      </w:pPr>
      <w:r>
        <w:rPr>
          <w:rFonts w:ascii="Calibri" w:hAnsi="Calibri"/>
          <w:b w:val="0"/>
          <w:sz w:val="22"/>
        </w:rPr>
        <w:t>Cable joints are made at planned joint bay locations and wherever cable drum lengths require mid-route connection. The jointing location is confirmed by the joint register showing GPS coordinates and depth, allowing future location for maintenance. Cable stripping is performed in the sequence: outer PVC sheath, SWA armour (cut back to specified length), inner bedding, metallic screen, and XLPE insulation, with each cut measured precisely using the joint kit installation instruction. The conductor ferrule is crimped using hydraulic crimping tool with the correct die set. Stress cone application, cold shrink or heat shrink joint body installation, and metallic screen reconnection are performed in strict accordance with the joint kit manufacturer's instructions. GPS coordinates, depth, and ferrule size for each joint are recorded in the joint register.</w:t>
      </w:r>
    </w:p>
    <w:p>
      <w:pPr>
        <w:spacing w:before="160" w:after="80"/>
      </w:pPr>
      <w:r>
        <w:rPr>
          <w:rFonts w:ascii="Calibri" w:hAnsi="Calibri"/>
          <w:b/>
          <w:sz w:val="22"/>
        </w:rPr>
        <w:t>11.7 Cable Termination and RMU Installation – End Connection Setup</w:t>
      </w:r>
    </w:p>
    <w:p>
      <w:pPr>
        <w:spacing w:before="0" w:after="120"/>
        <w:jc w:val="both"/>
      </w:pPr>
      <w:r>
        <w:rPr>
          <w:rFonts w:ascii="Calibri" w:hAnsi="Calibri"/>
          <w:b w:val="0"/>
          <w:sz w:val="22"/>
        </w:rPr>
        <w:t>At each cable termination point, an indoor or outdoor heat shrink or cold shrink termination kit is applied following the manufacturer's sequence. Cable glands are installed on the equipment entry plate, armour earthing conductors are connected to the equipment earth bar, and phase identification sleeves are applied consistently. The Ring Main Unit (RMU) is positioned in the substation room or kiosk, secured to the floor mounting channels, and cable terminations are made to the RMU cable boxes. SF6 gas pressure is verified against the specified range on the RMU pressure gauge, and mechanical operation of the load break switch and earth switch is tested.</w:t>
      </w:r>
    </w:p>
    <w:p>
      <w:pPr>
        <w:spacing w:before="160" w:after="80"/>
      </w:pPr>
      <w:r>
        <w:rPr>
          <w:rFonts w:ascii="Calibri" w:hAnsi="Calibri"/>
          <w:b/>
          <w:sz w:val="22"/>
        </w:rPr>
        <w:t>11.8 High Voltage Cable Testing – Electrical Integrity Verification</w:t>
      </w:r>
    </w:p>
    <w:p>
      <w:pPr>
        <w:spacing w:before="0" w:after="120"/>
        <w:jc w:val="both"/>
      </w:pPr>
      <w:r>
        <w:rPr>
          <w:rFonts w:ascii="Calibri" w:hAnsi="Calibri"/>
          <w:b w:val="0"/>
          <w:sz w:val="22"/>
        </w:rPr>
        <w:t>A systematic sequence of electrical tests is conducted to verify the cable system integrity. A pre-laying insulation resistance test establishes a baseline before installation to confirm the cable was undamaged during transport and storage. A post-laying insulation resistance test is performed to detect any damage that may have occurred during cable installation. A VLF (Very Low Frequency) hipot test is conducted at 0.1 Hz frequency at 17 kV for 11kV XLPE cables (1.7Uo) for 60 minutes without breakdown or significant partial discharge, per IEC 60060-3 or IEEE 400.2. Sheath continuity is tested to verify armour integrity and screen connection continuity. Phase identification is verified at both ends of each cable.</w:t>
      </w:r>
    </w:p>
    <w:p>
      <w:pPr>
        <w:spacing w:before="160" w:after="80"/>
      </w:pPr>
      <w:r>
        <w:rPr>
          <w:rFonts w:ascii="Calibri" w:hAnsi="Calibri"/>
          <w:b/>
          <w:sz w:val="22"/>
        </w:rPr>
        <w:t>11.9 Mechanical Completion of Underground Network – UG Installation Milestone</w:t>
      </w:r>
    </w:p>
    <w:p>
      <w:pPr>
        <w:spacing w:before="0" w:after="120"/>
        <w:jc w:val="both"/>
      </w:pPr>
      <w:r>
        <w:rPr>
          <w:rFonts w:ascii="Calibri" w:hAnsi="Calibri"/>
          <w:b w:val="0"/>
          <w:sz w:val="22"/>
        </w:rPr>
        <w:t>Upon completion of all cable laying, jointing, termination, backfilling, road reinstatement, and electrical testing for all cable routes in the project, the mechanical completion of the underground cable network is certified by the QA/QC engineer. All test results are collated in the pre-commissioning docket, the joint register is finalized, and the as-built cable route drawing with GPS coordinates and joint locations is prepared. The status transitions to "UG Network Mechanical Completion" in the project management system.</w:t>
      </w:r>
    </w:p>
    <w:p>
      <w:r>
        <w:br w:type="page"/>
      </w:r>
    </w:p>
    <w:p>
      <w:pPr>
        <w:spacing w:before="240" w:after="120"/>
      </w:pPr>
      <w:r>
        <w:rPr>
          <w:rFonts w:ascii="Calibri" w:hAnsi="Calibri"/>
          <w:b/>
          <w:sz w:val="28"/>
        </w:rPr>
        <w:t>WORKFLOW 12: Smart Meter and AMI System Installation Process</w:t>
      </w:r>
    </w:p>
    <w:p>
      <w:pPr>
        <w:spacing w:before="0" w:after="120"/>
        <w:jc w:val="both"/>
      </w:pPr>
      <w:r>
        <w:rPr>
          <w:rFonts w:ascii="Calibri" w:hAnsi="Calibri"/>
          <w:b w:val="0"/>
          <w:sz w:val="22"/>
        </w:rPr>
        <w:t>The smart meter and AMI (Advanced Metering Infrastructure) system installation process covers the complete sequence from consumer database preparation through physical meter installation, communication network setup, HES/MDM system configuration, data verification, and handover to the DISCOM's billing and operations systems. Smart metering projects under India's RDSS scheme represent a transformative upgrade of the metering infrastructure, replacing electromechanical or static meters with two-way communicating digital meters that enable real-time energy monitoring, remote disconnection, time-of-day tariffs, and automated theft detection. The success of this process is measured not only by the number of meters physically installed but by the percentage of meters actively communicating with the HES.</w:t>
      </w:r>
    </w:p>
    <w:p>
      <w:r>
        <w:rPr>
          <w:rFonts w:ascii="Calibri" w:hAnsi="Calibri"/>
          <w:b/>
          <w:sz w:val="22"/>
        </w:rPr>
        <w:t>Flowchart:</w:t>
      </w:r>
    </w:p>
    <w:p>
      <w:pPr>
        <w:jc w:val="center"/>
      </w:pPr>
      <w:r>
        <w:drawing>
          <wp:inline xmlns:a="http://schemas.openxmlformats.org/drawingml/2006/main" xmlns:pic="http://schemas.openxmlformats.org/drawingml/2006/picture">
            <wp:extent cx="5486400" cy="6379690"/>
            <wp:docPr id="12" name="Picture 12"/>
            <wp:cNvGraphicFramePr>
              <a:graphicFrameLocks noChangeAspect="1"/>
            </wp:cNvGraphicFramePr>
            <a:graphic>
              <a:graphicData uri="http://schemas.openxmlformats.org/drawingml/2006/picture">
                <pic:pic>
                  <pic:nvPicPr>
                    <pic:cNvPr id="0" name="section_12.png"/>
                    <pic:cNvPicPr/>
                  </pic:nvPicPr>
                  <pic:blipFill>
                    <a:blip r:embed="rId20"/>
                    <a:stretch>
                      <a:fillRect/>
                    </a:stretch>
                  </pic:blipFill>
                  <pic:spPr>
                    <a:xfrm>
                      <a:off x="0" y="0"/>
                      <a:ext cx="5486400" cy="6379690"/>
                    </a:xfrm>
                    <a:prstGeom prst="rect"/>
                  </pic:spPr>
                </pic:pic>
              </a:graphicData>
            </a:graphic>
          </wp:inline>
        </w:drawing>
      </w:r>
    </w:p>
    <w:p>
      <w:pPr>
        <w:spacing w:before="160" w:after="80"/>
      </w:pPr>
      <w:r>
        <w:rPr>
          <w:rFonts w:ascii="Calibri" w:hAnsi="Calibri"/>
          <w:b/>
          <w:sz w:val="22"/>
        </w:rPr>
        <w:t>12.1 Consumer Database Preparation – Data Readiness Gate</w:t>
      </w:r>
    </w:p>
    <w:p>
      <w:pPr>
        <w:spacing w:before="0" w:after="120"/>
        <w:jc w:val="both"/>
      </w:pPr>
      <w:r>
        <w:rPr>
          <w:rFonts w:ascii="Calibri" w:hAnsi="Calibri"/>
          <w:b w:val="0"/>
          <w:sz w:val="22"/>
        </w:rPr>
        <w:t>The consumer master database is downloaded from the DISCOM's billing system (CIS/SAP/Oracle Utilities) containing the account ID, consumer name, service connection number, address, sanctioned load, tariff category, existing meter number, and feeder/DTR mapping for every consumer in the project area. This data is validated against the field survey consumer list to identify mismatches, unlisted consumers, or consumers with incorrect feeder/DTR mapping. Each consumer is mapped to a DCU zone based on the planned DCU installation locations, and the installation sequence is planned by DCU zone to enable systematic communication verification immediately after zone completion. Data quality at this stage directly determines the accuracy of the billing handover at project completion.</w:t>
      </w:r>
    </w:p>
    <w:p>
      <w:pPr>
        <w:spacing w:before="160" w:after="80"/>
      </w:pPr>
      <w:r>
        <w:rPr>
          <w:rFonts w:ascii="Calibri" w:hAnsi="Calibri"/>
          <w:b/>
          <w:sz w:val="22"/>
        </w:rPr>
        <w:t>12.2 Existing Meter Removal and Documentation – Metering Transition</w:t>
      </w:r>
    </w:p>
    <w:p>
      <w:pPr>
        <w:spacing w:before="0" w:after="120"/>
        <w:jc w:val="both"/>
      </w:pPr>
      <w:r>
        <w:rPr>
          <w:rFonts w:ascii="Calibri" w:hAnsi="Calibri"/>
          <w:b w:val="0"/>
          <w:sz w:val="22"/>
        </w:rPr>
        <w:t>The existing meter at each consumer premises is removed with the consumer's knowledge and consent, following the DISCOM's meter replacement procedure. The closing reading of the old meter is recorded in the field register and photographed. The meter condition (seal intact, screen condition, any evidence of tampering or bypass) is documented with photographs. The old meter serial number, closing reading date, and removal details are entered in the removal register, which forms the audit trail for billing continuity purposes.</w:t>
      </w:r>
    </w:p>
    <w:p>
      <w:pPr>
        <w:spacing w:before="160" w:after="80"/>
      </w:pPr>
      <w:r>
        <w:rPr>
          <w:rFonts w:ascii="Calibri" w:hAnsi="Calibri"/>
          <w:b/>
          <w:sz w:val="22"/>
        </w:rPr>
        <w:t>12.3 Smart Meter Installation – Hardware Deployment</w:t>
      </w:r>
    </w:p>
    <w:p>
      <w:pPr>
        <w:spacing w:before="0" w:after="120"/>
        <w:jc w:val="both"/>
      </w:pPr>
      <w:r>
        <w:rPr>
          <w:rFonts w:ascii="Calibri" w:hAnsi="Calibri"/>
          <w:b w:val="0"/>
          <w:sz w:val="22"/>
        </w:rPr>
        <w:t>The new smart meter is mounted on the consumer's meter board at the approved location using the mounting frame provided, with the orientation matching the meter manufacturer's installation instructions. Incoming and outgoing load terminals are connected with the correct polarity and phase sequence verified. For three-phase and HT consumers, CTs are installed at the correct ratio corresponding to the consumer's sanctioned load, and the CT circuit wiring is completed to the meter CT input terminals. A tamper-evident seal is applied to the meter cover and terminal cover. Installation photographs showing the meter number, seal number, consumer name board, and connection are taken and uploaded to the installation tracking application.</w:t>
      </w:r>
    </w:p>
    <w:p>
      <w:pPr>
        <w:spacing w:before="160" w:after="80"/>
      </w:pPr>
      <w:r>
        <w:rPr>
          <w:rFonts w:ascii="Calibri" w:hAnsi="Calibri"/>
          <w:b/>
          <w:sz w:val="22"/>
        </w:rPr>
        <w:t>12.4 Communication Module Activation – Network Connectivity Setup</w:t>
      </w:r>
    </w:p>
    <w:p>
      <w:pPr>
        <w:spacing w:before="0" w:after="120"/>
        <w:jc w:val="both"/>
      </w:pPr>
      <w:r>
        <w:rPr>
          <w:rFonts w:ascii="Calibri" w:hAnsi="Calibri"/>
          <w:b w:val="0"/>
          <w:sz w:val="22"/>
        </w:rPr>
        <w:t>The communication module within or attached to the smart meter is activated following the technology-specific procedure. For RF Mesh meters, the RF module is powered up and scans for the DCU in the zone. For GPRS meters, the SIM card is inserted with the correct APN configuration and the GPRS module establishes connection with the HES. Signal strength is verified to meet the minimum requirement for reliable communication. The DCU is installed at the DTR or feeder pillar location with its own power supply and communication uplink to the HES server, and the meter-to-DCU communication link is tested by verifying that the meter appears as a registered device in the DCU's device list.</w:t>
      </w:r>
    </w:p>
    <w:p>
      <w:pPr>
        <w:spacing w:before="160" w:after="80"/>
      </w:pPr>
      <w:r>
        <w:rPr>
          <w:rFonts w:ascii="Calibri" w:hAnsi="Calibri"/>
          <w:b/>
          <w:sz w:val="22"/>
        </w:rPr>
        <w:t>12.5 Parallel HES and MDM Configuration Activities – System Integration</w:t>
      </w:r>
    </w:p>
    <w:p>
      <w:pPr>
        <w:spacing w:before="0" w:after="120"/>
        <w:jc w:val="both"/>
      </w:pPr>
      <w:r>
        <w:rPr>
          <w:rFonts w:ascii="Calibri" w:hAnsi="Calibri"/>
          <w:b w:val="0"/>
          <w:sz w:val="22"/>
        </w:rPr>
        <w:t>Multiple system configuration activities proceed in parallel during the installation phase to prepare the HES and MDM for full-scale metering operations. Each meter is registered in the HES with its unique meter serial number, consumer account ID, tariff category, CT ratio, and DTR zone mapping. The applicable tariff schedule including block rates, time-of-day periods, and surcharges is loaded into the meter from the HES. ToD (Time of Day) time windows are configured for consumers subject to ToD tariffs. Time synchronization is performed to align all meters to the DISCOM's billing time standard. Opening meter reading is entered in the HES as the baseline for the first billing period. Alert thresholds are configured in the HES for tamper event notification, power failure, reverse current detection, and current unbalance alarms. These configuration activities run in parallel to the physical installation activities.</w:t>
      </w:r>
    </w:p>
    <w:p>
      <w:pPr>
        <w:spacing w:before="160" w:after="80"/>
      </w:pPr>
      <w:r>
        <w:rPr>
          <w:rFonts w:ascii="Calibri" w:hAnsi="Calibri"/>
          <w:b/>
          <w:sz w:val="22"/>
        </w:rPr>
        <w:t>12.6 Data Pull and Communication Verification – System Readiness Test</w:t>
      </w:r>
    </w:p>
    <w:p>
      <w:pPr>
        <w:spacing w:before="0" w:after="120"/>
        <w:jc w:val="both"/>
      </w:pPr>
      <w:r>
        <w:rPr>
          <w:rFonts w:ascii="Calibri" w:hAnsi="Calibri"/>
          <w:b w:val="0"/>
          <w:sz w:val="22"/>
        </w:rPr>
        <w:t>After each DCU zone reaches full installation completion, a mass data pull is triggered from the HES to collect meter readings from all meters in the zone. The communication success rate is calculated as the percentage of meters that successfully respond to the data pull command. The target communication success rate is greater than 95% per DCU zone before the zone is accepted as complete. An exception list is generated for meters below the threshold, and field teams are deployed to diagnose and resolve communication failures caused by RF signal attenuation, GSM coverage gaps, incorrect SIM APN configuration, or meter hardware defects.</w:t>
      </w:r>
    </w:p>
    <w:p>
      <w:pPr>
        <w:spacing w:before="160" w:after="80"/>
      </w:pPr>
      <w:r>
        <w:rPr>
          <w:rFonts w:ascii="Calibri" w:hAnsi="Calibri"/>
          <w:b/>
          <w:sz w:val="22"/>
        </w:rPr>
        <w:t>12.7 Consumer Onboarding and Billing Integration – Handover to DISCOM System</w:t>
      </w:r>
    </w:p>
    <w:p>
      <w:pPr>
        <w:spacing w:before="0" w:after="120"/>
        <w:jc w:val="both"/>
      </w:pPr>
      <w:r>
        <w:rPr>
          <w:rFonts w:ascii="Calibri" w:hAnsi="Calibri"/>
          <w:b w:val="0"/>
          <w:sz w:val="22"/>
        </w:rPr>
        <w:t>Consumer information in the DISCOM's billing system is updated to reflect the new smart meter serial number, installation date, opening reading, and AMI meter type. A first billing cycle test is conducted by comparing the HES-generated consumption data for a sample of consumers against the manual meter reading to verify billing accuracy. Consumer demonstration is provided at each premises explaining how to read the new meter display, what the indicator lights mean, and how to access the consumer helpline for queries. Helpline contact numbers are affixed to the meter board.</w:t>
      </w:r>
    </w:p>
    <w:p>
      <w:pPr>
        <w:spacing w:before="160" w:after="80"/>
      </w:pPr>
      <w:r>
        <w:rPr>
          <w:rFonts w:ascii="Calibri" w:hAnsi="Calibri"/>
          <w:b/>
          <w:sz w:val="22"/>
        </w:rPr>
        <w:t>12.8 Smart Meter Installation Completion – AMI Milestone Achievement</w:t>
      </w:r>
    </w:p>
    <w:p>
      <w:pPr>
        <w:spacing w:before="0" w:after="120"/>
        <w:jc w:val="both"/>
      </w:pPr>
      <w:r>
        <w:rPr>
          <w:rFonts w:ascii="Calibri" w:hAnsi="Calibri"/>
          <w:b w:val="0"/>
          <w:sz w:val="22"/>
        </w:rPr>
        <w:t>Upon achievement of the target communication success rate across all DCU zones and successful completion of the first billing cycle test for a representative sample, the smart meter installation phase is formally closed. The completion certificate is prepared with the total number of meters installed, zone-wise communication success rates, DCU installation count, HES server operational status, and MDM integration status. The system status transitions to "Smart Meter Installation Complete" and the project enters the commissioning verification phase.</w:t>
      </w:r>
    </w:p>
    <w:p>
      <w:r>
        <w:br w:type="page"/>
      </w:r>
    </w:p>
    <w:p>
      <w:pPr>
        <w:spacing w:before="240" w:after="120"/>
      </w:pPr>
      <w:r>
        <w:rPr>
          <w:rFonts w:ascii="Calibri" w:hAnsi="Calibri"/>
          <w:b/>
          <w:sz w:val="28"/>
        </w:rPr>
        <w:t>WORKFLOW 13: Distribution Automation and SCADA Integration Process</w:t>
      </w:r>
    </w:p>
    <w:p>
      <w:pPr>
        <w:spacing w:before="0" w:after="120"/>
        <w:jc w:val="both"/>
      </w:pPr>
      <w:r>
        <w:rPr>
          <w:rFonts w:ascii="Calibri" w:hAnsi="Calibri"/>
          <w:b w:val="0"/>
          <w:sz w:val="22"/>
        </w:rPr>
        <w:t>The Distribution Automation and SCADA integration process covers the complete sequence of installing intelligent field devices, establishing the communication network between field and control center, configuring the SCADA and DMS systems, programming and testing the FLISR automation logic, and training DISCOM operators before handing over an operational Distribution Automation system. DA/SCADA systems represent the highest level of technical complexity in distribution EPC projects, requiring expertise spanning protection systems, communication engineering, software configuration, and power systems operation. The success of this process is measured by system uptime, FLISR response time, and restoration time after fault isolation.</w:t>
      </w:r>
    </w:p>
    <w:p>
      <w:r>
        <w:rPr>
          <w:rFonts w:ascii="Calibri" w:hAnsi="Calibri"/>
          <w:b/>
          <w:sz w:val="22"/>
        </w:rPr>
        <w:t>Flowchart:</w:t>
      </w:r>
    </w:p>
    <w:p>
      <w:pPr>
        <w:jc w:val="center"/>
      </w:pPr>
      <w:r>
        <w:drawing>
          <wp:inline xmlns:a="http://schemas.openxmlformats.org/drawingml/2006/main" xmlns:pic="http://schemas.openxmlformats.org/drawingml/2006/picture">
            <wp:extent cx="5486400" cy="6965606"/>
            <wp:docPr id="13" name="Picture 13"/>
            <wp:cNvGraphicFramePr>
              <a:graphicFrameLocks noChangeAspect="1"/>
            </wp:cNvGraphicFramePr>
            <a:graphic>
              <a:graphicData uri="http://schemas.openxmlformats.org/drawingml/2006/picture">
                <pic:pic>
                  <pic:nvPicPr>
                    <pic:cNvPr id="0" name="section_13.png"/>
                    <pic:cNvPicPr/>
                  </pic:nvPicPr>
                  <pic:blipFill>
                    <a:blip r:embed="rId21"/>
                    <a:stretch>
                      <a:fillRect/>
                    </a:stretch>
                  </pic:blipFill>
                  <pic:spPr>
                    <a:xfrm>
                      <a:off x="0" y="0"/>
                      <a:ext cx="5486400" cy="6965606"/>
                    </a:xfrm>
                    <a:prstGeom prst="rect"/>
                  </pic:spPr>
                </pic:pic>
              </a:graphicData>
            </a:graphic>
          </wp:inline>
        </w:drawing>
      </w:r>
    </w:p>
    <w:p>
      <w:pPr>
        <w:spacing w:before="160" w:after="80"/>
      </w:pPr>
      <w:r>
        <w:rPr>
          <w:rFonts w:ascii="Calibri" w:hAnsi="Calibri"/>
          <w:b/>
          <w:sz w:val="22"/>
        </w:rPr>
        <w:t>13.1 Field Device Installation Readiness – DA Execution Entry Gate</w:t>
      </w:r>
    </w:p>
    <w:p>
      <w:pPr>
        <w:spacing w:before="0" w:after="120"/>
        <w:jc w:val="both"/>
      </w:pPr>
      <w:r>
        <w:rPr>
          <w:rFonts w:ascii="Calibri" w:hAnsi="Calibri"/>
          <w:b w:val="0"/>
          <w:sz w:val="22"/>
        </w:rPr>
        <w:t>Before field device installation can begin, all pole civil work and line construction in the DA zones must be complete, the communication network design and frequency allocation plan must be approved, and the SCADA server hardware at the DISCOM control center must be procured, installed, and commissioned with the operating system and basic software. The DA project engineer verifies these prerequisites in a formal readiness review before issuing authorization to proceed with field device installation.</w:t>
      </w:r>
    </w:p>
    <w:p>
      <w:pPr>
        <w:spacing w:before="160" w:after="80"/>
      </w:pPr>
      <w:r>
        <w:rPr>
          <w:rFonts w:ascii="Calibri" w:hAnsi="Calibri"/>
          <w:b/>
          <w:sz w:val="22"/>
        </w:rPr>
        <w:t>13.2 Auto Recloser and Sectionalizer Installation – Intelligent Switching Equipment</w:t>
      </w:r>
    </w:p>
    <w:p>
      <w:pPr>
        <w:spacing w:before="0" w:after="120"/>
        <w:jc w:val="both"/>
      </w:pPr>
      <w:r>
        <w:rPr>
          <w:rFonts w:ascii="Calibri" w:hAnsi="Calibri"/>
          <w:b w:val="0"/>
          <w:sz w:val="22"/>
        </w:rPr>
        <w:t>The auto recloser is installed at the designated feeder section point on the line pole using a fabricated mounting bracket designed for the specific recloser model. HV cable connections are made to the recloser source and load terminals using the correct termination kit for the cable or bare conductor type. The control cable is routed from the recloser's auxiliary terminal box to the FRTU enclosure using armored control cable protected in steel conduit. Sectionalizers are installed downstream of the recloser at the designated locations following the same installation methodology, with their control cables also routed to the local FRTU.</w:t>
      </w:r>
    </w:p>
    <w:p>
      <w:pPr>
        <w:spacing w:before="160" w:after="80"/>
      </w:pPr>
      <w:r>
        <w:rPr>
          <w:rFonts w:ascii="Calibri" w:hAnsi="Calibri"/>
          <w:b/>
          <w:sz w:val="22"/>
        </w:rPr>
        <w:t>13.3 FRTU Installation and Power Supply Setup – Field Intelligence Unit</w:t>
      </w:r>
    </w:p>
    <w:p>
      <w:pPr>
        <w:spacing w:before="0" w:after="120"/>
        <w:jc w:val="both"/>
      </w:pPr>
      <w:r>
        <w:rPr>
          <w:rFonts w:ascii="Calibri" w:hAnsi="Calibri"/>
          <w:b w:val="0"/>
          <w:sz w:val="22"/>
        </w:rPr>
        <w:t>The FRTU (Feeder Remote Terminal Unit) control box is installed on the pole in a weatherproof enclosure at a height accessible for maintenance. I/O wiring is completed from the auto recloser and sectionalizer auxiliary contacts to the FRTU digital input terminals and from the FRTU digital output contacts to the recloser and sectionalizer trip/close coils. A solar panel with a charge controller and a sealed lead-acid battery backup (typically 12V/100Ah) is installed to provide an independent power supply to the FRTU ensuring continuous operation during grid supply interruptions. The FRTU enclosure is earthed separately to the line earthing system.</w:t>
      </w:r>
    </w:p>
    <w:p>
      <w:pPr>
        <w:spacing w:before="160" w:after="80"/>
      </w:pPr>
      <w:r>
        <w:rPr>
          <w:rFonts w:ascii="Calibri" w:hAnsi="Calibri"/>
          <w:b/>
          <w:sz w:val="22"/>
        </w:rPr>
        <w:t>13.4 CT/PT Metering Unit Installation – Measurement Point Setup</w:t>
      </w:r>
    </w:p>
    <w:p>
      <w:pPr>
        <w:spacing w:before="0" w:after="120"/>
        <w:jc w:val="both"/>
      </w:pPr>
      <w:r>
        <w:rPr>
          <w:rFonts w:ascii="Calibri" w:hAnsi="Calibri"/>
          <w:b w:val="0"/>
          <w:sz w:val="22"/>
        </w:rPr>
        <w:t>Current transformers (CTs) and potential transformers (PTs) are installed at each FRTU measurement point to provide real-time current and voltage data for SCADA monitoring and load management analysis. CTs are mounted on the line conductors using the appropriate mounting hardware for the conductor size. The CT and PT secondary wiring is routed in shielded screened cable to the FRTU analog input terminals, with the screen earthed at one end only to prevent circulating currents. Metering accuracy is verified by comparing the secondary output at no-load against the known ratio to confirm CT ratio and polarity.</w:t>
      </w:r>
    </w:p>
    <w:p>
      <w:pPr>
        <w:spacing w:before="160" w:after="80"/>
      </w:pPr>
      <w:r>
        <w:rPr>
          <w:rFonts w:ascii="Calibri" w:hAnsi="Calibri"/>
          <w:b/>
          <w:sz w:val="22"/>
        </w:rPr>
        <w:t>13.5 Communication Network Commissioning – Field-to-SCADA Connectivity</w:t>
      </w:r>
    </w:p>
    <w:p>
      <w:pPr>
        <w:spacing w:before="0" w:after="120"/>
        <w:jc w:val="both"/>
      </w:pPr>
      <w:r>
        <w:rPr>
          <w:rFonts w:ascii="Calibri" w:hAnsi="Calibri"/>
          <w:b w:val="0"/>
          <w:sz w:val="22"/>
        </w:rPr>
        <w:t>The GPRS modem within the FRTU is configured with the SCADA server IP address, port number, and APN settings for the SIM card provider. After SIM activation, the modem establishes a GPRS connection and the field engineer confirms successful connectivity by pinging the SCADA server from the FRTU modem. For fiber-based communication projects, patch cords are connected at both the FRTU and the fiber node, and the optical link budget is verified. For RF-based projects, the RF transceiver is powered and the link level is measured against the calculated link budget before acceptance.</w:t>
      </w:r>
    </w:p>
    <w:p>
      <w:pPr>
        <w:spacing w:before="160" w:after="80"/>
      </w:pPr>
      <w:r>
        <w:rPr>
          <w:rFonts w:ascii="Calibri" w:hAnsi="Calibri"/>
          <w:b/>
          <w:sz w:val="22"/>
        </w:rPr>
        <w:t>13.6 SCADA and DMS System Configuration – Control Center Setup</w:t>
      </w:r>
    </w:p>
    <w:p>
      <w:pPr>
        <w:spacing w:before="0" w:after="120"/>
        <w:jc w:val="both"/>
      </w:pPr>
      <w:r>
        <w:rPr>
          <w:rFonts w:ascii="Calibri" w:hAnsi="Calibri"/>
          <w:b w:val="0"/>
          <w:sz w:val="22"/>
        </w:rPr>
        <w:t>The SCADA HMI is configured with the complete feeder topology including all line sections, bus sections, substations, and field devices in the project area. A single-line diagram (SLD) of the distribution network is created in the DMS with accurate representation of the feeder topology reflecting as-built conditions. Each FRTU, auto recloser, and sectionalizer is assigned a unique equipment tag in the SCADA database that matches the field device identification plate. Historical data storage parameters are configured including analog scan rate, digital change-of-state logging, and event recording retention period.</w:t>
      </w:r>
    </w:p>
    <w:p>
      <w:pPr>
        <w:spacing w:before="160" w:after="80"/>
      </w:pPr>
      <w:r>
        <w:rPr>
          <w:rFonts w:ascii="Calibri" w:hAnsi="Calibri"/>
          <w:b/>
          <w:sz w:val="22"/>
        </w:rPr>
        <w:t>13.7 RTU Protocol Configuration and Data Mapping – Communication Integration</w:t>
      </w:r>
    </w:p>
    <w:p>
      <w:pPr>
        <w:spacing w:before="0" w:after="120"/>
        <w:jc w:val="both"/>
      </w:pPr>
      <w:r>
        <w:rPr>
          <w:rFonts w:ascii="Calibri" w:hAnsi="Calibri"/>
          <w:b w:val="0"/>
          <w:sz w:val="22"/>
        </w:rPr>
        <w:t>The communication protocol between each FRTU and the SCADA server is configured using DNP3 Level 2 or IEC 60870-5-104 as specified in the project design. The data object map is defined for each FRTU specifying all analog input objects (current, voltage, power, energy), digital status objects (breaker position, switch status, alarm status), and control output objects (trip, close commands). The polling interval is configured for each FRTU and verified that the total polling cycle completes within the specified time. Data quality flags including COMM_FAIL, OOR (Out of Range), and MANUAL are verified to operate correctly for each data point.</w:t>
      </w:r>
    </w:p>
    <w:p>
      <w:pPr>
        <w:spacing w:before="160" w:after="80"/>
      </w:pPr>
      <w:r>
        <w:rPr>
          <w:rFonts w:ascii="Calibri" w:hAnsi="Calibri"/>
          <w:b/>
          <w:sz w:val="22"/>
        </w:rPr>
        <w:t>13.8 FLISR Logic Programming and Testing – Automation Intelligence Setup</w:t>
      </w:r>
    </w:p>
    <w:p>
      <w:pPr>
        <w:spacing w:before="0" w:after="120"/>
        <w:jc w:val="both"/>
      </w:pPr>
      <w:r>
        <w:rPr>
          <w:rFonts w:ascii="Calibri" w:hAnsi="Calibri"/>
          <w:b w:val="0"/>
          <w:sz w:val="22"/>
        </w:rPr>
        <w:t>The FLISR (Fault Location, Isolation, and Service Restoration) automation logic is programmed in the DMS/SCADA application based on the fault zone definitions and restoration strategy approved during the design phase. The recloser-sectionalizer coordination sequence is programmed defining the timing relationship between the recloser shot sequence and the sectionalizer count-to-lockout settings. FLISR simulation testing is conducted by injecting a simulated fault at each defined fault zone, observing the isolation sequence, and measuring the automated restoration time for the unfaulted sections. False trip prevention logic is verified by applying a momentary fault and confirming that transient faults are correctly ridden through without unnecessary lockout.</w:t>
      </w:r>
    </w:p>
    <w:p>
      <w:pPr>
        <w:spacing w:before="160" w:after="80"/>
      </w:pPr>
      <w:r>
        <w:rPr>
          <w:rFonts w:ascii="Calibri" w:hAnsi="Calibri"/>
          <w:b/>
          <w:sz w:val="22"/>
        </w:rPr>
        <w:t>13.9 End-to-End Integration Testing – Full System Validation</w:t>
      </w:r>
    </w:p>
    <w:p>
      <w:pPr>
        <w:spacing w:before="0" w:after="120"/>
        <w:jc w:val="both"/>
      </w:pPr>
      <w:r>
        <w:rPr>
          <w:rFonts w:ascii="Calibri" w:hAnsi="Calibri"/>
          <w:b w:val="0"/>
          <w:sz w:val="22"/>
        </w:rPr>
        <w:t>A complete end-to-end integration test is performed simulating actual fault scenarios to validate the full automation system response. A fault is created in the field by opening a sectionalizer manually, the SCADA alarm panel is observed for correct fault zone indication, the auto isolation sequence is observed to confirm that the correct upstream device isolates the fault zone, and the restoration sequence is observed to confirm that the unfaulted sections downstream are automatically restored through the alternative supply path. The total fault clearance time from fault initiation to consumer restoration in the unfaulted zones is measured and compared against the contractual target, typically less than 60 seconds for radial feeder FLISR. Communication redundancy is tested and remote control operation from the SCADA workstation is verified for each field device.</w:t>
      </w:r>
    </w:p>
    <w:p>
      <w:pPr>
        <w:spacing w:before="160" w:after="80"/>
      </w:pPr>
      <w:r>
        <w:rPr>
          <w:rFonts w:ascii="Calibri" w:hAnsi="Calibri"/>
          <w:b/>
          <w:sz w:val="22"/>
        </w:rPr>
        <w:t>13.10 Operator Training and System Handover – Control Room Readiness</w:t>
      </w:r>
    </w:p>
    <w:p>
      <w:pPr>
        <w:spacing w:before="0" w:after="120"/>
        <w:jc w:val="both"/>
      </w:pPr>
      <w:r>
        <w:rPr>
          <w:rFonts w:ascii="Calibri" w:hAnsi="Calibri"/>
          <w:b w:val="0"/>
          <w:sz w:val="22"/>
        </w:rPr>
        <w:t>DISCOM control room operators are provided with structured training on the new SCADA and DA system covering the HMI navigation, feeder topology understanding, alarm handling procedures, normal and emergency switching procedures in the SCADA system, and FLISR automatic and manual override operation. Training is conducted at the DISCOM control room using the live system after all integration tests are complete, ensuring operators are trained on the actual deployed system. A training attendance record is maintained, and each trained operator receives the SCADA user manual. Handover documentation is delivered including the system architecture document, FRTU configuration files, FLISR logic documentation, and as-built communication network drawings.</w:t>
      </w:r>
    </w:p>
    <w:p>
      <w:r>
        <w:br w:type="page"/>
      </w:r>
    </w:p>
    <w:p>
      <w:pPr>
        <w:spacing w:before="240" w:after="120"/>
      </w:pPr>
      <w:r>
        <w:rPr>
          <w:rFonts w:ascii="Calibri" w:hAnsi="Calibri"/>
          <w:b/>
          <w:sz w:val="28"/>
        </w:rPr>
        <w:t>WORKFLOW 14: Electrical Testing and Pre-Commissioning Process</w:t>
      </w:r>
    </w:p>
    <w:p>
      <w:pPr>
        <w:spacing w:before="0" w:after="120"/>
        <w:jc w:val="both"/>
      </w:pPr>
      <w:r>
        <w:rPr>
          <w:rFonts w:ascii="Calibri" w:hAnsi="Calibri"/>
          <w:b w:val="0"/>
          <w:sz w:val="22"/>
        </w:rPr>
        <w:t>The electrical testing and pre-commissioning phase is a systematic and comprehensive verification of the entire distribution system installation, confirming that every component from HT line conductors to LT service connections, transformers, underground cables, smart meters, and automation devices is correctly installed, properly connected, and electrically sound before any energization occurs. This phase is a mandatory quality gate that must be completed before the commissioning team and the DISCOM's electrical inspector are invited to witness energization. This phase cannot begin until all installation activities are mechanically complete on the section or zone being tested.</w:t>
      </w:r>
    </w:p>
    <w:p>
      <w:r>
        <w:rPr>
          <w:rFonts w:ascii="Calibri" w:hAnsi="Calibri"/>
          <w:b/>
          <w:sz w:val="22"/>
        </w:rPr>
        <w:t>Flowchart:</w:t>
      </w:r>
    </w:p>
    <w:p>
      <w:pPr>
        <w:jc w:val="center"/>
      </w:pPr>
      <w:r>
        <w:drawing>
          <wp:inline xmlns:a="http://schemas.openxmlformats.org/drawingml/2006/main" xmlns:pic="http://schemas.openxmlformats.org/drawingml/2006/picture">
            <wp:extent cx="5486400" cy="7622580"/>
            <wp:docPr id="14" name="Picture 14"/>
            <wp:cNvGraphicFramePr>
              <a:graphicFrameLocks noChangeAspect="1"/>
            </wp:cNvGraphicFramePr>
            <a:graphic>
              <a:graphicData uri="http://schemas.openxmlformats.org/drawingml/2006/picture">
                <pic:pic>
                  <pic:nvPicPr>
                    <pic:cNvPr id="0" name="section_14.png"/>
                    <pic:cNvPicPr/>
                  </pic:nvPicPr>
                  <pic:blipFill>
                    <a:blip r:embed="rId22"/>
                    <a:stretch>
                      <a:fillRect/>
                    </a:stretch>
                  </pic:blipFill>
                  <pic:spPr>
                    <a:xfrm>
                      <a:off x="0" y="0"/>
                      <a:ext cx="5486400" cy="7622580"/>
                    </a:xfrm>
                    <a:prstGeom prst="rect"/>
                  </pic:spPr>
                </pic:pic>
              </a:graphicData>
            </a:graphic>
          </wp:inline>
        </w:drawing>
      </w:r>
    </w:p>
    <w:p>
      <w:pPr>
        <w:spacing w:before="160" w:after="80"/>
      </w:pPr>
      <w:r>
        <w:rPr>
          <w:rFonts w:ascii="Calibri" w:hAnsi="Calibri"/>
          <w:b/>
          <w:sz w:val="22"/>
        </w:rPr>
        <w:t>14.1 Installation Completion – Pre-Commissioning Entry Gate</w:t>
      </w:r>
    </w:p>
    <w:p>
      <w:pPr>
        <w:spacing w:before="0" w:after="120"/>
        <w:jc w:val="both"/>
      </w:pPr>
      <w:r>
        <w:rPr>
          <w:rFonts w:ascii="Calibri" w:hAnsi="Calibri"/>
          <w:b w:val="0"/>
          <w:sz w:val="22"/>
        </w:rPr>
        <w:t>The site QA/QC engineer conducts a mechanical completion inspection for the section or zone being submitted for pre-commissioning testing. The inspection confirms that all poles are erected and backfilled, all conductors are strung and sagged, all hardware is fitted and bolted, all DTRs are installed and connected, all earth pits are constructed and leads are connected, all smart meters are physically installed, and all DA/SCADA field devices are installed and cabled. The inspection result is recorded in the mechanical completion certificate, which is signed by the site engineer and submitted to the testing team as the entry gate document for pre-commissioning.</w:t>
      </w:r>
    </w:p>
    <w:p>
      <w:pPr>
        <w:spacing w:before="160" w:after="80"/>
      </w:pPr>
      <w:r>
        <w:rPr>
          <w:rFonts w:ascii="Calibri" w:hAnsi="Calibri"/>
          <w:b/>
          <w:sz w:val="22"/>
        </w:rPr>
        <w:t>14.2 Parallel HT/LT Line Testing Activities – Overhead Network Verification</w:t>
      </w:r>
    </w:p>
    <w:p>
      <w:pPr>
        <w:spacing w:before="0" w:after="120"/>
        <w:jc w:val="both"/>
      </w:pPr>
      <w:r>
        <w:rPr>
          <w:rFonts w:ascii="Calibri" w:hAnsi="Calibri"/>
          <w:b w:val="0"/>
          <w:sz w:val="22"/>
        </w:rPr>
        <w:t>HT and LT line testing activities proceed in parallel for efficiency. The HT line insulation resistance test measures resistance between each phase conductor and earth and between phase conductors, with a target minimum of 100 MΩ at 1000V DC applied by an insulation resistance tester to confirm the HT line is free of insulation defects. A continuity test verifies end-to-end conductor continuity for each phase. Phase sequence is verified at the receiving end using a phase rotation meter. Simultaneously, the LT line is tested for insulation resistance, conductor continuity, and polarity checks at the feeder end.</w:t>
      </w:r>
    </w:p>
    <w:p>
      <w:pPr>
        <w:spacing w:before="160" w:after="80"/>
      </w:pPr>
      <w:r>
        <w:rPr>
          <w:rFonts w:ascii="Calibri" w:hAnsi="Calibri"/>
          <w:b/>
          <w:sz w:val="22"/>
        </w:rPr>
        <w:t>14.3 DTR Electrical Tests – Transformer Pre-Commissioning Verification</w:t>
      </w:r>
    </w:p>
    <w:p>
      <w:pPr>
        <w:spacing w:before="0" w:after="120"/>
        <w:jc w:val="both"/>
      </w:pPr>
      <w:r>
        <w:rPr>
          <w:rFonts w:ascii="Calibri" w:hAnsi="Calibri"/>
          <w:b w:val="0"/>
          <w:sz w:val="22"/>
        </w:rPr>
        <w:t>Each DTR undergoes a complete set of electrical pre-commissioning tests. Insulation resistance is measured for all six terminal combinations using a 5kV Megger, with results compared against IS 2026 minimum values adjusted for ambient temperature. Turns ratio test is performed at each available tap position using a digital TTR tester, and the measured ratio must match the nameplate ratio within ±0.5%. No-load excitation current is measured by applying rated voltage to the HV terminals with LV open, and the value is compared with the factory test certificate to confirm no in-service deterioration. Oil BDV is re-tested on a sample drawn from the bottom drain valve to confirm in-situ oil quality has not degraded since initial testing.</w:t>
      </w:r>
    </w:p>
    <w:p>
      <w:pPr>
        <w:spacing w:before="160" w:after="80"/>
      </w:pPr>
      <w:r>
        <w:rPr>
          <w:rFonts w:ascii="Calibri" w:hAnsi="Calibri"/>
          <w:b/>
          <w:sz w:val="22"/>
        </w:rPr>
        <w:t>14.4 AB Switch and DO Fuse Testing – Switching Equipment Verification</w:t>
      </w:r>
    </w:p>
    <w:p>
      <w:pPr>
        <w:spacing w:before="0" w:after="120"/>
        <w:jc w:val="both"/>
      </w:pPr>
      <w:r>
        <w:rPr>
          <w:rFonts w:ascii="Calibri" w:hAnsi="Calibri"/>
          <w:b w:val="0"/>
          <w:sz w:val="22"/>
        </w:rPr>
        <w:t>Each AB switch is tested by operating it through five complete open/close cycles to confirm smooth mechanical operation without binding or excessive force. Contact resistance measurement using a micro-ohm meter verifies that contacts are clean and fully closing. Insulation resistance across the open contacts is measured to confirm adequate electrical isolation in the open position. LA discharge test is conducted using a surge counter test to verify the counter operation.</w:t>
      </w:r>
    </w:p>
    <w:p>
      <w:pPr>
        <w:spacing w:before="160" w:after="80"/>
      </w:pPr>
      <w:r>
        <w:rPr>
          <w:rFonts w:ascii="Calibri" w:hAnsi="Calibri"/>
          <w:b/>
          <w:sz w:val="22"/>
        </w:rPr>
        <w:t>14.5 Underground Cable Testing – Buried Infrastructure Verification</w:t>
      </w:r>
    </w:p>
    <w:p>
      <w:pPr>
        <w:spacing w:before="0" w:after="120"/>
        <w:jc w:val="both"/>
      </w:pPr>
      <w:r>
        <w:rPr>
          <w:rFonts w:ascii="Calibri" w:hAnsi="Calibri"/>
          <w:b w:val="0"/>
          <w:sz w:val="22"/>
        </w:rPr>
        <w:t>For underground cable sections, a pre-laying IR test baseline is compared with the post-installation IR test to identify any degradation caused during installation activities. The VLF hipot test is conducted at 0.1 Hz frequency, applying 17 kV for 60 minutes for 11 kV XLPE cable to verify the cable can withstand the test voltage without breakdown. Sheath continuity is tested on the cable armour from end to end. Phase identification is verified at both ends of each cable run.</w:t>
      </w:r>
    </w:p>
    <w:p>
      <w:pPr>
        <w:spacing w:before="160" w:after="80"/>
      </w:pPr>
      <w:r>
        <w:rPr>
          <w:rFonts w:ascii="Calibri" w:hAnsi="Calibri"/>
          <w:b/>
          <w:sz w:val="22"/>
        </w:rPr>
        <w:t>14.6 Earthing System Verification – Grounding Network Testing</w:t>
      </w:r>
    </w:p>
    <w:p>
      <w:pPr>
        <w:spacing w:before="0" w:after="120"/>
        <w:jc w:val="both"/>
      </w:pPr>
      <w:r>
        <w:rPr>
          <w:rFonts w:ascii="Calibri" w:hAnsi="Calibri"/>
          <w:b w:val="0"/>
          <w:sz w:val="22"/>
        </w:rPr>
        <w:t>The earth resistance at each DTR location is measured using a digital earth resistance tester by the three-electrode (fall of potential) method or Wenner four-pin method, with the readings compared against the IE Rules 1956 limits: body earth less than 5 ohms, neutral earth less than 1 ohm. Neutral-to-earth continuity is verified from the LT neutral bus to the neutral earth electrode. Body earthing continuity is verified from the DTR tank to the earth electrode. The overall earth network interconnection between all earth electrodes at a DTR location is verified to be correctly bonded.</w:t>
      </w:r>
    </w:p>
    <w:p>
      <w:pPr>
        <w:spacing w:before="160" w:after="80"/>
      </w:pPr>
      <w:r>
        <w:rPr>
          <w:rFonts w:ascii="Calibri" w:hAnsi="Calibri"/>
          <w:b/>
          <w:sz w:val="22"/>
        </w:rPr>
        <w:t>14.7 Smart Meter and AMI System Testing – Metering Verification</w:t>
      </w:r>
    </w:p>
    <w:p>
      <w:pPr>
        <w:spacing w:before="0" w:after="120"/>
        <w:jc w:val="both"/>
      </w:pPr>
      <w:r>
        <w:rPr>
          <w:rFonts w:ascii="Calibri" w:hAnsi="Calibri"/>
          <w:b w:val="0"/>
          <w:sz w:val="22"/>
        </w:rPr>
        <w:t>Smart meter pre-commissioning testing confirms that each installed meter is functioning correctly and communicating with the HES. Meter accuracy is checked by comparing the meter's displayed reading rate against a calibrated reference energy source for a sample of meters in each zone. Communication link active status is verified per DCU by confirming each meter appears as "online" in the HES device management portal. Data transmission integrity is verified by confirming that hourly energy data is being received and stored in the HES without gaps. Tamper seal integrity is visually verified and serial number is confirmed against the installation record.</w:t>
      </w:r>
    </w:p>
    <w:p>
      <w:pPr>
        <w:spacing w:before="160" w:after="80"/>
      </w:pPr>
      <w:r>
        <w:rPr>
          <w:rFonts w:ascii="Calibri" w:hAnsi="Calibri"/>
          <w:b/>
          <w:sz w:val="22"/>
        </w:rPr>
        <w:t>14.8 DA/SCADA System Testing – Automation System Verification</w:t>
      </w:r>
    </w:p>
    <w:p>
      <w:pPr>
        <w:spacing w:before="0" w:after="120"/>
        <w:jc w:val="both"/>
      </w:pPr>
      <w:r>
        <w:rPr>
          <w:rFonts w:ascii="Calibri" w:hAnsi="Calibri"/>
          <w:b w:val="0"/>
          <w:sz w:val="22"/>
        </w:rPr>
        <w:t>DA system pre-commissioning tests confirm correct field-to-control center integration before live energization. FRTU to SCADA communication is tested for each FRTU confirming all configured data points are being received at the SCADA server with correct values. Control function testing verifies that a remote open command from the SCADA workstation causes the auto recloser to open in the field and the status change is reflected in the SCADA display within the acceptable response time. FLISR logic verification confirms that the automation scheme responds correctly to simulated fault inputs.</w:t>
      </w:r>
    </w:p>
    <w:p>
      <w:pPr>
        <w:spacing w:before="160" w:after="80"/>
      </w:pPr>
      <w:r>
        <w:rPr>
          <w:rFonts w:ascii="Calibri" w:hAnsi="Calibri"/>
          <w:b/>
          <w:sz w:val="22"/>
        </w:rPr>
        <w:t>14.9 Punch List Identification and Rectification – Defect Closure Phase</w:t>
      </w:r>
    </w:p>
    <w:p>
      <w:pPr>
        <w:spacing w:before="0" w:after="120"/>
        <w:jc w:val="both"/>
      </w:pPr>
      <w:r>
        <w:rPr>
          <w:rFonts w:ascii="Calibri" w:hAnsi="Calibri"/>
          <w:b w:val="0"/>
          <w:sz w:val="22"/>
        </w:rPr>
        <w:t>A comprehensive pre-commissioning punch list inspection is conducted covering the entire installation to identify all non-conformances, incomplete items, and safety deficiencies. Each punch item is classified as Priority 1 (safety critical — must close before energization), Priority 2 (quality — should close before energization), or Priority 3 (cosmetic — can close within agreed period after energization). Priority 1 and Priority 2 punch items must be closed and re-inspected before the pre-commissioning certificate is issued.</w:t>
      </w:r>
    </w:p>
    <w:p>
      <w:pPr>
        <w:spacing w:before="160" w:after="80"/>
      </w:pPr>
      <w:r>
        <w:rPr>
          <w:rFonts w:ascii="Calibri" w:hAnsi="Calibri"/>
          <w:b/>
          <w:sz w:val="22"/>
        </w:rPr>
        <w:t>14.10 Pre-Commissioning Clearance – Final Technical Milestone</w:t>
      </w:r>
    </w:p>
    <w:p>
      <w:pPr>
        <w:spacing w:before="0" w:after="120"/>
        <w:jc w:val="both"/>
      </w:pPr>
      <w:r>
        <w:rPr>
          <w:rFonts w:ascii="Calibri" w:hAnsi="Calibri"/>
          <w:b w:val="0"/>
          <w:sz w:val="22"/>
        </w:rPr>
        <w:t>Upon closure of all Priority 1 and Priority 2 punch items, all test results meeting specification requirements, and the punch list sign-off obtained, the contractor issues a formal pre-commissioning completion certificate for the section or zone. This certificate is signed by the contractor's QA/QC engineer and countersigned by the DISCOM's project representative. The system status transitions to "Pre-Commissioning Complete" and the regulatory approval submission process is initiated.</w:t>
      </w:r>
    </w:p>
    <w:p>
      <w:r>
        <w:br w:type="page"/>
      </w:r>
    </w:p>
    <w:p>
      <w:pPr>
        <w:spacing w:before="240" w:after="120"/>
      </w:pPr>
      <w:r>
        <w:rPr>
          <w:rFonts w:ascii="Calibri" w:hAnsi="Calibri"/>
          <w:b/>
          <w:sz w:val="28"/>
        </w:rPr>
        <w:t>WORKFLOW 15: External Clearances and Regulatory Approvals Process</w:t>
      </w:r>
    </w:p>
    <w:p>
      <w:pPr>
        <w:spacing w:before="0" w:after="120"/>
        <w:jc w:val="both"/>
      </w:pPr>
      <w:r>
        <w:rPr>
          <w:rFonts w:ascii="Calibri" w:hAnsi="Calibri"/>
          <w:b w:val="0"/>
          <w:sz w:val="22"/>
        </w:rPr>
        <w:t>The external clearances and regulatory approvals phase ensures that all statutory, safety, and administrative authorizations required for energizing the distribution network are obtained before live power is introduced into the system. Distribution projects in India require compliance with the Indian Electricity Act 2003, Indian Electricity Rules 1956, and various state electricity regulations, making regulatory compliance a non-negotiable prerequisite for commissioning. This phase runs in parallel with the late stages of pre-commissioning activities, but all clearances must be fully received before any energization can occur.</w:t>
      </w:r>
    </w:p>
    <w:p>
      <w:r>
        <w:rPr>
          <w:rFonts w:ascii="Calibri" w:hAnsi="Calibri"/>
          <w:b/>
          <w:sz w:val="22"/>
        </w:rPr>
        <w:t>Flowchart:</w:t>
      </w:r>
    </w:p>
    <w:p>
      <w:pPr>
        <w:jc w:val="center"/>
      </w:pPr>
      <w:r>
        <w:drawing>
          <wp:inline xmlns:a="http://schemas.openxmlformats.org/drawingml/2006/main" xmlns:pic="http://schemas.openxmlformats.org/drawingml/2006/picture">
            <wp:extent cx="5486400" cy="4133335"/>
            <wp:docPr id="15" name="Picture 15"/>
            <wp:cNvGraphicFramePr>
              <a:graphicFrameLocks noChangeAspect="1"/>
            </wp:cNvGraphicFramePr>
            <a:graphic>
              <a:graphicData uri="http://schemas.openxmlformats.org/drawingml/2006/picture">
                <pic:pic>
                  <pic:nvPicPr>
                    <pic:cNvPr id="0" name="section_15.png"/>
                    <pic:cNvPicPr/>
                  </pic:nvPicPr>
                  <pic:blipFill>
                    <a:blip r:embed="rId23"/>
                    <a:stretch>
                      <a:fillRect/>
                    </a:stretch>
                  </pic:blipFill>
                  <pic:spPr>
                    <a:xfrm>
                      <a:off x="0" y="0"/>
                      <a:ext cx="5486400" cy="4133335"/>
                    </a:xfrm>
                    <a:prstGeom prst="rect"/>
                  </pic:spPr>
                </pic:pic>
              </a:graphicData>
            </a:graphic>
          </wp:inline>
        </w:drawing>
      </w:r>
    </w:p>
    <w:p>
      <w:pPr>
        <w:spacing w:before="160" w:after="80"/>
      </w:pPr>
      <w:r>
        <w:rPr>
          <w:rFonts w:ascii="Calibri" w:hAnsi="Calibri"/>
          <w:b/>
          <w:sz w:val="22"/>
        </w:rPr>
        <w:t>15.1 Commissioning Application Preparation – Regulatory Submission Readiness</w:t>
      </w:r>
    </w:p>
    <w:p>
      <w:pPr>
        <w:spacing w:before="0" w:after="120"/>
        <w:jc w:val="both"/>
      </w:pPr>
      <w:r>
        <w:rPr>
          <w:rFonts w:ascii="Calibri" w:hAnsi="Calibri"/>
          <w:b w:val="0"/>
          <w:sz w:val="22"/>
        </w:rPr>
        <w:t>The contractor prepares the complete commissioning application package for submission to the Electrical Inspector (EI) and the DISCOM. The package includes all pre-commissioning electrical test reports signed by the qualified electrical supervisor, as-built drawings, material inspection certificates and type test reports, earth resistance test records, oil BDV test reports, contractor's electrical license details, and the safety compliance declaration. The application is reviewed for completeness against the EI's checklist before formal submission.</w:t>
      </w:r>
    </w:p>
    <w:p>
      <w:pPr>
        <w:spacing w:before="160" w:after="80"/>
      </w:pPr>
      <w:r>
        <w:rPr>
          <w:rFonts w:ascii="Calibri" w:hAnsi="Calibri"/>
          <w:b/>
          <w:sz w:val="22"/>
        </w:rPr>
        <w:t>15.2 Electrical Inspector (EI) Inspection – Statutory Safety Verification</w:t>
      </w:r>
    </w:p>
    <w:p>
      <w:pPr>
        <w:spacing w:before="0" w:after="120"/>
        <w:jc w:val="both"/>
      </w:pPr>
      <w:r>
        <w:rPr>
          <w:rFonts w:ascii="Calibri" w:hAnsi="Calibri"/>
          <w:b w:val="0"/>
          <w:sz w:val="22"/>
        </w:rPr>
        <w:t>The Electrical Inspector appointed by the state government electrical inspectorate conducts a statutory safety inspection of the new distribution installation. The EI inspects compliance with the Indian Electricity Rules 1956 covering minimum ground clearances at all crossings and along the route, earthing arrangements and resistance values, metering provisions, protection equipment, safety fittings on poles, and junction box sealing. The EI may request additional tests or corrections to observed deficiencies before issue of the Electrical Safety Certificate. Upon satisfactory inspection, the EI issues the Electrical Safety Certificate, which is mandatory for energization.</w:t>
      </w:r>
    </w:p>
    <w:p>
      <w:pPr>
        <w:spacing w:before="160" w:after="80"/>
      </w:pPr>
      <w:r>
        <w:rPr>
          <w:rFonts w:ascii="Calibri" w:hAnsi="Calibri"/>
          <w:b/>
          <w:sz w:val="22"/>
        </w:rPr>
        <w:t>15.3 DISCOM PTCC Issuance – Permission to Charge Certificate</w:t>
      </w:r>
    </w:p>
    <w:p>
      <w:pPr>
        <w:spacing w:before="0" w:after="120"/>
        <w:jc w:val="both"/>
      </w:pPr>
      <w:r>
        <w:rPr>
          <w:rFonts w:ascii="Calibri" w:hAnsi="Calibri"/>
          <w:b w:val="0"/>
          <w:sz w:val="22"/>
        </w:rPr>
        <w:t>In parallel with the EI inspection, the DISCOM's own technical team conducts a review of the pre-commissioning test reports and physical inspection of key installation points. The DISCOM issues the Permission to Charge Certificate (PTCC) after confirming that the installation is electrically safe and metering is correctly established. No distribution line may be energized without the PTCC in hand, as this certificate represents the asset owner's formal authorization for live power to be introduced into their distribution system.</w:t>
      </w:r>
    </w:p>
    <w:p>
      <w:pPr>
        <w:spacing w:before="160" w:after="80"/>
      </w:pPr>
      <w:r>
        <w:rPr>
          <w:rFonts w:ascii="Calibri" w:hAnsi="Calibri"/>
          <w:b/>
          <w:sz w:val="22"/>
        </w:rPr>
        <w:t>15.4 Parallel Compliance Clearances – Regulatory Authorization Activities</w:t>
      </w:r>
    </w:p>
    <w:p>
      <w:pPr>
        <w:spacing w:before="0" w:after="120"/>
        <w:jc w:val="both"/>
      </w:pPr>
      <w:r>
        <w:rPr>
          <w:rFonts w:ascii="Calibri" w:hAnsi="Calibri"/>
          <w:b w:val="0"/>
          <w:sz w:val="22"/>
        </w:rPr>
        <w:t>Additional regulatory clearances required for specific crossing types are pursued in parallel. Highway or municipal authority No Objection Certificate (NOC) is obtained for cable ducts or overhead line crossings over state or national highways or municipal roads, documenting the depth of installation and reinstatement standards met. Railway clearance certificate is obtained from the zonal railway authority for any overhead line crossings above railway tracks, verifying that the required vertical clearances as per IE Rules and railway specifications are maintained. Forest department clearance is obtained where the HT line route passes through reserved or protected forest areas, confirming that tree felling or pruning was carried out under the appropriate forest department permit. These clearances run in parallel because they involve different authorities and have independent processing timelines.</w:t>
      </w:r>
    </w:p>
    <w:p>
      <w:pPr>
        <w:spacing w:before="160" w:after="80"/>
      </w:pPr>
      <w:r>
        <w:rPr>
          <w:rFonts w:ascii="Calibri" w:hAnsi="Calibri"/>
          <w:b/>
          <w:sz w:val="22"/>
        </w:rPr>
        <w:t>15.5 All Clearances Received – Energization Authorization Confirmed</w:t>
      </w:r>
    </w:p>
    <w:p>
      <w:pPr>
        <w:spacing w:before="0" w:after="120"/>
        <w:jc w:val="both"/>
      </w:pPr>
      <w:r>
        <w:rPr>
          <w:rFonts w:ascii="Calibri" w:hAnsi="Calibri"/>
          <w:b w:val="0"/>
          <w:sz w:val="22"/>
        </w:rPr>
        <w:t>Upon receipt of the EI Safety Certificate, DISCOM PTCC, and all applicable NOCs and clearance certificates, the contractor issues a formal clearance dossier to the project manager confirming that all regulatory preconditions for energization have been met. The status transitions to "All Clearances Received" in the project management system, and the commissioning team is formally authorized to proceed with the energization sequence.</w:t>
      </w:r>
    </w:p>
    <w:p>
      <w:r>
        <w:br w:type="page"/>
      </w:r>
    </w:p>
    <w:p>
      <w:pPr>
        <w:spacing w:before="240" w:after="120"/>
      </w:pPr>
      <w:r>
        <w:rPr>
          <w:rFonts w:ascii="Calibri" w:hAnsi="Calibri"/>
          <w:b/>
          <w:sz w:val="28"/>
        </w:rPr>
        <w:t>WORKFLOW 16: Commissioning and Energization Process</w:t>
      </w:r>
    </w:p>
    <w:p>
      <w:pPr>
        <w:spacing w:before="0" w:after="120"/>
        <w:jc w:val="both"/>
      </w:pPr>
      <w:r>
        <w:rPr>
          <w:rFonts w:ascii="Calibri" w:hAnsi="Calibri"/>
          <w:b w:val="0"/>
          <w:sz w:val="22"/>
        </w:rPr>
        <w:t>The commissioning and energization phase is the culmination of all preceding design, procurement, civil, installation, and testing activities, transforming the completed and tested distribution network from a de-energized installation into a live system supplying power to consumers. This phase requires meticulous safety management, methodical step-by-step switching operations, and real-time measurement to confirm that the network is performing within designed parameters at each stage before proceeding to the next energization step. This phase cannot begin until all pre-commissioning clearances and regulatory approvals have been formally received.</w:t>
      </w:r>
    </w:p>
    <w:p>
      <w:r>
        <w:rPr>
          <w:rFonts w:ascii="Calibri" w:hAnsi="Calibri"/>
          <w:b/>
          <w:sz w:val="22"/>
        </w:rPr>
        <w:t>Flowchart:</w:t>
      </w:r>
    </w:p>
    <w:p>
      <w:pPr>
        <w:jc w:val="center"/>
      </w:pPr>
      <w:r>
        <w:drawing>
          <wp:inline xmlns:a="http://schemas.openxmlformats.org/drawingml/2006/main" xmlns:pic="http://schemas.openxmlformats.org/drawingml/2006/picture">
            <wp:extent cx="5486400" cy="6533597"/>
            <wp:docPr id="16" name="Picture 16"/>
            <wp:cNvGraphicFramePr>
              <a:graphicFrameLocks noChangeAspect="1"/>
            </wp:cNvGraphicFramePr>
            <a:graphic>
              <a:graphicData uri="http://schemas.openxmlformats.org/drawingml/2006/picture">
                <pic:pic>
                  <pic:nvPicPr>
                    <pic:cNvPr id="0" name="section_16.png"/>
                    <pic:cNvPicPr/>
                  </pic:nvPicPr>
                  <pic:blipFill>
                    <a:blip r:embed="rId24"/>
                    <a:stretch>
                      <a:fillRect/>
                    </a:stretch>
                  </pic:blipFill>
                  <pic:spPr>
                    <a:xfrm>
                      <a:off x="0" y="0"/>
                      <a:ext cx="5486400" cy="6533597"/>
                    </a:xfrm>
                    <a:prstGeom prst="rect"/>
                  </pic:spPr>
                </pic:pic>
              </a:graphicData>
            </a:graphic>
          </wp:inline>
        </w:drawing>
      </w:r>
    </w:p>
    <w:p>
      <w:pPr>
        <w:spacing w:before="160" w:after="80"/>
      </w:pPr>
      <w:r>
        <w:rPr>
          <w:rFonts w:ascii="Calibri" w:hAnsi="Calibri"/>
          <w:b/>
          <w:sz w:val="22"/>
        </w:rPr>
        <w:t>16.1 Pre-Energization Safety Check – Final Safety Verification</w:t>
      </w:r>
    </w:p>
    <w:p>
      <w:pPr>
        <w:spacing w:before="0" w:after="120"/>
        <w:jc w:val="both"/>
      </w:pPr>
      <w:r>
        <w:rPr>
          <w:rFonts w:ascii="Calibri" w:hAnsi="Calibri"/>
          <w:b w:val="0"/>
          <w:sz w:val="22"/>
        </w:rPr>
        <w:t>Immediately before initiating the energization sequence, the commissioning leader conducts a final safety walkover of the entire section to be energized. All workers are confirmed off the line route and at a safe distance from poles and equipment. All temporary earthing clamps that were applied during testing are removed and accounted for — missing earthing clamps will cause a fatal fault when the line is energized. All hardware bolts on poles, cross arms, and DTR connections are visually checked for tightness. Safety barriers, warning signs, and danger notices are in place at all public access points. The switching scheme is verbally briefed to all team members involved in the energization sequence, and radio communication is established between the source substation, DTR locations, and the commissioning leader.</w:t>
      </w:r>
    </w:p>
    <w:p>
      <w:pPr>
        <w:spacing w:before="160" w:after="80"/>
      </w:pPr>
      <w:r>
        <w:rPr>
          <w:rFonts w:ascii="Calibri" w:hAnsi="Calibri"/>
          <w:b/>
          <w:sz w:val="22"/>
        </w:rPr>
        <w:t>16.2 HT Line Step-by-Step Energization – Controlled Live Power Introduction</w:t>
      </w:r>
    </w:p>
    <w:p>
      <w:pPr>
        <w:spacing w:before="0" w:after="120"/>
        <w:jc w:val="both"/>
      </w:pPr>
      <w:r>
        <w:rPr>
          <w:rFonts w:ascii="Calibri" w:hAnsi="Calibri"/>
          <w:b w:val="0"/>
          <w:sz w:val="22"/>
        </w:rPr>
        <w:t>The HT line is energized from the source substation end in a step-by-step sequence controlled by the commissioning leader. The source substation feeder breaker or switch is closed, and the commissioning team at the sending end observes the switchgear for any immediate trip or flashover indication. The receiving end voltage is measured using a clamp meter or phase tester to confirm that voltage has appeared at the expected level. Phase sequence is verified at the receiving end to confirm correct phase rotation before any DTR connections are made. Any flashover, tripping, or abnormal indication requires the feeder to be de-energized, the cause investigated and rectified, and the energization sequence restarted.</w:t>
      </w:r>
    </w:p>
    <w:p>
      <w:pPr>
        <w:spacing w:before="160" w:after="80"/>
      </w:pPr>
      <w:r>
        <w:rPr>
          <w:rFonts w:ascii="Calibri" w:hAnsi="Calibri"/>
          <w:b/>
          <w:sz w:val="22"/>
        </w:rPr>
        <w:t>16.3 DTR Energization – Transformer Charging Sequence</w:t>
      </w:r>
    </w:p>
    <w:p>
      <w:pPr>
        <w:spacing w:before="0" w:after="120"/>
        <w:jc w:val="both"/>
      </w:pPr>
      <w:r>
        <w:rPr>
          <w:rFonts w:ascii="Calibri" w:hAnsi="Calibri"/>
          <w:b w:val="0"/>
          <w:sz w:val="22"/>
        </w:rPr>
        <w:t>Each DTR is charged in sequence by closing the HT AB switch or DO fuse. The DTR HT side is energized and the no-load LV secondary voltage is measured at the LT bushing terminals, which must read 415V ±5% phase-to-phase and 240V ±5% phase-to-neutral for a 415/240V secondary. Phase sequence on the LV side is verified using a phase rotation meter to confirm correct phase rotation before LT loads are connected. Neutral-to-earth voltage is checked to confirm that the neutral earthing is effective and the neutral is properly bonded to earth.</w:t>
      </w:r>
    </w:p>
    <w:p>
      <w:pPr>
        <w:spacing w:before="160" w:after="80"/>
      </w:pPr>
      <w:r>
        <w:rPr>
          <w:rFonts w:ascii="Calibri" w:hAnsi="Calibri"/>
          <w:b/>
          <w:sz w:val="22"/>
        </w:rPr>
        <w:t>16.4 LT Network Energization – Consumer Network Live Connection</w:t>
      </w:r>
    </w:p>
    <w:p>
      <w:pPr>
        <w:spacing w:before="0" w:after="120"/>
        <w:jc w:val="both"/>
      </w:pPr>
      <w:r>
        <w:rPr>
          <w:rFonts w:ascii="Calibri" w:hAnsi="Calibri"/>
          <w:b w:val="0"/>
          <w:sz w:val="22"/>
        </w:rPr>
        <w:t>LT feeder links are closed one by one from the DTR LT distribution board, with voltage measured at the feeder end after each link is closed to confirm that the voltage at the farthest consumer point is within the ±6% statutory limit. Load connections are made feeder by feeder, with load current measured at the DTR LT terminals after each feeder is loaded to confirm balanced phase loading and to verify that the DTR is not being overloaded.</w:t>
      </w:r>
    </w:p>
    <w:p>
      <w:pPr>
        <w:spacing w:before="160" w:after="80"/>
      </w:pPr>
      <w:r>
        <w:rPr>
          <w:rFonts w:ascii="Calibri" w:hAnsi="Calibri"/>
          <w:b/>
          <w:sz w:val="22"/>
        </w:rPr>
        <w:t>16.5 Smart Meter Live Verification – Metering System Online</w:t>
      </w:r>
    </w:p>
    <w:p>
      <w:pPr>
        <w:spacing w:before="0" w:after="120"/>
        <w:jc w:val="both"/>
      </w:pPr>
      <w:r>
        <w:rPr>
          <w:rFonts w:ascii="Calibri" w:hAnsi="Calibri"/>
          <w:b w:val="0"/>
          <w:sz w:val="22"/>
        </w:rPr>
        <w:t>Upon energization of each consumer's supply, the smart meter display is observed to confirm that the meter has powered up and is displaying energy consumption. Real-time energy consumption data is confirmed as visible on the HES portal for each newly energized consumer. The HES operator confirms that the meter communication status shows "Online" and that energy import data is being logged. Tamper seal condition is re-verified on each meter after energization.</w:t>
      </w:r>
    </w:p>
    <w:p>
      <w:pPr>
        <w:spacing w:before="160" w:after="80"/>
      </w:pPr>
      <w:r>
        <w:rPr>
          <w:rFonts w:ascii="Calibri" w:hAnsi="Calibri"/>
          <w:b/>
          <w:sz w:val="22"/>
        </w:rPr>
        <w:t>16.6 DA/SCADA Live System Commissioning – Automation Go-Live</w:t>
      </w:r>
    </w:p>
    <w:p>
      <w:pPr>
        <w:spacing w:before="0" w:after="120"/>
        <w:jc w:val="both"/>
      </w:pPr>
      <w:r>
        <w:rPr>
          <w:rFonts w:ascii="Calibri" w:hAnsi="Calibri"/>
          <w:b w:val="0"/>
          <w:sz w:val="22"/>
        </w:rPr>
        <w:t>With all field devices energized, the SCADA system is confirmed to be displaying live real-time status for all FRTUs, auto reclosers, and sectionalizers. An auto recloser live operation test is performed under safe controlled conditions to confirm that the recloser operates correctly on live HV. Remote switching operation from the SCADA workstation is tested for each controllable device to confirm the two-way communication and control capability. The FLISR system is set to Automatic mode after confirming that all logic settings are verified and the field devices are responding correctly.</w:t>
      </w:r>
    </w:p>
    <w:p>
      <w:pPr>
        <w:spacing w:before="160" w:after="80"/>
      </w:pPr>
      <w:r>
        <w:rPr>
          <w:rFonts w:ascii="Calibri" w:hAnsi="Calibri"/>
          <w:b/>
          <w:sz w:val="22"/>
        </w:rPr>
        <w:t>16.7 Commissioning Completion – System Live Milestone</w:t>
      </w:r>
    </w:p>
    <w:p>
      <w:pPr>
        <w:spacing w:before="0" w:after="120"/>
        <w:jc w:val="both"/>
      </w:pPr>
      <w:r>
        <w:rPr>
          <w:rFonts w:ascii="Calibri" w:hAnsi="Calibri"/>
          <w:b w:val="0"/>
          <w:sz w:val="22"/>
        </w:rPr>
        <w:t>Upon successful energization of all loads, acceptable voltage profile across the network, all meters actively communicating with the HES, and the SCADA system displaying live data for all field devices, the commissioning completion is formally documented. A commissioning sign-off certificate is prepared and signed by the contractor's commissioning engineer and the DISCOM's authorized representative. The system status transitions to "System Commissioned" in the project management system, and the trial run phase commences from this date.</w:t>
      </w:r>
    </w:p>
    <w:p>
      <w:r>
        <w:br w:type="page"/>
      </w:r>
    </w:p>
    <w:p>
      <w:pPr>
        <w:spacing w:before="240" w:after="120"/>
      </w:pPr>
      <w:r>
        <w:rPr>
          <w:rFonts w:ascii="Calibri" w:hAnsi="Calibri"/>
          <w:b/>
          <w:sz w:val="28"/>
        </w:rPr>
        <w:t>WORKFLOW 17: Trial Run and Performance Monitoring Process</w:t>
      </w:r>
    </w:p>
    <w:p>
      <w:pPr>
        <w:spacing w:before="0" w:after="120"/>
        <w:jc w:val="both"/>
      </w:pPr>
      <w:r>
        <w:rPr>
          <w:rFonts w:ascii="Calibri" w:hAnsi="Calibri"/>
          <w:b w:val="0"/>
          <w:sz w:val="22"/>
        </w:rPr>
        <w:t>The trial run and performance monitoring phase is the structured period of supervised system operation during which the commissioned distribution network is monitored under normal load conditions to verify that it consistently performs within all contractual technical parameters. This phase is particularly important for Distribution EPC projects because performance guarantees related to voltage regulation, AT&amp;C loss reduction, and smart meter communication success rates are contractual commitments that must be demonstrated before the client accepts the project. The trial run period begins on the day of commissioning sign-off and continues for the duration specified in the contract, typically 30 days for scheme-funded projects.</w:t>
      </w:r>
    </w:p>
    <w:p>
      <w:r>
        <w:rPr>
          <w:rFonts w:ascii="Calibri" w:hAnsi="Calibri"/>
          <w:b/>
          <w:sz w:val="22"/>
        </w:rPr>
        <w:t>Flowchart:</w:t>
      </w:r>
    </w:p>
    <w:p>
      <w:pPr>
        <w:jc w:val="center"/>
      </w:pPr>
      <w:r>
        <w:drawing>
          <wp:inline xmlns:a="http://schemas.openxmlformats.org/drawingml/2006/main" xmlns:pic="http://schemas.openxmlformats.org/drawingml/2006/picture">
            <wp:extent cx="5486400" cy="6002275"/>
            <wp:docPr id="17" name="Picture 17"/>
            <wp:cNvGraphicFramePr>
              <a:graphicFrameLocks noChangeAspect="1"/>
            </wp:cNvGraphicFramePr>
            <a:graphic>
              <a:graphicData uri="http://schemas.openxmlformats.org/drawingml/2006/picture">
                <pic:pic>
                  <pic:nvPicPr>
                    <pic:cNvPr id="0" name="section_17.png"/>
                    <pic:cNvPicPr/>
                  </pic:nvPicPr>
                  <pic:blipFill>
                    <a:blip r:embed="rId25"/>
                    <a:stretch>
                      <a:fillRect/>
                    </a:stretch>
                  </pic:blipFill>
                  <pic:spPr>
                    <a:xfrm>
                      <a:off x="0" y="0"/>
                      <a:ext cx="5486400" cy="6002275"/>
                    </a:xfrm>
                    <a:prstGeom prst="rect"/>
                  </pic:spPr>
                </pic:pic>
              </a:graphicData>
            </a:graphic>
          </wp:inline>
        </w:drawing>
      </w:r>
    </w:p>
    <w:p>
      <w:pPr>
        <w:spacing w:before="160" w:after="80"/>
      </w:pPr>
      <w:r>
        <w:rPr>
          <w:rFonts w:ascii="Calibri" w:hAnsi="Calibri"/>
          <w:b/>
          <w:sz w:val="22"/>
        </w:rPr>
        <w:t>17.1 Trial Run Start – Operational Observation Begins</w:t>
      </w:r>
    </w:p>
    <w:p>
      <w:pPr>
        <w:spacing w:before="0" w:after="120"/>
        <w:jc w:val="both"/>
      </w:pPr>
      <w:r>
        <w:rPr>
          <w:rFonts w:ascii="Calibri" w:hAnsi="Calibri"/>
          <w:b w:val="0"/>
          <w:sz w:val="22"/>
        </w:rPr>
        <w:t>The trial run period formally commences from the date of commissioning completion sign-off. The contractor's monitoring team is deployed for the full trial run duration, covering all DTR zones, feeder sections, and AMI communication zones. A monitoring plan is prepared and agreed with the DISCOM specifying the parameters to be monitored, measurement frequency, reporting format, and escalation procedure for abnormal events. The baseline performance parameters are recorded on the first day of trial run as the starting reference.</w:t>
      </w:r>
    </w:p>
    <w:p>
      <w:pPr>
        <w:spacing w:before="160" w:after="80"/>
      </w:pPr>
      <w:r>
        <w:rPr>
          <w:rFonts w:ascii="Calibri" w:hAnsi="Calibri"/>
          <w:b/>
          <w:sz w:val="22"/>
        </w:rPr>
        <w:t>17.2 Continuous Parallel Monitoring Activities – Performance Data Collection</w:t>
      </w:r>
    </w:p>
    <w:p>
      <w:pPr>
        <w:spacing w:before="0" w:after="120"/>
        <w:jc w:val="both"/>
      </w:pPr>
      <w:r>
        <w:rPr>
          <w:rFonts w:ascii="Calibri" w:hAnsi="Calibri"/>
          <w:b w:val="0"/>
          <w:sz w:val="22"/>
        </w:rPr>
        <w:t>Multiple performance parameters are monitored simultaneously throughout the trial run period. Daily voltage profile monitoring is conducted at the DTR LT bus bar at peak load and off-peak conditions using calibrated clamp meters, with results recorded against the acceptable ±6% limit. Daily load current monitoring at each DTR records the three-phase currents to monitor load growth, phase unbalance, and peak demand against transformer rated capacity. Power factor is monitored at the substation feeder level and at DTR locations where capacitor banks are installed. All outages are recorded with fault type (HT line fault, LT line fault, DTR failure, cable fault, third-party damage), location, time of occurrence, and time of restoration. Smart meter daily data pull success rate is monitored per DCU zone, with the daily communication success rate trend tracked against the 95% target. All monitoring activities run simultaneously throughout the trial period.</w:t>
      </w:r>
    </w:p>
    <w:p>
      <w:pPr>
        <w:spacing w:before="160" w:after="80"/>
      </w:pPr>
      <w:r>
        <w:rPr>
          <w:rFonts w:ascii="Calibri" w:hAnsi="Calibri"/>
          <w:b/>
          <w:sz w:val="22"/>
        </w:rPr>
        <w:t>17.3 AT&amp;C Loss Measurement – Technical and Commercial Loss Calculation</w:t>
      </w:r>
    </w:p>
    <w:p>
      <w:pPr>
        <w:spacing w:before="0" w:after="120"/>
        <w:jc w:val="both"/>
      </w:pPr>
      <w:r>
        <w:rPr>
          <w:rFonts w:ascii="Calibri" w:hAnsi="Calibri"/>
          <w:b w:val="0"/>
          <w:sz w:val="22"/>
        </w:rPr>
        <w:t>At the end of the trial run period, the AT&amp;C (Aggregate Technical and Commercial) loss is calculated as the primary performance indicator for distribution projects. Energy input is measured from the DTR meter or the feeder energy meter at the source substation. Energy billed is aggregated from smart meter readings for all consumers in the project area for the same billing period. AT&amp;C loss is calculated as the percentage difference between energy input and energy billed as a fraction of energy input. The calculated AT&amp;C loss is compared against the contractual target specified in the project agreement, and the loss report with supporting data is formally submitted to the DISCOM.</w:t>
      </w:r>
    </w:p>
    <w:p>
      <w:pPr>
        <w:spacing w:before="160" w:after="80"/>
      </w:pPr>
      <w:r>
        <w:rPr>
          <w:rFonts w:ascii="Calibri" w:hAnsi="Calibri"/>
          <w:b/>
          <w:sz w:val="22"/>
        </w:rPr>
        <w:t>17.4 Stabilization Phase – Defect Correction and Performance Optimization</w:t>
      </w:r>
    </w:p>
    <w:p>
      <w:pPr>
        <w:spacing w:before="0" w:after="120"/>
        <w:jc w:val="both"/>
      </w:pPr>
      <w:r>
        <w:rPr>
          <w:rFonts w:ascii="Calibri" w:hAnsi="Calibri"/>
          <w:b w:val="0"/>
          <w:sz w:val="22"/>
        </w:rPr>
        <w:t>During the trial run, system performance issues are identified and resolved on a rolling basis. Voltage regulation problems at feeder ends are corrected by adjusting the DTR tap changer to a higher voltage tap or by upgrading undersized conductors if the voltage drop exceeds the limit. Loose connections causing hot spots or intermittent failures are identified through thermal imaging and tightened. Earth resistance values that have degraded since initial measurement are improved by adding more electrodes or by treatment of the earth pit. Smart meter communication failures are resolved by adjusting RF channel assignments, installing repeater nodes, or replacing faulty communication modules. SCADA alarm thresholds are fine-tuned based on observed operational data to reduce nuisance alarms without masking genuine system events.</w:t>
      </w:r>
    </w:p>
    <w:p>
      <w:pPr>
        <w:spacing w:before="160" w:after="80"/>
      </w:pPr>
      <w:r>
        <w:rPr>
          <w:rFonts w:ascii="Calibri" w:hAnsi="Calibri"/>
          <w:b/>
          <w:sz w:val="22"/>
        </w:rPr>
        <w:t>17.5 Performance Verification – Sustained Operational Validation</w:t>
      </w:r>
    </w:p>
    <w:p>
      <w:pPr>
        <w:spacing w:before="0" w:after="120"/>
        <w:jc w:val="both"/>
      </w:pPr>
      <w:r>
        <w:rPr>
          <w:rFonts w:ascii="Calibri" w:hAnsi="Calibri"/>
          <w:b w:val="0"/>
          <w:sz w:val="22"/>
        </w:rPr>
        <w:t>At the conclusion of the trial run period, a formal performance verification is conducted to confirm that all contractual performance parameters have been achieved and sustained. Voltage measurements at all specified measurement points must demonstrate compliance with the ±6% limit for the full trial period. AT&amp;C loss must be within the contractual target. Smart meter communication rate averaged over the trial period must exceed 95% per DCU zone. SCADA system uptime must exceed 99% for the trial period. All performance data is compiled into a trial run completion report.</w:t>
      </w:r>
    </w:p>
    <w:p>
      <w:pPr>
        <w:spacing w:before="160" w:after="80"/>
      </w:pPr>
      <w:r>
        <w:rPr>
          <w:rFonts w:ascii="Calibri" w:hAnsi="Calibri"/>
          <w:b/>
          <w:sz w:val="22"/>
        </w:rPr>
        <w:t>17.6 Trial Run Completion Milestone – Performance Stabilization Confirmed</w:t>
      </w:r>
    </w:p>
    <w:p>
      <w:pPr>
        <w:spacing w:before="0" w:after="120"/>
        <w:jc w:val="both"/>
      </w:pPr>
      <w:r>
        <w:rPr>
          <w:rFonts w:ascii="Calibri" w:hAnsi="Calibri"/>
          <w:b w:val="0"/>
          <w:sz w:val="22"/>
        </w:rPr>
        <w:t>Upon satisfactory completion of the trial run period with all performance parameters met, the contractor issues a trial run completion report and requests formal DISCOM acknowledgment. The DISCOM reviews the trial run data and provides written confirmation of trial run completion. The system status transitions to "Trial Run Complete" in the project management system and the project proceeds to the handover and acceptance phase.</w:t>
      </w:r>
    </w:p>
    <w:p>
      <w:pPr>
        <w:spacing w:before="160" w:after="80"/>
      </w:pPr>
      <w:r>
        <w:rPr>
          <w:rFonts w:ascii="Calibri" w:hAnsi="Calibri"/>
          <w:b/>
          <w:sz w:val="22"/>
        </w:rPr>
        <w:t>17.7 Snagging and Final Closure Preparation – Residual Defect Resolution</w:t>
      </w:r>
    </w:p>
    <w:p>
      <w:pPr>
        <w:spacing w:before="0" w:after="120"/>
        <w:jc w:val="both"/>
      </w:pPr>
      <w:r>
        <w:rPr>
          <w:rFonts w:ascii="Calibri" w:hAnsi="Calibri"/>
          <w:b w:val="0"/>
          <w:sz w:val="22"/>
        </w:rPr>
        <w:t>Any outstanding snagging items identified during the trial run period that are not yet closed are compiled into a final snagging list and assigned for resolution before the handover inspection. The contractor's project team prepares the documentation for the handover package, ensuring as-built drawings, test records, and O&amp;M manuals are complete and ready for formal submission.</w:t>
      </w:r>
    </w:p>
    <w:p>
      <w:r>
        <w:br w:type="page"/>
      </w:r>
    </w:p>
    <w:p>
      <w:pPr>
        <w:spacing w:before="240" w:after="120"/>
      </w:pPr>
      <w:r>
        <w:rPr>
          <w:rFonts w:ascii="Calibri" w:hAnsi="Calibri"/>
          <w:b/>
          <w:sz w:val="28"/>
        </w:rPr>
        <w:t>WORKFLOW 18: Project Handover and Client Acceptance Process</w:t>
      </w:r>
    </w:p>
    <w:p>
      <w:pPr>
        <w:spacing w:before="0" w:after="120"/>
        <w:jc w:val="both"/>
      </w:pPr>
      <w:r>
        <w:rPr>
          <w:rFonts w:ascii="Calibri" w:hAnsi="Calibri"/>
          <w:b w:val="0"/>
          <w:sz w:val="22"/>
        </w:rPr>
        <w:t>The project handover and client acceptance phase is the formal process through which the contractor transfers ownership, responsibility, and technical documentation of the completed distribution network to the DISCOM as the asset owner and operator. This phase is the commercial milestone that triggers the release of retention money under the contract and formally begins the Defect Liability Period (DLP). A successful handover requires not only that the physical infrastructure is operational but that complete and accurate technical documentation, consumer data, and GIS records are transferred to enable the DISCOM to operate and maintain the network effectively.</w:t>
      </w:r>
    </w:p>
    <w:p>
      <w:r>
        <w:rPr>
          <w:rFonts w:ascii="Calibri" w:hAnsi="Calibri"/>
          <w:b/>
          <w:sz w:val="22"/>
        </w:rPr>
        <w:t>Flowchart:</w:t>
      </w:r>
    </w:p>
    <w:p>
      <w:pPr>
        <w:jc w:val="center"/>
      </w:pPr>
      <w:r>
        <w:drawing>
          <wp:inline xmlns:a="http://schemas.openxmlformats.org/drawingml/2006/main" xmlns:pic="http://schemas.openxmlformats.org/drawingml/2006/picture">
            <wp:extent cx="5486400" cy="5810320"/>
            <wp:docPr id="18" name="Picture 18"/>
            <wp:cNvGraphicFramePr>
              <a:graphicFrameLocks noChangeAspect="1"/>
            </wp:cNvGraphicFramePr>
            <a:graphic>
              <a:graphicData uri="http://schemas.openxmlformats.org/drawingml/2006/picture">
                <pic:pic>
                  <pic:nvPicPr>
                    <pic:cNvPr id="0" name="section_18.png"/>
                    <pic:cNvPicPr/>
                  </pic:nvPicPr>
                  <pic:blipFill>
                    <a:blip r:embed="rId26"/>
                    <a:stretch>
                      <a:fillRect/>
                    </a:stretch>
                  </pic:blipFill>
                  <pic:spPr>
                    <a:xfrm>
                      <a:off x="0" y="0"/>
                      <a:ext cx="5486400" cy="5810320"/>
                    </a:xfrm>
                    <a:prstGeom prst="rect"/>
                  </pic:spPr>
                </pic:pic>
              </a:graphicData>
            </a:graphic>
          </wp:inline>
        </w:drawing>
      </w:r>
    </w:p>
    <w:p>
      <w:pPr>
        <w:spacing w:before="160" w:after="80"/>
      </w:pPr>
      <w:r>
        <w:rPr>
          <w:rFonts w:ascii="Calibri" w:hAnsi="Calibri"/>
          <w:b/>
          <w:sz w:val="22"/>
        </w:rPr>
        <w:t>18.1 Documentation Compilation – Handover Package Preparation</w:t>
      </w:r>
    </w:p>
    <w:p>
      <w:pPr>
        <w:spacing w:before="0" w:after="120"/>
        <w:jc w:val="both"/>
      </w:pPr>
      <w:r>
        <w:rPr>
          <w:rFonts w:ascii="Calibri" w:hAnsi="Calibri"/>
          <w:b w:val="0"/>
          <w:sz w:val="22"/>
        </w:rPr>
        <w:t>The contractor's technical team compiles the complete handover documentation package. As-built drawings are prepared from the IFC drawings incorporating all field deviations, showing HT and LT route alignments with GPS-referenced pole positions, DTR locations, service connection points for each consumer, UG cable route with joint locations and depths, and DA/SCADA field device locations. Test certificates are compiled covering IR tests, earth resistance records, VLF hipot test reports, oil BDV and TTR test records, smart meter accuracy test records, and SCADA integration test reports. Material reconciliation is prepared showing the quantity issued from store, quantity installed, and balance quantity for each material item. The consumer list is finalized with each consumer's account ID, name, address, service connection number, smart meter serial number, and DTR/feeder mapping. Operation and maintenance manuals for all major equipment including DTRs, smart meters, auto reclosers, FRTUs, and SCADA system are compiled and organized into the handover binder.</w:t>
      </w:r>
    </w:p>
    <w:p>
      <w:pPr>
        <w:spacing w:before="160" w:after="80"/>
      </w:pPr>
      <w:r>
        <w:rPr>
          <w:rFonts w:ascii="Calibri" w:hAnsi="Calibri"/>
          <w:b/>
          <w:sz w:val="22"/>
        </w:rPr>
        <w:t>18.2 Parallel Handover Documentation Activities – Simultaneous Compilation</w:t>
      </w:r>
    </w:p>
    <w:p>
      <w:pPr>
        <w:spacing w:before="0" w:after="120"/>
        <w:jc w:val="both"/>
      </w:pPr>
      <w:r>
        <w:rPr>
          <w:rFonts w:ascii="Calibri" w:hAnsi="Calibri"/>
          <w:b w:val="0"/>
          <w:sz w:val="22"/>
        </w:rPr>
        <w:t>Several digital data submission activities proceed in parallel to update the DISCOM's system records. As-built GIS data is uploaded to the DISCOM's GIS system or DISCOM's enterprise GIS application, georeferencing all poles, DTRs, switches, cables, and service connection points in the standardized data format specified by the DISCOM. Consumer data is transferred from the contractor's installation database to the DISCOM's billing system, updating each consumer record with the new smart meter number and opening reading. Asset registration is completed in the DISCOM's asset management system, registering each new DTR, auto recloser, cable run, and smart meter with its asset tag, specifications, and installation date. These activities run in parallel because they involve different teams and different DISCOM system administrators.</w:t>
      </w:r>
    </w:p>
    <w:p>
      <w:pPr>
        <w:spacing w:before="160" w:after="80"/>
      </w:pPr>
      <w:r>
        <w:rPr>
          <w:rFonts w:ascii="Calibri" w:hAnsi="Calibri"/>
          <w:b/>
          <w:sz w:val="22"/>
        </w:rPr>
        <w:t>18.3 Client Walk-Through and Acceptance Inspection – Final Verification</w:t>
      </w:r>
    </w:p>
    <w:p>
      <w:pPr>
        <w:spacing w:before="0" w:after="120"/>
        <w:jc w:val="both"/>
      </w:pPr>
      <w:r>
        <w:rPr>
          <w:rFonts w:ascii="Calibri" w:hAnsi="Calibri"/>
          <w:b w:val="0"/>
          <w:sz w:val="22"/>
        </w:rPr>
        <w:t>A formal joint inspection is conducted with the DISCOM field team, the DISCOM project manager, and the contractor's project team. The inspection covers a representative sample of HT line sections and LT network routes, all DTR locations, smart meter installations in each zone, DA/SCADA field device installations, and the control room SCADA display. The punch list from the pre-commissioning phase is reviewed, and all items are confirmed closed. Any new observations from the walk-through are added to an acceptance punch list for resolution before PAC.</w:t>
      </w:r>
    </w:p>
    <w:p>
      <w:pPr>
        <w:spacing w:before="160" w:after="80"/>
      </w:pPr>
      <w:r>
        <w:rPr>
          <w:rFonts w:ascii="Calibri" w:hAnsi="Calibri"/>
          <w:b/>
          <w:sz w:val="22"/>
        </w:rPr>
        <w:t>18.4 PAC Issued – Provisional Acceptance Certificate</w:t>
      </w:r>
    </w:p>
    <w:p>
      <w:pPr>
        <w:spacing w:before="0" w:after="120"/>
        <w:jc w:val="both"/>
      </w:pPr>
      <w:r>
        <w:rPr>
          <w:rFonts w:ascii="Calibri" w:hAnsi="Calibri"/>
          <w:b w:val="0"/>
          <w:sz w:val="22"/>
        </w:rPr>
        <w:t>Upon successful completion of the client walk-through inspection and closure of all acceptance punch list items, the DISCOM issues the Provisional Acceptance Certificate (PAC). The PAC formally acknowledges that the project has been constructed and commissioned in accordance with the contract and marks the beginning of the Defect Liability Period (DLP). Partial retention money is released as specified in the contract terms following PAC issuance, and the system status transitions to "PAC Issued."</w:t>
      </w:r>
    </w:p>
    <w:p>
      <w:pPr>
        <w:spacing w:before="160" w:after="80"/>
      </w:pPr>
      <w:r>
        <w:rPr>
          <w:rFonts w:ascii="Calibri" w:hAnsi="Calibri"/>
          <w:b/>
          <w:sz w:val="22"/>
        </w:rPr>
        <w:t>18.5 Regulatory Asset Handover – DISCOM Integration</w:t>
      </w:r>
    </w:p>
    <w:p>
      <w:pPr>
        <w:spacing w:before="0" w:after="120"/>
        <w:jc w:val="both"/>
      </w:pPr>
      <w:r>
        <w:rPr>
          <w:rFonts w:ascii="Calibri" w:hAnsi="Calibri"/>
          <w:b w:val="0"/>
          <w:sz w:val="22"/>
        </w:rPr>
        <w:t>The physical network and all associated regulatory documentation are formally transferred to the DISCOM's section office. Line section details are registered in the DISCOM's section office records including route length, conductor type, pole count, and protection settings. The feeder topology is updated in the DISCOM's SCADA system to reflect the new network additions. Consumer connections in the project area are formally transferred from the contractor's project administration to the DISCOM's billing, revenue, and field operations departments.</w:t>
      </w:r>
    </w:p>
    <w:p>
      <w:pPr>
        <w:spacing w:before="160" w:after="80"/>
      </w:pPr>
      <w:r>
        <w:rPr>
          <w:rFonts w:ascii="Calibri" w:hAnsi="Calibri"/>
          <w:b/>
          <w:sz w:val="22"/>
        </w:rPr>
        <w:t>18.6 Final Bill Submission and Payment – Financial Closure</w:t>
      </w:r>
    </w:p>
    <w:p>
      <w:pPr>
        <w:spacing w:before="0" w:after="120"/>
        <w:jc w:val="both"/>
      </w:pPr>
      <w:r>
        <w:rPr>
          <w:rFonts w:ascii="Calibri" w:hAnsi="Calibri"/>
          <w:b w:val="0"/>
          <w:sz w:val="22"/>
        </w:rPr>
        <w:t>The contractor submits the final project invoice covering all completed work quantities, approved variation orders, and any contractual price adjustments. The measurement book (MB) is finalized with DISCOM-witnessed measurements of all executed quantities. The final bill is submitted to the DISCOM for processing through the standard DISCOM payment approval chain, and payment is received within the contractual payment period.</w:t>
      </w:r>
    </w:p>
    <w:p>
      <w:pPr>
        <w:spacing w:before="160" w:after="80"/>
      </w:pPr>
      <w:r>
        <w:rPr>
          <w:rFonts w:ascii="Calibri" w:hAnsi="Calibri"/>
          <w:b/>
          <w:sz w:val="22"/>
        </w:rPr>
        <w:t>18.7 Project Handover Completion – DISCOM Operational Takeover</w:t>
      </w:r>
    </w:p>
    <w:p>
      <w:pPr>
        <w:spacing w:before="0" w:after="120"/>
        <w:jc w:val="both"/>
      </w:pPr>
      <w:r>
        <w:rPr>
          <w:rFonts w:ascii="Calibri" w:hAnsi="Calibri"/>
          <w:b w:val="0"/>
          <w:sz w:val="22"/>
        </w:rPr>
        <w:t>The DISCOM formally takes operational responsibility for the distribution network from the date of PAC. The contractor's project team begins reducing site presence, retaining only the DLP warranty support team. The project management system status transitions to "Project Handed Over" and the DLP phase commences under the terms of the contract.</w:t>
      </w:r>
    </w:p>
    <w:p>
      <w:r>
        <w:br w:type="page"/>
      </w:r>
    </w:p>
    <w:p>
      <w:pPr>
        <w:spacing w:before="240" w:after="120"/>
      </w:pPr>
      <w:r>
        <w:rPr>
          <w:rFonts w:ascii="Calibri" w:hAnsi="Calibri"/>
          <w:b/>
          <w:sz w:val="28"/>
        </w:rPr>
        <w:t>WORKFLOW 19: Defect Liability Period, Warranty Support and Performance Assurance Process</w:t>
      </w:r>
    </w:p>
    <w:p>
      <w:pPr>
        <w:spacing w:before="0" w:after="120"/>
        <w:jc w:val="both"/>
      </w:pPr>
      <w:r>
        <w:rPr>
          <w:rFonts w:ascii="Calibri" w:hAnsi="Calibri"/>
          <w:b w:val="0"/>
          <w:sz w:val="22"/>
        </w:rPr>
        <w:t>The Defect Liability Period (DLP) and warranty support phase is the post-handover commitment period during which the contractor remains responsible for attending to and rectifying any defects in materials or workmanship that emerge during normal operation of the distribution network. Distribution projects under central government schemes typically have a DLP of 12 to 24 months from the date of PAC, during which the contractor must maintain a responsive presence to protect the reliability of the consumer supply and fulfill the warranty obligations of the contract. This phase also provides the opportunity to monitor and demonstrate long-term system performance metrics such as AT&amp;C loss and smart meter communication rates.</w:t>
      </w:r>
    </w:p>
    <w:p>
      <w:r>
        <w:rPr>
          <w:rFonts w:ascii="Calibri" w:hAnsi="Calibri"/>
          <w:b/>
          <w:sz w:val="22"/>
        </w:rPr>
        <w:t>Flowchart:</w:t>
      </w:r>
    </w:p>
    <w:p>
      <w:pPr>
        <w:jc w:val="center"/>
      </w:pPr>
      <w:r>
        <w:drawing>
          <wp:inline xmlns:a="http://schemas.openxmlformats.org/drawingml/2006/main" xmlns:pic="http://schemas.openxmlformats.org/drawingml/2006/picture">
            <wp:extent cx="5486400" cy="4030538"/>
            <wp:docPr id="19" name="Picture 19"/>
            <wp:cNvGraphicFramePr>
              <a:graphicFrameLocks noChangeAspect="1"/>
            </wp:cNvGraphicFramePr>
            <a:graphic>
              <a:graphicData uri="http://schemas.openxmlformats.org/drawingml/2006/picture">
                <pic:pic>
                  <pic:nvPicPr>
                    <pic:cNvPr id="0" name="section_19.png"/>
                    <pic:cNvPicPr/>
                  </pic:nvPicPr>
                  <pic:blipFill>
                    <a:blip r:embed="rId27"/>
                    <a:stretch>
                      <a:fillRect/>
                    </a:stretch>
                  </pic:blipFill>
                  <pic:spPr>
                    <a:xfrm>
                      <a:off x="0" y="0"/>
                      <a:ext cx="5486400" cy="4030538"/>
                    </a:xfrm>
                    <a:prstGeom prst="rect"/>
                  </pic:spPr>
                </pic:pic>
              </a:graphicData>
            </a:graphic>
          </wp:inline>
        </w:drawing>
      </w:r>
    </w:p>
    <w:p>
      <w:pPr>
        <w:spacing w:before="160" w:after="80"/>
      </w:pPr>
      <w:r>
        <w:rPr>
          <w:rFonts w:ascii="Calibri" w:hAnsi="Calibri"/>
          <w:b/>
          <w:sz w:val="22"/>
        </w:rPr>
        <w:t>19.1 DLP Commences – Start of Warranty and Defect Liability Period</w:t>
      </w:r>
    </w:p>
    <w:p>
      <w:pPr>
        <w:spacing w:before="0" w:after="120"/>
        <w:jc w:val="both"/>
      </w:pPr>
      <w:r>
        <w:rPr>
          <w:rFonts w:ascii="Calibri" w:hAnsi="Calibri"/>
          <w:b w:val="0"/>
          <w:sz w:val="22"/>
        </w:rPr>
        <w:t>The DLP begins from the PAC date and continues for the contractually specified period, typically 12 to 24 months for distribution EPC projects. The DLP calendar is formally recorded in the project management system with start date, end date, and milestone inspection dates. The contractor maintains a reduced but capable DLP team at the project site consisting of a DLP Engineer, skilled lineman, and storekeeper with a stock of essential spares covering common failure items. The DLP team is provided with the necessary tools, transport, and communication to respond rapidly to DISCOM defect notifications.</w:t>
      </w:r>
    </w:p>
    <w:p>
      <w:pPr>
        <w:spacing w:before="160" w:after="80"/>
      </w:pPr>
      <w:r>
        <w:rPr>
          <w:rFonts w:ascii="Calibri" w:hAnsi="Calibri"/>
          <w:b/>
          <w:sz w:val="22"/>
        </w:rPr>
        <w:t>19.2 Periodic Inspection and O&amp;M Monitoring – Proactive Maintenance Support</w:t>
      </w:r>
    </w:p>
    <w:p>
      <w:pPr>
        <w:spacing w:before="0" w:after="120"/>
        <w:jc w:val="both"/>
      </w:pPr>
      <w:r>
        <w:rPr>
          <w:rFonts w:ascii="Calibri" w:hAnsi="Calibri"/>
          <w:b w:val="0"/>
          <w:sz w:val="22"/>
        </w:rPr>
        <w:t>The contractor conducts scheduled proactive inspections during the DLP to identify emerging defects before they cause failures. Quarterly inspections cover route walkover for conductor condition, hardware looseness, insulator condition, vegetation clearance, and DTR oil level and temperature indicator checks. Biannual inspections include earth resistance re-measurement at each DTR to confirm no deterioration, bushing cleaning and condition assessment, and smart meter communication health review per DCU zone. SCADA device status is reviewed during each visit to confirm FRTU health and battery condition. Inspection findings are reported to the DISCOM and defects identified during proactive inspection are repaired as warranty work.</w:t>
      </w:r>
    </w:p>
    <w:p>
      <w:pPr>
        <w:spacing w:before="160" w:after="80"/>
      </w:pPr>
      <w:r>
        <w:rPr>
          <w:rFonts w:ascii="Calibri" w:hAnsi="Calibri"/>
          <w:b/>
          <w:sz w:val="22"/>
        </w:rPr>
        <w:t>19.3 Defect Attendance – Defect Resolution and Warranty Support Loop</w:t>
      </w:r>
    </w:p>
    <w:p>
      <w:pPr>
        <w:spacing w:before="0" w:after="120"/>
        <w:jc w:val="both"/>
      </w:pPr>
      <w:r>
        <w:rPr>
          <w:rFonts w:ascii="Calibri" w:hAnsi="Calibri"/>
          <w:b w:val="0"/>
          <w:sz w:val="22"/>
        </w:rPr>
        <w:t>When a defect notification is received from the DISCOM, the DLP team mobilizes within the response time committed in the contract, typically 24 hours for network faults affecting consumer supply and 72 hours for non-urgent defects. Root cause analysis is conducted to determine whether the failure is due to defective material, workmanship deficiency, or normal operational damage outside the warranty scope. Warranty-covered defects are repaired or replaced at the contractor's cost, including conductor joint failure repair, broken insulator replacement, DTR warranty replacement, smart meter replacement due to functional failure, or FRTU communication module replacement. Defect closure confirmation is obtained from the DISCOM in writing after each rectification, and the defect register is updated with the closure entry.</w:t>
      </w:r>
    </w:p>
    <w:p>
      <w:pPr>
        <w:spacing w:before="160" w:after="80"/>
      </w:pPr>
      <w:r>
        <w:rPr>
          <w:rFonts w:ascii="Calibri" w:hAnsi="Calibri"/>
          <w:b/>
          <w:sz w:val="22"/>
        </w:rPr>
        <w:t>19.4 Vendor Warranty Claims – Back-to-Back Warranty Management</w:t>
      </w:r>
    </w:p>
    <w:p>
      <w:pPr>
        <w:spacing w:before="0" w:after="120"/>
        <w:jc w:val="both"/>
      </w:pPr>
      <w:r>
        <w:rPr>
          <w:rFonts w:ascii="Calibri" w:hAnsi="Calibri"/>
          <w:b w:val="0"/>
          <w:sz w:val="22"/>
        </w:rPr>
        <w:t>When a major equipment failure occurs during the DLP that is attributable to manufacturing defect, a warranty claim is lodged with the equipment manufacturer under the back-to-back warranty provisions. For DTR failures within the manufacturer's warranty period, the claim includes the failure description, installation date, operating conditions, and factory failure analysis request. The replacement DTR is procured from the manufacturer under warranty and installed as an emergency replacement to restore consumer supply. Smart meter warranty replacement is managed through the meter manufacturer's warranty process, with batch replacement conducted when systematic failures indicate a common defect in a specific production batch.</w:t>
      </w:r>
    </w:p>
    <w:p>
      <w:pPr>
        <w:spacing w:before="160" w:after="80"/>
      </w:pPr>
      <w:r>
        <w:rPr>
          <w:rFonts w:ascii="Calibri" w:hAnsi="Calibri"/>
          <w:b/>
          <w:sz w:val="22"/>
        </w:rPr>
        <w:t>19.5 End-of-DLP Inspection – Final Warranty Closure Verification</w:t>
      </w:r>
    </w:p>
    <w:p>
      <w:pPr>
        <w:spacing w:before="0" w:after="120"/>
        <w:jc w:val="both"/>
      </w:pPr>
      <w:r>
        <w:rPr>
          <w:rFonts w:ascii="Calibri" w:hAnsi="Calibri"/>
          <w:b w:val="0"/>
          <w:sz w:val="22"/>
        </w:rPr>
        <w:t>At the expiry of the DLP period, a formal end-of-DLP joint inspection is conducted between the DISCOM and the contractor to identify any outstanding defects or unresolved warranty items. All pending items from the defect register are reviewed for closure status, and any items not yet closed are rectified before the final acceptance process can proceed. The contractor confirms in writing that no outstanding warranty obligations remain unfulfilled.</w:t>
      </w:r>
    </w:p>
    <w:p>
      <w:pPr>
        <w:spacing w:before="160" w:after="80"/>
      </w:pPr>
      <w:r>
        <w:rPr>
          <w:rFonts w:ascii="Calibri" w:hAnsi="Calibri"/>
          <w:b/>
          <w:sz w:val="22"/>
        </w:rPr>
        <w:t>19.6 DLP Completed – Warranty Obligation Successfully Closed</w:t>
      </w:r>
    </w:p>
    <w:p>
      <w:pPr>
        <w:spacing w:before="0" w:after="120"/>
        <w:jc w:val="both"/>
      </w:pPr>
      <w:r>
        <w:rPr>
          <w:rFonts w:ascii="Calibri" w:hAnsi="Calibri"/>
          <w:b w:val="0"/>
          <w:sz w:val="22"/>
        </w:rPr>
        <w:t>Upon completion of the end-of-DLP inspection and closure of all outstanding items, the DISCOM issues written confirmation that the DLP has been satisfactorily completed and all contractor warranty obligations have been fulfilled. The system status transitions to "DLP Complete" in the project management system, triggering the Final Acceptance Certificate process.</w:t>
      </w:r>
    </w:p>
    <w:p>
      <w:pPr>
        <w:spacing w:before="160" w:after="80"/>
      </w:pPr>
      <w:r>
        <w:rPr>
          <w:rFonts w:ascii="Calibri" w:hAnsi="Calibri"/>
          <w:b/>
          <w:sz w:val="22"/>
        </w:rPr>
        <w:t>19.7 Final Acceptance – Full Contract Closure and Responsibility Release</w:t>
      </w:r>
    </w:p>
    <w:p>
      <w:pPr>
        <w:spacing w:before="0" w:after="120"/>
        <w:jc w:val="both"/>
      </w:pPr>
      <w:r>
        <w:rPr>
          <w:rFonts w:ascii="Calibri" w:hAnsi="Calibri"/>
          <w:b w:val="0"/>
          <w:sz w:val="22"/>
        </w:rPr>
        <w:t>The DISCOM formally confirms that the contractor is released from all warranty and defect liability responsibilities upon DLP completion. The distribution network is fully transferred to DISCOM O&amp;M operations without any further contractor involvement except for specific obligations that may extend beyond DLP under special contract provisions such as performance guarantees. The project transitions to the Final Acceptance Certificate and contract closeout phase.</w:t>
      </w:r>
    </w:p>
    <w:p>
      <w:r>
        <w:br w:type="page"/>
      </w:r>
    </w:p>
    <w:p>
      <w:pPr>
        <w:spacing w:before="240" w:after="120"/>
      </w:pPr>
      <w:r>
        <w:rPr>
          <w:rFonts w:ascii="Calibri" w:hAnsi="Calibri"/>
          <w:b/>
          <w:sz w:val="28"/>
        </w:rPr>
        <w:t>WORKFLOW 20: Final Acceptance Certificate, Contract Closure and Project Closeout Process</w:t>
      </w:r>
    </w:p>
    <w:p>
      <w:pPr>
        <w:spacing w:before="0" w:after="120"/>
        <w:jc w:val="both"/>
      </w:pPr>
      <w:r>
        <w:rPr>
          <w:rFonts w:ascii="Calibri" w:hAnsi="Calibri"/>
          <w:b w:val="0"/>
          <w:sz w:val="22"/>
        </w:rPr>
        <w:t>The Final Acceptance Certificate (FAC) and project closeout phase is the last administrative and financial milestone of the Distribution EPC project lifecycle, formally concluding all contractual obligations between the contractor and the DISCOM. This phase releases the remaining retention money, returns all bank guarantees, and closes all financial and administrative accounts, enabling the project to be formally archived and the resources to be fully demobilized. The FAC represents the DISCOM's final confirmation that the project has been delivered in full compliance with all contractual, technical, and quality requirements throughout the project lifecycle including the DLP.</w:t>
      </w:r>
    </w:p>
    <w:p>
      <w:r>
        <w:rPr>
          <w:rFonts w:ascii="Calibri" w:hAnsi="Calibri"/>
          <w:b/>
          <w:sz w:val="22"/>
        </w:rPr>
        <w:t>Flowchart:</w:t>
      </w:r>
    </w:p>
    <w:p>
      <w:pPr>
        <w:jc w:val="center"/>
      </w:pPr>
      <w:r>
        <w:drawing>
          <wp:inline xmlns:a="http://schemas.openxmlformats.org/drawingml/2006/main" xmlns:pic="http://schemas.openxmlformats.org/drawingml/2006/picture">
            <wp:extent cx="5486400" cy="4140044"/>
            <wp:docPr id="20" name="Picture 20"/>
            <wp:cNvGraphicFramePr>
              <a:graphicFrameLocks noChangeAspect="1"/>
            </wp:cNvGraphicFramePr>
            <a:graphic>
              <a:graphicData uri="http://schemas.openxmlformats.org/drawingml/2006/picture">
                <pic:pic>
                  <pic:nvPicPr>
                    <pic:cNvPr id="0" name="section_20.png"/>
                    <pic:cNvPicPr/>
                  </pic:nvPicPr>
                  <pic:blipFill>
                    <a:blip r:embed="rId28"/>
                    <a:stretch>
                      <a:fillRect/>
                    </a:stretch>
                  </pic:blipFill>
                  <pic:spPr>
                    <a:xfrm>
                      <a:off x="0" y="0"/>
                      <a:ext cx="5486400" cy="4140044"/>
                    </a:xfrm>
                    <a:prstGeom prst="rect"/>
                  </pic:spPr>
                </pic:pic>
              </a:graphicData>
            </a:graphic>
          </wp:inline>
        </w:drawing>
      </w:r>
    </w:p>
    <w:p>
      <w:pPr>
        <w:spacing w:before="160" w:after="80"/>
      </w:pPr>
      <w:r>
        <w:rPr>
          <w:rFonts w:ascii="Calibri" w:hAnsi="Calibri"/>
          <w:b/>
          <w:sz w:val="22"/>
        </w:rPr>
        <w:t>20.1 Final Inspection – Project Closure Verification Stage</w:t>
      </w:r>
    </w:p>
    <w:p>
      <w:pPr>
        <w:spacing w:before="0" w:after="120"/>
        <w:jc w:val="both"/>
      </w:pPr>
      <w:r>
        <w:rPr>
          <w:rFonts w:ascii="Calibri" w:hAnsi="Calibri"/>
          <w:b w:val="0"/>
          <w:sz w:val="22"/>
        </w:rPr>
        <w:t>A final project closure inspection is conducted jointly by the DISCOM and the contractor to verify that all DLP defects have been rectified, the distribution network is performing satisfactorily, all documentation deliverables are complete and accepted, and no outstanding contractual obligations remain on either side. The inspection covers physical site condition, document archive completeness, GIS data currency, and billing system accuracy. The inspection findings are documented in the final inspection report, which is the basis for FAC issuance.</w:t>
      </w:r>
    </w:p>
    <w:p>
      <w:pPr>
        <w:spacing w:before="160" w:after="80"/>
      </w:pPr>
      <w:r>
        <w:rPr>
          <w:rFonts w:ascii="Calibri" w:hAnsi="Calibri"/>
          <w:b/>
          <w:sz w:val="22"/>
        </w:rPr>
        <w:t>20.2 Final Punch Closure – Last Pending Issue Resolution Stage</w:t>
      </w:r>
    </w:p>
    <w:p>
      <w:pPr>
        <w:spacing w:before="0" w:after="120"/>
        <w:jc w:val="both"/>
      </w:pPr>
      <w:r>
        <w:rPr>
          <w:rFonts w:ascii="Calibri" w:hAnsi="Calibri"/>
          <w:b w:val="0"/>
          <w:sz w:val="22"/>
        </w:rPr>
        <w:t>Any minor residual items identified during the final inspection are compiled into a final punch list. These items are completed within the agreed timeframe and submitted for DISCOM confirmation of closure. Written confirmation from the DISCOM that all residual items are closed is obtained and filed as evidence of complete obligation fulfillment.</w:t>
      </w:r>
    </w:p>
    <w:p>
      <w:pPr>
        <w:spacing w:before="160" w:after="80"/>
      </w:pPr>
      <w:r>
        <w:rPr>
          <w:rFonts w:ascii="Calibri" w:hAnsi="Calibri"/>
          <w:b/>
          <w:sz w:val="22"/>
        </w:rPr>
        <w:t>20.3 Parallel Closure Activities – Administrative and Financial Closure Workstreams</w:t>
      </w:r>
    </w:p>
    <w:p>
      <w:pPr>
        <w:spacing w:before="0" w:after="120"/>
        <w:jc w:val="both"/>
      </w:pPr>
      <w:r>
        <w:rPr>
          <w:rFonts w:ascii="Calibri" w:hAnsi="Calibri"/>
          <w:b w:val="0"/>
          <w:sz w:val="22"/>
        </w:rPr>
        <w:t>Multiple parallel closure activities are executed simultaneously to achieve complete project closeout. The FAC application is prepared and submitted to the DISCOM with the end-of-DLP inspection report, defect closure confirmation, and final inspection sign-off. Final financial reconciliation is completed confirming all invoices are settled, all approved variation orders are incorporated in the final account, and the retention money calculation is agreed with the DISCOM. PBG and bank guarantee return request is formally submitted to the DISCOM for return of all outstanding bank instruments. Final GIS data validation and documentation archive submission is completed, confirming all digital deliverables are uploaded to the DISCOM's systems. These activities run in parallel to minimize the time to project financial closure.</w:t>
      </w:r>
    </w:p>
    <w:p>
      <w:pPr>
        <w:spacing w:before="160" w:after="80"/>
      </w:pPr>
      <w:r>
        <w:rPr>
          <w:rFonts w:ascii="Calibri" w:hAnsi="Calibri"/>
          <w:b/>
          <w:sz w:val="22"/>
        </w:rPr>
        <w:t>20.4 FAC Issued – Final Acceptance Certificate Approval</w:t>
      </w:r>
    </w:p>
    <w:p>
      <w:pPr>
        <w:spacing w:before="0" w:after="120"/>
        <w:jc w:val="both"/>
      </w:pPr>
      <w:r>
        <w:rPr>
          <w:rFonts w:ascii="Calibri" w:hAnsi="Calibri"/>
          <w:b w:val="0"/>
          <w:sz w:val="22"/>
        </w:rPr>
        <w:t>The DISCOM issues the Final Acceptance Certificate upon satisfactory completion of the DLP, confirmation of all defect closures, receipt of complete documentation, and review of the final project account. The FAC is the most significant contract milestone document as it formally certifies that the project has been completed fully and all contractual obligations have been met. The system status transitions to "FAC Issued" in the project management system.</w:t>
      </w:r>
    </w:p>
    <w:p>
      <w:pPr>
        <w:spacing w:before="160" w:after="80"/>
      </w:pPr>
      <w:r>
        <w:rPr>
          <w:rFonts w:ascii="Calibri" w:hAnsi="Calibri"/>
          <w:b/>
          <w:sz w:val="22"/>
        </w:rPr>
        <w:t>20.5 Retention Money Release and BG Return – Financial Settlement</w:t>
      </w:r>
    </w:p>
    <w:p>
      <w:pPr>
        <w:spacing w:before="0" w:after="120"/>
        <w:jc w:val="both"/>
      </w:pPr>
      <w:r>
        <w:rPr>
          <w:rFonts w:ascii="Calibri" w:hAnsi="Calibri"/>
          <w:b w:val="0"/>
          <w:sz w:val="22"/>
        </w:rPr>
        <w:t>Following FAC issuance, the remaining retention money held by the DISCOM since PAC is released to the contractor as per the contract terms. All Performance Bank Guarantees and other bank instruments submitted during the project are returned by the DISCOM to the contractor. Final payment is received completing the full financial settlement of the project. The project finance account is closed in the organization's financial management system.</w:t>
      </w:r>
    </w:p>
    <w:p>
      <w:pPr>
        <w:spacing w:before="160" w:after="80"/>
      </w:pPr>
      <w:r>
        <w:rPr>
          <w:rFonts w:ascii="Calibri" w:hAnsi="Calibri"/>
          <w:b/>
          <w:sz w:val="22"/>
        </w:rPr>
        <w:t>20.6 Internal Project Closeout – Organizational Learning</w:t>
      </w:r>
    </w:p>
    <w:p>
      <w:pPr>
        <w:spacing w:before="0" w:after="120"/>
        <w:jc w:val="both"/>
      </w:pPr>
      <w:r>
        <w:rPr>
          <w:rFonts w:ascii="Calibri" w:hAnsi="Calibri"/>
          <w:b w:val="0"/>
          <w:sz w:val="22"/>
        </w:rPr>
        <w:t>A formal project closeout review is conducted internally to document lessons learned from the Distribution EPC project execution. Key lessons covering estimating accuracy, material specification decisions, subcontractor performance, construction methodology challenges, and DISCOM relationship management are documented for use in future bid preparation and project execution. Project performance metrics including final margin versus bid margin, schedule variance, quality defect rates, and client satisfaction rating are recorded. All project resources are formally demobilized and released, and the project archive is finalized with all documents organized and stored in the document management system.</w:t>
      </w:r>
    </w:p>
    <w:p>
      <w:pPr>
        <w:spacing w:before="160" w:after="80"/>
      </w:pPr>
      <w:r>
        <w:rPr>
          <w:rFonts w:ascii="Calibri" w:hAnsi="Calibri"/>
          <w:b/>
          <w:sz w:val="22"/>
        </w:rPr>
        <w:t>20.7 Project Closed – Complete Distribution EPC Lifecycle Closure</w:t>
      </w:r>
    </w:p>
    <w:p>
      <w:pPr>
        <w:spacing w:before="0" w:after="120"/>
        <w:jc w:val="both"/>
      </w:pPr>
      <w:r>
        <w:rPr>
          <w:rFonts w:ascii="Calibri" w:hAnsi="Calibri"/>
          <w:b w:val="0"/>
          <w:sz w:val="22"/>
        </w:rPr>
        <w:t>The project is formally closed in the organization's project management system with all financial accounts settled, all obligations fulfilled, all documents archived, and all resources demobilized. The DISCOM confirms operational takeover of the complete distribution network. This final closure milestone represents the successful completion of the entire Distribution EPC project lifecycle from bid process through final acceptance, having delivered a new or upgraded distribution network that will serve consumers for decades to come.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