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ED862">
      <w:pPr>
        <w:spacing w:before="1440"/>
      </w:pPr>
    </w:p>
    <w:p w14:paraId="64276308">
      <w:pPr>
        <w:spacing w:before="200" w:after="200"/>
        <w:jc w:val="center"/>
      </w:pPr>
      <w:r>
        <w:rPr>
          <w:rFonts w:ascii="Arial" w:hAnsi="Arial" w:eastAsia="Arial" w:cs="Arial"/>
          <w:color w:val="555555"/>
          <w:sz w:val="24"/>
          <w:szCs w:val="24"/>
        </w:rPr>
        <w:t>CSE37 — Natural Language Processing</w:t>
      </w:r>
    </w:p>
    <w:p w14:paraId="6E587274">
      <w:pPr>
        <w:spacing w:before="100" w:after="100"/>
        <w:jc w:val="center"/>
      </w:pPr>
      <w:r>
        <w:rPr>
          <w:rFonts w:ascii="Arial" w:hAnsi="Arial" w:eastAsia="Arial" w:cs="Arial"/>
          <w:color w:val="555555"/>
          <w:sz w:val="24"/>
          <w:szCs w:val="24"/>
        </w:rPr>
        <w:t>Programming Assignment 2</w:t>
      </w:r>
    </w:p>
    <w:p w14:paraId="4AD8A217">
      <w:pPr>
        <w:pBdr>
          <w:bottom w:val="single" w:color="1F4E79" w:sz="6" w:space="1"/>
        </w:pBdr>
        <w:spacing w:before="300" w:after="200"/>
        <w:jc w:val="center"/>
      </w:pPr>
      <w:r>
        <w:rPr>
          <w:rFonts w:ascii="Arial" w:hAnsi="Arial" w:eastAsia="Arial" w:cs="Arial"/>
          <w:b/>
          <w:bCs/>
          <w:color w:val="1F4E79"/>
          <w:sz w:val="40"/>
          <w:szCs w:val="40"/>
        </w:rPr>
        <w:t>Advancing BERT: Part 4 — Fine-Tuning Inefficiency</w:t>
      </w:r>
    </w:p>
    <w:p w14:paraId="18012B17">
      <w:pPr>
        <w:spacing w:before="200" w:after="100"/>
        <w:jc w:val="center"/>
      </w:pPr>
      <w:r>
        <w:rPr>
          <w:rFonts w:ascii="Arial" w:hAnsi="Arial" w:eastAsia="Arial" w:cs="Arial"/>
          <w:i/>
          <w:iCs/>
          <w:color w:val="444444"/>
          <w:sz w:val="28"/>
          <w:szCs w:val="28"/>
        </w:rPr>
        <w:t>Parameter-Efficient Fine-Tuning of BERT on SQuAD</w:t>
      </w:r>
    </w:p>
    <w:p w14:paraId="49025F1B">
      <w:pPr>
        <w:spacing w:before="600" w:after="100"/>
        <w:jc w:val="center"/>
      </w:pPr>
      <w:r>
        <w:rPr>
          <w:rFonts w:ascii="Arial" w:hAnsi="Arial" w:eastAsia="Arial" w:cs="Arial"/>
          <w:color w:val="555555"/>
          <w:sz w:val="22"/>
          <w:szCs w:val="22"/>
        </w:rPr>
        <w:t>Submitted to:</w:t>
      </w:r>
    </w:p>
    <w:p w14:paraId="4A385CC9">
      <w:pPr>
        <w:spacing w:before="40" w:after="40"/>
        <w:jc w:val="center"/>
      </w:pPr>
      <w:r>
        <w:rPr>
          <w:rFonts w:ascii="Arial" w:hAnsi="Arial" w:eastAsia="Arial" w:cs="Arial"/>
          <w:b/>
          <w:bCs/>
          <w:sz w:val="24"/>
          <w:szCs w:val="24"/>
        </w:rPr>
        <w:t>Dr. Sambit Praharaj</w:t>
      </w:r>
    </w:p>
    <w:p w14:paraId="76B72170">
      <w:pPr>
        <w:spacing w:before="0" w:after="40"/>
        <w:jc w:val="center"/>
      </w:pPr>
      <w:r>
        <w:rPr>
          <w:rFonts w:ascii="Arial" w:hAnsi="Arial" w:eastAsia="Arial" w:cs="Arial"/>
          <w:color w:val="555555"/>
          <w:sz w:val="22"/>
          <w:szCs w:val="22"/>
        </w:rPr>
        <w:t>Assistant Professor (II), KIIT</w:t>
      </w:r>
    </w:p>
    <w:p w14:paraId="2F279F2B">
      <w:pPr>
        <w:spacing w:before="300" w:after="40"/>
        <w:jc w:val="center"/>
        <w:rPr>
          <w:rFonts w:hint="default" w:cs="Arial"/>
          <w:sz w:val="22"/>
          <w:szCs w:val="22"/>
          <w:lang w:val="en-US"/>
        </w:rPr>
      </w:pPr>
      <w:r>
        <w:rPr>
          <w:rFonts w:ascii="Arial" w:hAnsi="Arial" w:eastAsia="Arial" w:cs="Arial"/>
          <w:sz w:val="22"/>
          <w:szCs w:val="22"/>
        </w:rPr>
        <w:t xml:space="preserve">Roll Numbers: Ending in 3 or </w:t>
      </w:r>
      <w:r>
        <w:rPr>
          <w:rFonts w:hint="default" w:cs="Arial"/>
          <w:sz w:val="22"/>
          <w:szCs w:val="22"/>
          <w:lang w:val="en-US"/>
        </w:rPr>
        <w:t>8</w:t>
      </w:r>
    </w:p>
    <w:p w14:paraId="0EF89156">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Name:Harsh Soni</w:t>
      </w:r>
    </w:p>
    <w:p w14:paraId="3AF6F356">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Roll number:23053048</w:t>
      </w:r>
    </w:p>
    <w:p w14:paraId="65E5D8BC">
      <w:pPr>
        <w:spacing w:before="300" w:after="40"/>
        <w:jc w:val="center"/>
        <w:rPr>
          <w:rFonts w:hint="default" w:ascii="Bahnschrift" w:hAnsi="Bahnschrift" w:cs="Bahnschrift"/>
          <w:sz w:val="32"/>
          <w:szCs w:val="32"/>
          <w:lang w:val="en-US"/>
        </w:rPr>
      </w:pPr>
      <w:r>
        <w:rPr>
          <w:rFonts w:hint="default" w:ascii="Bahnschrift" w:hAnsi="Bahnschrift" w:cs="Bahnschrift"/>
          <w:sz w:val="32"/>
          <w:szCs w:val="32"/>
          <w:lang w:val="en-US"/>
        </w:rPr>
        <w:t>Section:CSE-37</w:t>
      </w:r>
      <w:bookmarkStart w:id="0" w:name="_GoBack"/>
      <w:bookmarkEnd w:id="0"/>
    </w:p>
    <w:p w14:paraId="3C9CA01E">
      <w:r>
        <w:br w:type="page"/>
      </w:r>
    </w:p>
    <w:p w14:paraId="1287255C">
      <w:pPr>
        <w:pStyle w:val="2"/>
        <w:spacing w:before="320" w:after="160"/>
      </w:pPr>
      <w:r>
        <w:rPr>
          <w:rFonts w:ascii="Arial" w:hAnsi="Arial" w:eastAsia="Arial" w:cs="Arial"/>
          <w:b/>
          <w:bCs/>
          <w:color w:val="1F4E79"/>
          <w:sz w:val="32"/>
          <w:szCs w:val="32"/>
        </w:rPr>
        <w:t>1. Introduction</w:t>
      </w:r>
    </w:p>
    <w:p w14:paraId="0EA67355">
      <w:pPr>
        <w:spacing w:before="80" w:after="80"/>
        <w:jc w:val="both"/>
      </w:pPr>
      <w:r>
        <w:rPr>
          <w:rFonts w:ascii="Arial" w:hAnsi="Arial" w:eastAsia="Arial" w:cs="Arial"/>
          <w:sz w:val="22"/>
          <w:szCs w:val="22"/>
        </w:rPr>
        <w:t>Large pretrained language models such as BERT (Bidirectional Encoder Representations from Transformers) have become foundational in modern Natural Language Processing. Fine-tuning BERT on downstream tasks typically yields strong performance, but comes with a significant computational cost: all 110 million parameters must be updated during training, requiring large memory footprints and long training times.</w:t>
      </w:r>
    </w:p>
    <w:p w14:paraId="23E58E29">
      <w:pPr>
        <w:spacing w:before="80" w:after="80"/>
        <w:jc w:val="both"/>
      </w:pPr>
      <w:r>
        <w:rPr>
          <w:rFonts w:ascii="Arial" w:hAnsi="Arial" w:eastAsia="Arial" w:cs="Arial"/>
          <w:sz w:val="22"/>
          <w:szCs w:val="22"/>
        </w:rPr>
        <w:t>This report addresses this limitation through the lens of Parameter-Efficient Fine-Tuning (PEFT) — a family of methods that update only a small subset of a model's parameters while keeping the pretrained weights frozen. The goal is to match or approach full fine-tuning performance at a fraction of the computational cost.</w:t>
      </w:r>
    </w:p>
    <w:p w14:paraId="6F26A255">
      <w:pPr>
        <w:spacing w:before="80" w:after="80"/>
        <w:jc w:val="both"/>
      </w:pPr>
      <w:r>
        <w:rPr>
          <w:rFonts w:ascii="Arial" w:hAnsi="Arial" w:eastAsia="Arial" w:cs="Arial"/>
          <w:sz w:val="22"/>
          <w:szCs w:val="22"/>
        </w:rPr>
        <w:t>We implement and compare two PEFT methods — Low-Rank Adaptation (LoRA) and Adapter Layers — against a full fine-tuning baseline, evaluated on the Stanford Question Answering Dataset (SQuAD). Additionally, two extension experiments are conducted: selective layer freezing and attention-only fine-tuning.</w:t>
      </w:r>
    </w:p>
    <w:p w14:paraId="192EF3A2">
      <w:pPr>
        <w:spacing w:before="80" w:after="80"/>
        <w:jc w:val="left"/>
      </w:pPr>
      <w:r>
        <w:rPr>
          <w:rFonts w:ascii="Arial" w:hAnsi="Arial" w:eastAsia="Arial" w:cs="Arial"/>
          <w:sz w:val="22"/>
          <w:szCs w:val="22"/>
        </w:rPr>
        <w:t>The key research question is: Can parameter-efficient methods achieve competitive performance while reducing the number of trainable parameters by 99% or more?</w:t>
      </w:r>
    </w:p>
    <w:p w14:paraId="0F82A89A">
      <w:pPr>
        <w:pStyle w:val="2"/>
        <w:spacing w:before="320" w:after="160"/>
      </w:pPr>
      <w:r>
        <w:rPr>
          <w:rFonts w:ascii="Arial" w:hAnsi="Arial" w:eastAsia="Arial" w:cs="Arial"/>
          <w:b/>
          <w:bCs/>
          <w:color w:val="1F4E79"/>
          <w:sz w:val="32"/>
          <w:szCs w:val="32"/>
        </w:rPr>
        <w:t>2. Related Work</w:t>
      </w:r>
    </w:p>
    <w:p w14:paraId="559807C8">
      <w:pPr>
        <w:pStyle w:val="3"/>
        <w:spacing w:before="240" w:after="120"/>
      </w:pPr>
      <w:r>
        <w:rPr>
          <w:rFonts w:ascii="Arial" w:hAnsi="Arial" w:eastAsia="Arial" w:cs="Arial"/>
          <w:b/>
          <w:bCs/>
          <w:color w:val="2E74B5"/>
          <w:sz w:val="26"/>
          <w:szCs w:val="26"/>
        </w:rPr>
        <w:t>2.1 BERT and Full Fine-Tuning</w:t>
      </w:r>
    </w:p>
    <w:p w14:paraId="533887C9">
      <w:pPr>
        <w:spacing w:before="80" w:after="80"/>
        <w:jc w:val="both"/>
      </w:pPr>
      <w:r>
        <w:rPr>
          <w:rFonts w:ascii="Arial" w:hAnsi="Arial" w:eastAsia="Arial" w:cs="Arial"/>
          <w:sz w:val="22"/>
          <w:szCs w:val="22"/>
        </w:rPr>
        <w:t>Devlin et al. (2019) introduced BERT, a transformer-based model pretrained on masked language modelling and next sentence prediction. Fine-tuning on downstream tasks updates all parameters, which is effective but computationally expensive, particularly for large models.</w:t>
      </w:r>
    </w:p>
    <w:p w14:paraId="58E11E19">
      <w:pPr>
        <w:pStyle w:val="3"/>
        <w:spacing w:before="240" w:after="120"/>
      </w:pPr>
      <w:r>
        <w:rPr>
          <w:rFonts w:ascii="Arial" w:hAnsi="Arial" w:eastAsia="Arial" w:cs="Arial"/>
          <w:b/>
          <w:bCs/>
          <w:color w:val="2E74B5"/>
          <w:sz w:val="26"/>
          <w:szCs w:val="26"/>
        </w:rPr>
        <w:t>2.2 Low-Rank Adaptation (LoRA)</w:t>
      </w:r>
    </w:p>
    <w:p w14:paraId="7A810FFF">
      <w:pPr>
        <w:spacing w:before="80" w:after="80"/>
        <w:jc w:val="both"/>
      </w:pPr>
      <w:r>
        <w:rPr>
          <w:rFonts w:ascii="Arial" w:hAnsi="Arial" w:eastAsia="Arial" w:cs="Arial"/>
          <w:sz w:val="22"/>
          <w:szCs w:val="22"/>
        </w:rPr>
        <w:t>Hu et al. (2022) proposed LoRA, which injects trainable low-rank decomposition matrices into each transformer layer. For a weight matrix W, LoRA approximates the weight update as W' = W + BA * (alpha/rank), where B and A are low-rank matrices. Only B and A are trained, while W remains frozen. This reduces trainable parameters by orders of magnitude with minimal performance degradation.</w:t>
      </w:r>
    </w:p>
    <w:p w14:paraId="2BD5402C">
      <w:pPr>
        <w:pStyle w:val="3"/>
        <w:spacing w:before="240" w:after="120"/>
      </w:pPr>
      <w:r>
        <w:rPr>
          <w:rFonts w:ascii="Arial" w:hAnsi="Arial" w:eastAsia="Arial" w:cs="Arial"/>
          <w:b/>
          <w:bCs/>
          <w:color w:val="2E74B5"/>
          <w:sz w:val="26"/>
          <w:szCs w:val="26"/>
        </w:rPr>
        <w:t>2.3 Adapter Layers</w:t>
      </w:r>
    </w:p>
    <w:p w14:paraId="72E2EE5E">
      <w:pPr>
        <w:spacing w:before="80" w:after="80"/>
        <w:jc w:val="both"/>
      </w:pPr>
      <w:r>
        <w:rPr>
          <w:rFonts w:ascii="Arial" w:hAnsi="Arial" w:eastAsia="Arial" w:cs="Arial"/>
          <w:sz w:val="22"/>
          <w:szCs w:val="22"/>
        </w:rPr>
        <w:t>Houlsby et al. (2019) introduced Adapter modules — small bottleneck layers inserted between transformer sub-layers. Each adapter projects the hidden representation down to a smaller dimension, applies a non-linearity, and projects back up, with a residual connection. Only adapter weights are trained, keeping the backbone frozen.</w:t>
      </w:r>
    </w:p>
    <w:p w14:paraId="13338B66">
      <w:pPr>
        <w:pStyle w:val="3"/>
        <w:spacing w:before="240" w:after="120"/>
      </w:pPr>
      <w:r>
        <w:rPr>
          <w:rFonts w:ascii="Arial" w:hAnsi="Arial" w:eastAsia="Arial" w:cs="Arial"/>
          <w:b/>
          <w:bCs/>
          <w:color w:val="2E74B5"/>
          <w:sz w:val="26"/>
          <w:szCs w:val="26"/>
        </w:rPr>
        <w:t>2.4 Selective Layer Freezing</w:t>
      </w:r>
    </w:p>
    <w:p w14:paraId="391262A5">
      <w:pPr>
        <w:spacing w:before="80" w:after="80"/>
        <w:jc w:val="both"/>
      </w:pPr>
      <w:r>
        <w:rPr>
          <w:rFonts w:ascii="Arial" w:hAnsi="Arial" w:eastAsia="Arial" w:cs="Arial"/>
          <w:sz w:val="22"/>
          <w:szCs w:val="22"/>
        </w:rPr>
        <w:t>Prior work has shown that lower BERT layers encode general syntactic features while upper layers encode task-specific semantics (Tenney et al., 2019). This motivates freezing lower layers and fine-tuning only upper layers for downstream tasks.</w:t>
      </w:r>
    </w:p>
    <w:p w14:paraId="57B316FC">
      <w:pPr>
        <w:pStyle w:val="3"/>
        <w:spacing w:before="240" w:after="120"/>
      </w:pPr>
      <w:r>
        <w:rPr>
          <w:rFonts w:ascii="Arial" w:hAnsi="Arial" w:eastAsia="Arial" w:cs="Arial"/>
          <w:b/>
          <w:bCs/>
          <w:color w:val="2E74B5"/>
          <w:sz w:val="26"/>
          <w:szCs w:val="26"/>
        </w:rPr>
        <w:t>2.5 Question Answering with SQuAD</w:t>
      </w:r>
    </w:p>
    <w:p w14:paraId="49AD3BD0">
      <w:pPr>
        <w:spacing w:before="80" w:after="80"/>
        <w:jc w:val="both"/>
      </w:pPr>
      <w:r>
        <w:rPr>
          <w:rFonts w:ascii="Arial" w:hAnsi="Arial" w:eastAsia="Arial" w:cs="Arial"/>
          <w:sz w:val="22"/>
          <w:szCs w:val="22"/>
        </w:rPr>
        <w:t>The Stanford Question Answering Dataset (Rajpurkar et al., 2016) is a reading comprehension benchmark where models must extract a text span from a passage that answers a given question. It is evaluated using Exact Match (EM) and token-level F1 score.</w:t>
      </w:r>
    </w:p>
    <w:p w14:paraId="0504D0AA">
      <w:pPr>
        <w:pStyle w:val="2"/>
        <w:spacing w:before="320" w:after="160"/>
      </w:pPr>
      <w:r>
        <w:rPr>
          <w:rFonts w:ascii="Arial" w:hAnsi="Arial" w:eastAsia="Arial" w:cs="Arial"/>
          <w:b/>
          <w:bCs/>
          <w:color w:val="1F4E79"/>
          <w:sz w:val="32"/>
          <w:szCs w:val="32"/>
        </w:rPr>
        <w:t>3. Methodology</w:t>
      </w:r>
    </w:p>
    <w:p w14:paraId="1F3AB6A4">
      <w:pPr>
        <w:pStyle w:val="3"/>
        <w:spacing w:before="240" w:after="120"/>
      </w:pPr>
      <w:r>
        <w:rPr>
          <w:rFonts w:ascii="Arial" w:hAnsi="Arial" w:eastAsia="Arial" w:cs="Arial"/>
          <w:b/>
          <w:bCs/>
          <w:color w:val="2E74B5"/>
          <w:sz w:val="26"/>
          <w:szCs w:val="26"/>
        </w:rPr>
        <w:t>3.1 Base Model and Dataset</w:t>
      </w:r>
    </w:p>
    <w:p w14:paraId="38834533">
      <w:pPr>
        <w:spacing w:before="80" w:after="80"/>
        <w:jc w:val="left"/>
      </w:pPr>
      <w:r>
        <w:rPr>
          <w:rFonts w:ascii="Arial" w:hAnsi="Arial" w:eastAsia="Arial" w:cs="Arial"/>
          <w:sz w:val="22"/>
          <w:szCs w:val="22"/>
        </w:rPr>
        <w:t>Model: bert-base-uncased (12 layers, 768 hidden dim, 110M parameters)</w:t>
      </w:r>
    </w:p>
    <w:p w14:paraId="410A4153">
      <w:pPr>
        <w:spacing w:before="80" w:after="80"/>
        <w:jc w:val="left"/>
      </w:pPr>
      <w:r>
        <w:rPr>
          <w:rFonts w:ascii="Arial" w:hAnsi="Arial" w:eastAsia="Arial" w:cs="Arial"/>
          <w:sz w:val="22"/>
          <w:szCs w:val="22"/>
        </w:rPr>
        <w:t>Dataset: SQuAD v1.1 subset — 5,000 training examples, 1,000 validation examples</w:t>
      </w:r>
    </w:p>
    <w:p w14:paraId="111C16B3">
      <w:pPr>
        <w:spacing w:before="80" w:after="80"/>
        <w:jc w:val="left"/>
      </w:pPr>
      <w:r>
        <w:rPr>
          <w:rFonts w:ascii="Arial" w:hAnsi="Arial" w:eastAsia="Arial" w:cs="Arial"/>
          <w:sz w:val="22"/>
          <w:szCs w:val="22"/>
        </w:rPr>
        <w:t>Task: Extractive Question Answering — predict start and end token positions</w:t>
      </w:r>
    </w:p>
    <w:p w14:paraId="753788E9">
      <w:pPr>
        <w:spacing w:before="80" w:after="80"/>
        <w:jc w:val="left"/>
      </w:pPr>
      <w:r>
        <w:rPr>
          <w:rFonts w:ascii="Arial" w:hAnsi="Arial" w:eastAsia="Arial" w:cs="Arial"/>
          <w:sz w:val="22"/>
          <w:szCs w:val="22"/>
        </w:rPr>
        <w:t>Tokenization: BertTokenizerFast with max length 384, stride 128 (sliding window)</w:t>
      </w:r>
    </w:p>
    <w:p w14:paraId="59CD3ECF">
      <w:pPr>
        <w:pStyle w:val="3"/>
        <w:spacing w:before="240" w:after="120"/>
      </w:pPr>
      <w:r>
        <w:rPr>
          <w:rFonts w:ascii="Arial" w:hAnsi="Arial" w:eastAsia="Arial" w:cs="Arial"/>
          <w:b/>
          <w:bCs/>
          <w:color w:val="2E74B5"/>
          <w:sz w:val="26"/>
          <w:szCs w:val="26"/>
        </w:rPr>
        <w:t>3.2 Full Fine-Tuning (Baseline)</w:t>
      </w:r>
    </w:p>
    <w:p w14:paraId="28F879C1">
      <w:pPr>
        <w:spacing w:before="80" w:after="80"/>
        <w:jc w:val="both"/>
      </w:pPr>
      <w:r>
        <w:rPr>
          <w:rFonts w:ascii="Arial" w:hAnsi="Arial" w:eastAsia="Arial" w:cs="Arial"/>
          <w:sz w:val="22"/>
          <w:szCs w:val="22"/>
        </w:rPr>
        <w:t>All 108,893,186 parameters are updated using AdamW optimizer with learning rate 3e-5, linear warmup over 10% of steps, and gradient clipping at 1.0. Trained for 2 epochs.</w:t>
      </w:r>
    </w:p>
    <w:p w14:paraId="1DAD5575">
      <w:pPr>
        <w:pStyle w:val="3"/>
        <w:spacing w:before="240" w:after="120"/>
      </w:pPr>
      <w:r>
        <w:rPr>
          <w:rFonts w:ascii="Arial" w:hAnsi="Arial" w:eastAsia="Arial" w:cs="Arial"/>
          <w:b/>
          <w:bCs/>
          <w:color w:val="2E74B5"/>
          <w:sz w:val="26"/>
          <w:szCs w:val="26"/>
        </w:rPr>
        <w:t>3.3 LoRA Implementation</w:t>
      </w:r>
    </w:p>
    <w:p w14:paraId="2059AD17">
      <w:pPr>
        <w:spacing w:before="80" w:after="80"/>
        <w:jc w:val="both"/>
      </w:pPr>
      <w:r>
        <w:rPr>
          <w:rFonts w:ascii="Arial" w:hAnsi="Arial" w:eastAsia="Arial" w:cs="Arial"/>
          <w:sz w:val="22"/>
          <w:szCs w:val="22"/>
        </w:rPr>
        <w:t>LoRA matrices are injected into the Query (Q) and Value (V) projection layers of every attention head across all 12 encoder layers. The rank is set to 8 with alpha = 16, giving a scaling factor of 2.0. The weight update formula is:</w:t>
      </w:r>
    </w:p>
    <w:p w14:paraId="1EFD3304">
      <w:pPr>
        <w:spacing w:before="120" w:after="120"/>
        <w:jc w:val="center"/>
      </w:pPr>
      <w:r>
        <w:rPr>
          <w:rFonts w:ascii="Courier New" w:hAnsi="Courier New" w:eastAsia="Courier New" w:cs="Courier New"/>
          <w:b/>
          <w:bCs/>
          <w:sz w:val="22"/>
          <w:szCs w:val="22"/>
        </w:rPr>
        <w:t>W' = W_frozen + (B @ A) × (alpha / rank)</w:t>
      </w:r>
    </w:p>
    <w:p w14:paraId="225BE30D">
      <w:pPr>
        <w:spacing w:before="80" w:after="80"/>
        <w:jc w:val="both"/>
      </w:pPr>
      <w:r>
        <w:rPr>
          <w:rFonts w:ascii="Arial" w:hAnsi="Arial" w:eastAsia="Arial" w:cs="Arial"/>
          <w:sz w:val="22"/>
          <w:szCs w:val="22"/>
        </w:rPr>
        <w:t>This results in only 296,450 trainable parameters (0.27% of total). The pretrained BERT weights W are frozen; only the low-rank matrices A and B are updated. The QA classification head is also unfrozen.</w:t>
      </w:r>
    </w:p>
    <w:p w14:paraId="17949407">
      <w:pPr>
        <w:pStyle w:val="3"/>
        <w:spacing w:before="240" w:after="120"/>
      </w:pPr>
      <w:r>
        <w:rPr>
          <w:rFonts w:ascii="Arial" w:hAnsi="Arial" w:eastAsia="Arial" w:cs="Arial"/>
          <w:b/>
          <w:bCs/>
          <w:color w:val="2E74B5"/>
          <w:sz w:val="26"/>
          <w:szCs w:val="26"/>
        </w:rPr>
        <w:t>3.4 Adapter Layer Implementation</w:t>
      </w:r>
    </w:p>
    <w:p w14:paraId="57A02709">
      <w:pPr>
        <w:spacing w:before="80" w:after="80"/>
        <w:jc w:val="both"/>
      </w:pPr>
      <w:r>
        <w:rPr>
          <w:rFonts w:ascii="Arial" w:hAnsi="Arial" w:eastAsia="Arial" w:cs="Arial"/>
          <w:sz w:val="22"/>
          <w:szCs w:val="22"/>
        </w:rPr>
        <w:t>A bottleneck adapter is inserted after the final encoder layer. Each adapter consists of a down-projection linear layer (hidden → 64), GELU activation, an up-projection (64 → hidden), and a residual connection with LayerNorm. All BERT parameters are frozen; only adapters and the QA head are trained, totalling 1,209,602 parameters (1.10%).</w:t>
      </w:r>
    </w:p>
    <w:p w14:paraId="3880CF74">
      <w:pPr>
        <w:pStyle w:val="3"/>
        <w:spacing w:before="240" w:after="120"/>
      </w:pPr>
      <w:r>
        <w:rPr>
          <w:rFonts w:ascii="Arial" w:hAnsi="Arial" w:eastAsia="Arial" w:cs="Arial"/>
          <w:b/>
          <w:bCs/>
          <w:color w:val="2E74B5"/>
          <w:sz w:val="26"/>
          <w:szCs w:val="26"/>
        </w:rPr>
        <w:t>3.5 Extension 1: Freeze Bottom 6 Layers</w:t>
      </w:r>
    </w:p>
    <w:p w14:paraId="18898B7D">
      <w:pPr>
        <w:spacing w:before="80" w:after="80"/>
        <w:jc w:val="both"/>
      </w:pPr>
      <w:r>
        <w:rPr>
          <w:rFonts w:ascii="Arial" w:hAnsi="Arial" w:eastAsia="Arial" w:cs="Arial"/>
          <w:sz w:val="22"/>
          <w:szCs w:val="22"/>
        </w:rPr>
        <w:t>BERT's embedding layer and the first 6 of 12 encoder layers are frozen. The top 6 layers and QA head remain trainable. This retains 42,528,770 trainable parameters (39.06%), allowing adaptation of higher-level semantic representations while preserving low-level syntactic features.</w:t>
      </w:r>
    </w:p>
    <w:p w14:paraId="0C15D9A5">
      <w:pPr>
        <w:pStyle w:val="3"/>
        <w:spacing w:before="240" w:after="120"/>
      </w:pPr>
      <w:r>
        <w:rPr>
          <w:rFonts w:ascii="Arial" w:hAnsi="Arial" w:eastAsia="Arial" w:cs="Arial"/>
          <w:b/>
          <w:bCs/>
          <w:color w:val="2E74B5"/>
          <w:sz w:val="26"/>
          <w:szCs w:val="26"/>
        </w:rPr>
        <w:t>3.6 Extension 2: Attention-Only Fine-Tuning</w:t>
      </w:r>
    </w:p>
    <w:p w14:paraId="5FD5CADE">
      <w:pPr>
        <w:spacing w:before="80" w:after="80"/>
        <w:jc w:val="both"/>
      </w:pPr>
      <w:r>
        <w:rPr>
          <w:rFonts w:ascii="Arial" w:hAnsi="Arial" w:eastAsia="Arial" w:cs="Arial"/>
          <w:sz w:val="22"/>
          <w:szCs w:val="22"/>
        </w:rPr>
        <w:t>Only the attention projection weights (Q, K, V, and output dense) across all 12 layers are unfrozen, along with the QA head. Feed-forward layers and embeddings remain frozen, yielding 28,349,954 trainable parameters (26.03%).</w:t>
      </w:r>
    </w:p>
    <w:p w14:paraId="4370B420">
      <w:pPr>
        <w:pStyle w:val="3"/>
        <w:spacing w:before="240" w:after="120"/>
      </w:pPr>
      <w:r>
        <w:rPr>
          <w:rFonts w:ascii="Arial" w:hAnsi="Arial" w:eastAsia="Arial" w:cs="Arial"/>
          <w:b/>
          <w:bCs/>
          <w:color w:val="2E74B5"/>
          <w:sz w:val="26"/>
          <w:szCs w:val="26"/>
        </w:rPr>
        <w:t>3.7 Training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AD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E16D679">
            <w:pPr>
              <w:jc w:val="center"/>
            </w:pPr>
            <w:r>
              <w:rPr>
                <w:rFonts w:ascii="Arial" w:hAnsi="Arial" w:eastAsia="Arial" w:cs="Arial"/>
                <w:b/>
                <w:bCs/>
                <w:color w:val="FFFFFF"/>
                <w:sz w:val="20"/>
                <w:szCs w:val="20"/>
              </w:rPr>
              <w:t>Hyperparameter</w:t>
            </w:r>
          </w:p>
        </w:tc>
        <w:tc>
          <w:tcPr>
            <w:tcW w:w="468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2B949CF4">
            <w:pPr>
              <w:jc w:val="center"/>
            </w:pPr>
            <w:r>
              <w:rPr>
                <w:rFonts w:ascii="Arial" w:hAnsi="Arial" w:eastAsia="Arial" w:cs="Arial"/>
                <w:b/>
                <w:bCs/>
                <w:color w:val="FFFFFF"/>
                <w:sz w:val="20"/>
                <w:szCs w:val="20"/>
              </w:rPr>
              <w:t>Value</w:t>
            </w:r>
          </w:p>
        </w:tc>
      </w:tr>
      <w:tr w14:paraId="01E4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BEB64D3">
            <w:pPr>
              <w:jc w:val="center"/>
            </w:pPr>
            <w:r>
              <w:rPr>
                <w:rFonts w:ascii="Arial" w:hAnsi="Arial" w:eastAsia="Arial" w:cs="Arial"/>
                <w:b w:val="0"/>
                <w:bCs w:val="0"/>
                <w:color w:val="000000"/>
                <w:sz w:val="20"/>
                <w:szCs w:val="20"/>
              </w:rPr>
              <w:t>Optimizer</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71E14FC">
            <w:pPr>
              <w:jc w:val="center"/>
            </w:pPr>
            <w:r>
              <w:rPr>
                <w:rFonts w:ascii="Arial" w:hAnsi="Arial" w:eastAsia="Arial" w:cs="Arial"/>
                <w:b w:val="0"/>
                <w:bCs w:val="0"/>
                <w:color w:val="000000"/>
                <w:sz w:val="20"/>
                <w:szCs w:val="20"/>
              </w:rPr>
              <w:t>AdamW</w:t>
            </w:r>
          </w:p>
        </w:tc>
      </w:tr>
      <w:tr w14:paraId="0729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58E562">
            <w:pPr>
              <w:jc w:val="center"/>
            </w:pPr>
            <w:r>
              <w:rPr>
                <w:rFonts w:ascii="Arial" w:hAnsi="Arial" w:eastAsia="Arial" w:cs="Arial"/>
                <w:b w:val="0"/>
                <w:bCs w:val="0"/>
                <w:color w:val="000000"/>
                <w:sz w:val="20"/>
                <w:szCs w:val="20"/>
              </w:rPr>
              <w:t>Learning Rate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54F6B2">
            <w:pPr>
              <w:jc w:val="center"/>
            </w:pPr>
            <w:r>
              <w:rPr>
                <w:rFonts w:ascii="Arial" w:hAnsi="Arial" w:eastAsia="Arial" w:cs="Arial"/>
                <w:b w:val="0"/>
                <w:bCs w:val="0"/>
                <w:color w:val="000000"/>
                <w:sz w:val="20"/>
                <w:szCs w:val="20"/>
              </w:rPr>
              <w:t>3e-5</w:t>
            </w:r>
          </w:p>
        </w:tc>
      </w:tr>
      <w:tr w14:paraId="5E55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27346427">
            <w:pPr>
              <w:jc w:val="center"/>
            </w:pPr>
            <w:r>
              <w:rPr>
                <w:rFonts w:ascii="Arial" w:hAnsi="Arial" w:eastAsia="Arial" w:cs="Arial"/>
                <w:b w:val="0"/>
                <w:bCs w:val="0"/>
                <w:color w:val="000000"/>
                <w:sz w:val="20"/>
                <w:szCs w:val="20"/>
              </w:rPr>
              <w:t>Epochs</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027B0297">
            <w:pPr>
              <w:jc w:val="center"/>
            </w:pPr>
            <w:r>
              <w:rPr>
                <w:rFonts w:ascii="Arial" w:hAnsi="Arial" w:eastAsia="Arial" w:cs="Arial"/>
                <w:b w:val="0"/>
                <w:bCs w:val="0"/>
                <w:color w:val="000000"/>
                <w:sz w:val="20"/>
                <w:szCs w:val="20"/>
              </w:rPr>
              <w:t>2</w:t>
            </w:r>
          </w:p>
        </w:tc>
      </w:tr>
      <w:tr w14:paraId="1A79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A726EA">
            <w:pPr>
              <w:jc w:val="center"/>
            </w:pPr>
            <w:r>
              <w:rPr>
                <w:rFonts w:ascii="Arial" w:hAnsi="Arial" w:eastAsia="Arial" w:cs="Arial"/>
                <w:b w:val="0"/>
                <w:bCs w:val="0"/>
                <w:color w:val="000000"/>
                <w:sz w:val="20"/>
                <w:szCs w:val="20"/>
              </w:rPr>
              <w:t>Batch Size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758C703">
            <w:pPr>
              <w:jc w:val="center"/>
            </w:pPr>
            <w:r>
              <w:rPr>
                <w:rFonts w:ascii="Arial" w:hAnsi="Arial" w:eastAsia="Arial" w:cs="Arial"/>
                <w:b w:val="0"/>
                <w:bCs w:val="0"/>
                <w:color w:val="000000"/>
                <w:sz w:val="20"/>
                <w:szCs w:val="20"/>
              </w:rPr>
              <w:t>8</w:t>
            </w:r>
          </w:p>
        </w:tc>
      </w:tr>
      <w:tr w14:paraId="3B41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81C1EF3">
            <w:pPr>
              <w:jc w:val="center"/>
            </w:pPr>
            <w:r>
              <w:rPr>
                <w:rFonts w:ascii="Arial" w:hAnsi="Arial" w:eastAsia="Arial" w:cs="Arial"/>
                <w:b w:val="0"/>
                <w:bCs w:val="0"/>
                <w:color w:val="000000"/>
                <w:sz w:val="20"/>
                <w:szCs w:val="20"/>
              </w:rPr>
              <w:t>Warmup Ratio</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DE29CE1">
            <w:pPr>
              <w:jc w:val="center"/>
            </w:pPr>
            <w:r>
              <w:rPr>
                <w:rFonts w:ascii="Arial" w:hAnsi="Arial" w:eastAsia="Arial" w:cs="Arial"/>
                <w:b w:val="0"/>
                <w:bCs w:val="0"/>
                <w:color w:val="000000"/>
                <w:sz w:val="20"/>
                <w:szCs w:val="20"/>
              </w:rPr>
              <w:t>10%</w:t>
            </w:r>
          </w:p>
        </w:tc>
      </w:tr>
      <w:tr w14:paraId="5274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917DAA6">
            <w:pPr>
              <w:jc w:val="center"/>
            </w:pPr>
            <w:r>
              <w:rPr>
                <w:rFonts w:ascii="Arial" w:hAnsi="Arial" w:eastAsia="Arial" w:cs="Arial"/>
                <w:b w:val="0"/>
                <w:bCs w:val="0"/>
                <w:color w:val="000000"/>
                <w:sz w:val="20"/>
                <w:szCs w:val="20"/>
              </w:rPr>
              <w:t>Max Sequence Length</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CDD8D5">
            <w:pPr>
              <w:jc w:val="center"/>
            </w:pPr>
            <w:r>
              <w:rPr>
                <w:rFonts w:ascii="Arial" w:hAnsi="Arial" w:eastAsia="Arial" w:cs="Arial"/>
                <w:b w:val="0"/>
                <w:bCs w:val="0"/>
                <w:color w:val="000000"/>
                <w:sz w:val="20"/>
                <w:szCs w:val="20"/>
              </w:rPr>
              <w:t>384 tokens</w:t>
            </w:r>
          </w:p>
        </w:tc>
      </w:tr>
      <w:tr w14:paraId="6C82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68A7F4FE">
            <w:pPr>
              <w:jc w:val="center"/>
            </w:pPr>
            <w:r>
              <w:rPr>
                <w:rFonts w:ascii="Arial" w:hAnsi="Arial" w:eastAsia="Arial" w:cs="Arial"/>
                <w:b w:val="0"/>
                <w:bCs w:val="0"/>
                <w:color w:val="000000"/>
                <w:sz w:val="20"/>
                <w:szCs w:val="20"/>
              </w:rPr>
              <w:t>Hardware</w:t>
            </w:r>
          </w:p>
        </w:tc>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46CD03B">
            <w:pPr>
              <w:jc w:val="center"/>
            </w:pPr>
            <w:r>
              <w:rPr>
                <w:rFonts w:ascii="Arial" w:hAnsi="Arial" w:eastAsia="Arial" w:cs="Arial"/>
                <w:b w:val="0"/>
                <w:bCs w:val="0"/>
                <w:color w:val="000000"/>
                <w:sz w:val="20"/>
                <w:szCs w:val="20"/>
              </w:rPr>
              <w:t>NVIDIA T4 GPU (Google Colab)</w:t>
            </w:r>
          </w:p>
        </w:tc>
      </w:tr>
    </w:tbl>
    <w:p w14:paraId="77A3C121">
      <w:r>
        <w:br w:type="page"/>
      </w:r>
    </w:p>
    <w:p w14:paraId="753336B5">
      <w:pPr>
        <w:pStyle w:val="2"/>
        <w:spacing w:before="320" w:after="160"/>
      </w:pPr>
      <w:r>
        <w:rPr>
          <w:rFonts w:ascii="Arial" w:hAnsi="Arial" w:eastAsia="Arial" w:cs="Arial"/>
          <w:b/>
          <w:bCs/>
          <w:color w:val="1F4E79"/>
          <w:sz w:val="32"/>
          <w:szCs w:val="32"/>
        </w:rPr>
        <w:t>4. Experiments</w:t>
      </w:r>
    </w:p>
    <w:p w14:paraId="30A67DB8">
      <w:pPr>
        <w:pStyle w:val="3"/>
        <w:spacing w:before="240" w:after="120"/>
      </w:pPr>
      <w:r>
        <w:rPr>
          <w:rFonts w:ascii="Arial" w:hAnsi="Arial" w:eastAsia="Arial" w:cs="Arial"/>
          <w:b/>
          <w:bCs/>
          <w:color w:val="2E74B5"/>
          <w:sz w:val="26"/>
          <w:szCs w:val="26"/>
        </w:rPr>
        <w:t>4.1 Experimental Setup</w:t>
      </w:r>
    </w:p>
    <w:p w14:paraId="7ADADFF4">
      <w:pPr>
        <w:spacing w:before="80" w:after="80"/>
        <w:jc w:val="both"/>
      </w:pPr>
      <w:r>
        <w:rPr>
          <w:rFonts w:ascii="Arial" w:hAnsi="Arial" w:eastAsia="Arial" w:cs="Arial"/>
          <w:sz w:val="22"/>
          <w:szCs w:val="22"/>
        </w:rPr>
        <w:t>Five experiments were conducted on the same data split and hardware (T4 GPU via Google Colab) to ensure fair comparison. Each experiment used the same optimizer, learning rate, and number of epochs. The only variable was the set of trainable parameters.</w:t>
      </w:r>
    </w:p>
    <w:p w14:paraId="7B3D45F4">
      <w:pPr>
        <w:pStyle w:val="3"/>
        <w:spacing w:before="240" w:after="120"/>
      </w:pPr>
      <w:r>
        <w:rPr>
          <w:rFonts w:ascii="Arial" w:hAnsi="Arial" w:eastAsia="Arial" w:cs="Arial"/>
          <w:b/>
          <w:bCs/>
          <w:color w:val="2E74B5"/>
          <w:sz w:val="26"/>
          <w:szCs w:val="26"/>
        </w:rPr>
        <w:t>4.2 Evaluation Metrics</w:t>
      </w:r>
    </w:p>
    <w:p w14:paraId="5D0636D9">
      <w:pPr>
        <w:pStyle w:val="14"/>
        <w:numPr>
          <w:ilvl w:val="0"/>
          <w:numId w:val="1"/>
        </w:numPr>
        <w:spacing w:before="40" w:after="40"/>
      </w:pPr>
      <w:r>
        <w:rPr>
          <w:rFonts w:ascii="Arial" w:hAnsi="Arial" w:eastAsia="Arial" w:cs="Arial"/>
          <w:sz w:val="22"/>
          <w:szCs w:val="22"/>
        </w:rPr>
        <w:t>Exact Match (Accuracy): Percentage of predictions that match the gold answer exactly after normalization (lowercasing, punctuation removal, article removal).</w:t>
      </w:r>
    </w:p>
    <w:p w14:paraId="7AE38831">
      <w:pPr>
        <w:pStyle w:val="14"/>
        <w:numPr>
          <w:ilvl w:val="0"/>
          <w:numId w:val="1"/>
        </w:numPr>
        <w:spacing w:before="40" w:after="40"/>
      </w:pPr>
      <w:r>
        <w:rPr>
          <w:rFonts w:ascii="Arial" w:hAnsi="Arial" w:eastAsia="Arial" w:cs="Arial"/>
          <w:sz w:val="22"/>
          <w:szCs w:val="22"/>
        </w:rPr>
        <w:t>F1 Score: Token-level overlap between predicted and gold answer spans. Partial credit is given for partially correct answers.</w:t>
      </w:r>
    </w:p>
    <w:p w14:paraId="7003E4DC">
      <w:pPr>
        <w:pStyle w:val="14"/>
        <w:numPr>
          <w:ilvl w:val="0"/>
          <w:numId w:val="1"/>
        </w:numPr>
        <w:spacing w:before="40" w:after="40"/>
      </w:pPr>
      <w:r>
        <w:rPr>
          <w:rFonts w:ascii="Arial" w:hAnsi="Arial" w:eastAsia="Arial" w:cs="Arial"/>
          <w:sz w:val="22"/>
          <w:szCs w:val="22"/>
        </w:rPr>
        <w:t>Training Time: Wall-clock time in minutes from start to end of training.</w:t>
      </w:r>
    </w:p>
    <w:p w14:paraId="2231CB99">
      <w:pPr>
        <w:pStyle w:val="14"/>
        <w:numPr>
          <w:ilvl w:val="0"/>
          <w:numId w:val="1"/>
        </w:numPr>
        <w:spacing w:before="40" w:after="40"/>
      </w:pPr>
      <w:r>
        <w:rPr>
          <w:rFonts w:ascii="Arial" w:hAnsi="Arial" w:eastAsia="Arial" w:cs="Arial"/>
          <w:sz w:val="22"/>
          <w:szCs w:val="22"/>
        </w:rPr>
        <w:t>Parameter Count: Total and trainable parameter counts, and percentage of parameters trained.</w:t>
      </w:r>
    </w:p>
    <w:p w14:paraId="0D38B04F">
      <w:pPr>
        <w:pStyle w:val="3"/>
        <w:spacing w:before="240" w:after="120"/>
      </w:pPr>
      <w:r>
        <w:rPr>
          <w:rFonts w:ascii="Arial" w:hAnsi="Arial" w:eastAsia="Arial" w:cs="Arial"/>
          <w:b/>
          <w:bCs/>
          <w:color w:val="2E74B5"/>
          <w:sz w:val="26"/>
          <w:szCs w:val="26"/>
        </w:rPr>
        <w:t>4.3 Experiment 1 — Full Fine-Tuning</w:t>
      </w:r>
    </w:p>
    <w:p w14:paraId="55A1BCEE">
      <w:pPr>
        <w:spacing w:before="80" w:after="80"/>
        <w:jc w:val="both"/>
      </w:pPr>
      <w:r>
        <w:rPr>
          <w:rFonts w:ascii="Arial" w:hAnsi="Arial" w:eastAsia="Arial" w:cs="Arial"/>
          <w:sz w:val="22"/>
          <w:szCs w:val="22"/>
        </w:rPr>
        <w:t>Baseline experiment where all BERT parameters are updated. Serves as the performance ceiling for comparison. Training loss dropped from 5.79 (step 0) to approximately 0.81 by epoch 2, indicating strong convergence.</w:t>
      </w:r>
    </w:p>
    <w:p w14:paraId="0660F52F">
      <w:pPr>
        <w:pStyle w:val="3"/>
        <w:spacing w:before="240" w:after="120"/>
      </w:pPr>
      <w:r>
        <w:rPr>
          <w:rFonts w:ascii="Arial" w:hAnsi="Arial" w:eastAsia="Arial" w:cs="Arial"/>
          <w:b/>
          <w:bCs/>
          <w:color w:val="2E74B5"/>
          <w:sz w:val="26"/>
          <w:szCs w:val="26"/>
        </w:rPr>
        <w:t>4.4 Experiment 2 — LoRA</w:t>
      </w:r>
    </w:p>
    <w:p w14:paraId="06C69597">
      <w:pPr>
        <w:spacing w:before="80" w:after="80"/>
        <w:jc w:val="both"/>
      </w:pPr>
      <w:r>
        <w:rPr>
          <w:rFonts w:ascii="Arial" w:hAnsi="Arial" w:eastAsia="Arial" w:cs="Arial"/>
          <w:sz w:val="22"/>
          <w:szCs w:val="22"/>
        </w:rPr>
        <w:t>Only 296,450 parameters (0.27%) are trained. The LoRA loss curve showed slower initial convergence (starting at 5.98 in epoch 1 step 0 vs 5.79 for full fine-tuning), reflecting the constrained parameter budget. The model began learning effectively in epoch 2, but did not fully converge within 2 epochs on 5,000 samples — a known characteristic of PEFT methods that require more data or epochs.</w:t>
      </w:r>
    </w:p>
    <w:p w14:paraId="31CF91EE">
      <w:pPr>
        <w:pStyle w:val="3"/>
        <w:spacing w:before="240" w:after="120"/>
      </w:pPr>
      <w:r>
        <w:rPr>
          <w:rFonts w:ascii="Arial" w:hAnsi="Arial" w:eastAsia="Arial" w:cs="Arial"/>
          <w:b/>
          <w:bCs/>
          <w:color w:val="2E74B5"/>
          <w:sz w:val="26"/>
          <w:szCs w:val="26"/>
        </w:rPr>
        <w:t>4.5 Experiment 3 — Adapter Layers</w:t>
      </w:r>
    </w:p>
    <w:p w14:paraId="6268E48D">
      <w:pPr>
        <w:spacing w:before="80" w:after="80"/>
        <w:jc w:val="both"/>
      </w:pPr>
      <w:r>
        <w:rPr>
          <w:rFonts w:ascii="Arial" w:hAnsi="Arial" w:eastAsia="Arial" w:cs="Arial"/>
          <w:sz w:val="22"/>
          <w:szCs w:val="22"/>
        </w:rPr>
        <w:t>Adapters with hidden dimension 64 were applied. With 1,209,602 trainable parameters (1.10%), adapters converged slightly faster than LoRA, achieving a final training loss of approximately 2.8 by epoch 2. Training time was the lowest of all five experiments at 5.1 minutes, benefiting from the reduced backward pass computation.</w:t>
      </w:r>
    </w:p>
    <w:p w14:paraId="7DE9A8A1">
      <w:pPr>
        <w:pStyle w:val="3"/>
        <w:spacing w:before="240" w:after="120"/>
      </w:pPr>
      <w:r>
        <w:rPr>
          <w:rFonts w:ascii="Arial" w:hAnsi="Arial" w:eastAsia="Arial" w:cs="Arial"/>
          <w:b/>
          <w:bCs/>
          <w:color w:val="2E74B5"/>
          <w:sz w:val="26"/>
          <w:szCs w:val="26"/>
        </w:rPr>
        <w:t>4.6 Extension 1 — Freeze Bottom 6 Layers</w:t>
      </w:r>
    </w:p>
    <w:p w14:paraId="66C603A2">
      <w:pPr>
        <w:spacing w:before="80" w:after="80"/>
        <w:jc w:val="both"/>
      </w:pPr>
      <w:r>
        <w:rPr>
          <w:rFonts w:ascii="Arial" w:hAnsi="Arial" w:eastAsia="Arial" w:cs="Arial"/>
          <w:sz w:val="22"/>
          <w:szCs w:val="22"/>
        </w:rPr>
        <w:t>Freezing the bottom 6 encoder layers preserves general linguistic features while allowing the top 6 layers to specialize. This experiment showed performance close to full fine-tuning (EM: 13.90% vs 15.20%), confirming the hypothesis that BERT's upper layers are most task-relevant.</w:t>
      </w:r>
    </w:p>
    <w:p w14:paraId="36D0BD08">
      <w:pPr>
        <w:pStyle w:val="3"/>
        <w:spacing w:before="240" w:after="120"/>
      </w:pPr>
      <w:r>
        <w:rPr>
          <w:rFonts w:ascii="Arial" w:hAnsi="Arial" w:eastAsia="Arial" w:cs="Arial"/>
          <w:b/>
          <w:bCs/>
          <w:color w:val="2E74B5"/>
          <w:sz w:val="26"/>
          <w:szCs w:val="26"/>
        </w:rPr>
        <w:t>4.7 Extension 2 — Attention-Only Fine-Tuning</w:t>
      </w:r>
    </w:p>
    <w:p w14:paraId="54AABE09">
      <w:pPr>
        <w:spacing w:before="80" w:after="80"/>
        <w:jc w:val="both"/>
      </w:pPr>
      <w:r>
        <w:rPr>
          <w:rFonts w:ascii="Arial" w:hAnsi="Arial" w:eastAsia="Arial" w:cs="Arial"/>
          <w:sz w:val="22"/>
          <w:szCs w:val="22"/>
        </w:rPr>
        <w:t>Training only attention projections (Q, K, V, output) resulted in an EM of 14.00% and F1 of 16.88% — nearly matching full fine-tuning. This supports the view that attention mechanisms are the primary drivers of task adaptation in transformer models.</w:t>
      </w:r>
    </w:p>
    <w:p w14:paraId="7F45534B">
      <w:r>
        <w:br w:type="page"/>
      </w:r>
    </w:p>
    <w:p w14:paraId="319713DD">
      <w:pPr>
        <w:pStyle w:val="2"/>
        <w:spacing w:before="320" w:after="160"/>
      </w:pPr>
      <w:r>
        <w:rPr>
          <w:rFonts w:ascii="Arial" w:hAnsi="Arial" w:eastAsia="Arial" w:cs="Arial"/>
          <w:b/>
          <w:bCs/>
          <w:color w:val="1F4E79"/>
          <w:sz w:val="32"/>
          <w:szCs w:val="32"/>
        </w:rPr>
        <w:t>5. Results</w:t>
      </w:r>
    </w:p>
    <w:p w14:paraId="324317EE">
      <w:pPr>
        <w:pStyle w:val="3"/>
        <w:spacing w:before="240" w:after="120"/>
      </w:pPr>
      <w:r>
        <w:rPr>
          <w:rFonts w:ascii="Arial" w:hAnsi="Arial" w:eastAsia="Arial" w:cs="Arial"/>
          <w:b/>
          <w:bCs/>
          <w:color w:val="2E74B5"/>
          <w:sz w:val="26"/>
          <w:szCs w:val="26"/>
        </w:rPr>
        <w:t>5.1 Results Table</w:t>
      </w:r>
    </w:p>
    <w:p w14:paraId="064F37B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300"/>
        <w:gridCol w:w="1500"/>
        <w:gridCol w:w="2360"/>
      </w:tblGrid>
      <w:tr w14:paraId="0D3D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0ED065B">
            <w:pPr>
              <w:jc w:val="center"/>
            </w:pPr>
            <w:r>
              <w:rPr>
                <w:rFonts w:ascii="Arial" w:hAnsi="Arial" w:eastAsia="Arial" w:cs="Arial"/>
                <w:b/>
                <w:bCs/>
                <w:color w:val="FFFFFF"/>
                <w:sz w:val="20"/>
                <w:szCs w:val="20"/>
              </w:rPr>
              <w:t>Model</w:t>
            </w:r>
          </w:p>
        </w:tc>
        <w:tc>
          <w:tcPr>
            <w:tcW w:w="14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5D9C6F82">
            <w:pPr>
              <w:jc w:val="center"/>
            </w:pPr>
            <w:r>
              <w:rPr>
                <w:rFonts w:ascii="Arial" w:hAnsi="Arial" w:eastAsia="Arial" w:cs="Arial"/>
                <w:b/>
                <w:bCs/>
                <w:color w:val="FFFFFF"/>
                <w:sz w:val="20"/>
                <w:szCs w:val="20"/>
              </w:rPr>
              <w:t>Accuracy (EM%)</w:t>
            </w:r>
          </w:p>
        </w:tc>
        <w:tc>
          <w:tcPr>
            <w:tcW w:w="13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D09DB47">
            <w:pPr>
              <w:jc w:val="center"/>
            </w:pPr>
            <w:r>
              <w:rPr>
                <w:rFonts w:ascii="Arial" w:hAnsi="Arial" w:eastAsia="Arial" w:cs="Arial"/>
                <w:b/>
                <w:bCs/>
                <w:color w:val="FFFFFF"/>
                <w:sz w:val="20"/>
                <w:szCs w:val="20"/>
              </w:rPr>
              <w:t>F1 Score</w:t>
            </w:r>
          </w:p>
        </w:tc>
        <w:tc>
          <w:tcPr>
            <w:tcW w:w="1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4EB19ABB">
            <w:pPr>
              <w:jc w:val="center"/>
            </w:pPr>
            <w:r>
              <w:rPr>
                <w:rFonts w:ascii="Arial" w:hAnsi="Arial" w:eastAsia="Arial" w:cs="Arial"/>
                <w:b/>
                <w:bCs/>
                <w:color w:val="FFFFFF"/>
                <w:sz w:val="20"/>
                <w:szCs w:val="20"/>
              </w:rPr>
              <w:t>Training Time</w:t>
            </w:r>
          </w:p>
        </w:tc>
        <w:tc>
          <w:tcPr>
            <w:tcW w:w="236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37B1EA1B">
            <w:pPr>
              <w:jc w:val="center"/>
            </w:pPr>
            <w:r>
              <w:rPr>
                <w:rFonts w:ascii="Arial" w:hAnsi="Arial" w:eastAsia="Arial" w:cs="Arial"/>
                <w:b/>
                <w:bCs/>
                <w:color w:val="FFFFFF"/>
                <w:sz w:val="20"/>
                <w:szCs w:val="20"/>
              </w:rPr>
              <w:t>Parameters</w:t>
            </w:r>
          </w:p>
        </w:tc>
      </w:tr>
      <w:tr w14:paraId="4F27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4888367F">
            <w:pPr>
              <w:jc w:val="center"/>
            </w:pPr>
            <w:r>
              <w:rPr>
                <w:rFonts w:ascii="Arial" w:hAnsi="Arial" w:eastAsia="Arial" w:cs="Arial"/>
                <w:b w:val="0"/>
                <w:bCs w:val="0"/>
                <w:color w:val="000000"/>
                <w:sz w:val="20"/>
                <w:szCs w:val="20"/>
              </w:rPr>
              <w:t>Full Fine-Tuning (Baseline)</w:t>
            </w:r>
          </w:p>
        </w:tc>
        <w:tc>
          <w:tcPr>
            <w:tcW w:w="1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1A531CF">
            <w:pPr>
              <w:jc w:val="center"/>
            </w:pPr>
            <w:r>
              <w:rPr>
                <w:rFonts w:ascii="Arial" w:hAnsi="Arial" w:eastAsia="Arial" w:cs="Arial"/>
                <w:b w:val="0"/>
                <w:bCs w:val="0"/>
                <w:color w:val="000000"/>
                <w:sz w:val="20"/>
                <w:szCs w:val="20"/>
              </w:rPr>
              <w:t>15.20%</w:t>
            </w:r>
          </w:p>
        </w:tc>
        <w:tc>
          <w:tcPr>
            <w:tcW w:w="13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3AC16778">
            <w:pPr>
              <w:jc w:val="center"/>
            </w:pPr>
            <w:r>
              <w:rPr>
                <w:rFonts w:ascii="Arial" w:hAnsi="Arial" w:eastAsia="Arial" w:cs="Arial"/>
                <w:b w:val="0"/>
                <w:bCs w:val="0"/>
                <w:color w:val="000000"/>
                <w:sz w:val="20"/>
                <w:szCs w:val="20"/>
              </w:rPr>
              <w:t>18.25%</w:t>
            </w:r>
          </w:p>
        </w:tc>
        <w:tc>
          <w:tcPr>
            <w:tcW w:w="15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6590AC0">
            <w:pPr>
              <w:jc w:val="center"/>
            </w:pPr>
            <w:r>
              <w:rPr>
                <w:rFonts w:ascii="Arial" w:hAnsi="Arial" w:eastAsia="Arial" w:cs="Arial"/>
                <w:b w:val="0"/>
                <w:bCs w:val="0"/>
                <w:color w:val="000000"/>
                <w:sz w:val="20"/>
                <w:szCs w:val="20"/>
              </w:rPr>
              <w:t>13.9 min</w:t>
            </w:r>
          </w:p>
        </w:tc>
        <w:tc>
          <w:tcPr>
            <w:tcW w:w="23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87F3D78">
            <w:pPr>
              <w:jc w:val="center"/>
            </w:pPr>
            <w:r>
              <w:rPr>
                <w:rFonts w:ascii="Arial" w:hAnsi="Arial" w:eastAsia="Arial" w:cs="Arial"/>
                <w:b w:val="0"/>
                <w:bCs w:val="0"/>
                <w:color w:val="000000"/>
                <w:sz w:val="20"/>
                <w:szCs w:val="20"/>
              </w:rPr>
              <w:t>108,893,186 (100%)</w:t>
            </w:r>
          </w:p>
        </w:tc>
      </w:tr>
      <w:tr w14:paraId="19E8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4CE6BDD">
            <w:pPr>
              <w:jc w:val="center"/>
            </w:pPr>
            <w:r>
              <w:rPr>
                <w:rFonts w:ascii="Arial" w:hAnsi="Arial" w:eastAsia="Arial" w:cs="Arial"/>
                <w:b w:val="0"/>
                <w:bCs w:val="0"/>
                <w:color w:val="000000"/>
                <w:sz w:val="20"/>
                <w:szCs w:val="20"/>
              </w:rPr>
              <w:t>LoRA</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1B9E5C2">
            <w:pPr>
              <w:jc w:val="center"/>
            </w:pPr>
            <w:r>
              <w:rPr>
                <w:rFonts w:ascii="Arial" w:hAnsi="Arial" w:eastAsia="Arial" w:cs="Arial"/>
                <w:b w:val="0"/>
                <w:bCs w:val="0"/>
                <w:color w:val="000000"/>
                <w:sz w:val="20"/>
                <w:szCs w:val="20"/>
              </w:rPr>
              <w:t>2.30%</w:t>
            </w:r>
          </w:p>
        </w:tc>
        <w:tc>
          <w:tcPr>
            <w:tcW w:w="1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B6DF7D">
            <w:pPr>
              <w:jc w:val="center"/>
            </w:pPr>
            <w:r>
              <w:rPr>
                <w:rFonts w:ascii="Arial" w:hAnsi="Arial" w:eastAsia="Arial" w:cs="Arial"/>
                <w:b w:val="0"/>
                <w:bCs w:val="0"/>
                <w:color w:val="000000"/>
                <w:sz w:val="20"/>
                <w:szCs w:val="20"/>
              </w:rPr>
              <w:t>5.19%</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F33A2B">
            <w:pPr>
              <w:jc w:val="center"/>
            </w:pPr>
            <w:r>
              <w:rPr>
                <w:rFonts w:ascii="Arial" w:hAnsi="Arial" w:eastAsia="Arial" w:cs="Arial"/>
                <w:b w:val="0"/>
                <w:bCs w:val="0"/>
                <w:color w:val="000000"/>
                <w:sz w:val="20"/>
                <w:szCs w:val="20"/>
              </w:rPr>
              <w:t>10.3 min</w:t>
            </w:r>
          </w:p>
        </w:tc>
        <w:tc>
          <w:tcPr>
            <w:tcW w:w="2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308614">
            <w:pPr>
              <w:jc w:val="center"/>
            </w:pPr>
            <w:r>
              <w:rPr>
                <w:rFonts w:ascii="Arial" w:hAnsi="Arial" w:eastAsia="Arial" w:cs="Arial"/>
                <w:b w:val="0"/>
                <w:bCs w:val="0"/>
                <w:color w:val="000000"/>
                <w:sz w:val="20"/>
                <w:szCs w:val="20"/>
              </w:rPr>
              <w:t>296,450 (0.27%)</w:t>
            </w:r>
          </w:p>
        </w:tc>
      </w:tr>
      <w:tr w14:paraId="7C2C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C24B65">
            <w:pPr>
              <w:jc w:val="center"/>
            </w:pPr>
            <w:r>
              <w:rPr>
                <w:rFonts w:ascii="Arial" w:hAnsi="Arial" w:eastAsia="Arial" w:cs="Arial"/>
                <w:b w:val="0"/>
                <w:bCs w:val="0"/>
                <w:color w:val="000000"/>
                <w:sz w:val="20"/>
                <w:szCs w:val="20"/>
              </w:rPr>
              <w:t>Adapter Layers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54DD6A">
            <w:pPr>
              <w:jc w:val="center"/>
            </w:pPr>
            <w:r>
              <w:rPr>
                <w:rFonts w:ascii="Arial" w:hAnsi="Arial" w:eastAsia="Arial" w:cs="Arial"/>
                <w:b w:val="0"/>
                <w:bCs w:val="0"/>
                <w:color w:val="000000"/>
                <w:sz w:val="20"/>
                <w:szCs w:val="20"/>
              </w:rPr>
              <w:t>2.50%</w:t>
            </w:r>
          </w:p>
        </w:tc>
        <w:tc>
          <w:tcPr>
            <w:tcW w:w="1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9900DB">
            <w:pPr>
              <w:jc w:val="center"/>
            </w:pPr>
            <w:r>
              <w:rPr>
                <w:rFonts w:ascii="Arial" w:hAnsi="Arial" w:eastAsia="Arial" w:cs="Arial"/>
                <w:b w:val="0"/>
                <w:bCs w:val="0"/>
                <w:color w:val="000000"/>
                <w:sz w:val="20"/>
                <w:szCs w:val="20"/>
              </w:rPr>
              <w:t>5.47%</w:t>
            </w:r>
          </w:p>
        </w:tc>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28D118">
            <w:pPr>
              <w:jc w:val="center"/>
            </w:pPr>
            <w:r>
              <w:rPr>
                <w:rFonts w:ascii="Arial" w:hAnsi="Arial" w:eastAsia="Arial" w:cs="Arial"/>
                <w:b w:val="0"/>
                <w:bCs w:val="0"/>
                <w:color w:val="000000"/>
                <w:sz w:val="20"/>
                <w:szCs w:val="20"/>
              </w:rPr>
              <w:t>5.1 min</w:t>
            </w:r>
          </w:p>
        </w:tc>
        <w:tc>
          <w:tcPr>
            <w:tcW w:w="2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29EC29">
            <w:pPr>
              <w:jc w:val="center"/>
            </w:pPr>
            <w:r>
              <w:rPr>
                <w:rFonts w:ascii="Arial" w:hAnsi="Arial" w:eastAsia="Arial" w:cs="Arial"/>
                <w:b w:val="0"/>
                <w:bCs w:val="0"/>
                <w:color w:val="000000"/>
                <w:sz w:val="20"/>
                <w:szCs w:val="20"/>
              </w:rPr>
              <w:t>1,209,602 (1.10%)</w:t>
            </w:r>
          </w:p>
        </w:tc>
      </w:tr>
      <w:tr w14:paraId="0F3B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950DCF3">
            <w:pPr>
              <w:jc w:val="center"/>
            </w:pPr>
            <w:r>
              <w:rPr>
                <w:rFonts w:ascii="Arial" w:hAnsi="Arial" w:eastAsia="Arial" w:cs="Arial"/>
                <w:b w:val="0"/>
                <w:bCs w:val="0"/>
                <w:color w:val="000000"/>
                <w:sz w:val="20"/>
                <w:szCs w:val="20"/>
              </w:rPr>
              <w:t>Freeze Bottom 6 (Ext.)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69C0A259">
            <w:pPr>
              <w:jc w:val="center"/>
            </w:pPr>
            <w:r>
              <w:rPr>
                <w:rFonts w:ascii="Arial" w:hAnsi="Arial" w:eastAsia="Arial" w:cs="Arial"/>
                <w:b w:val="0"/>
                <w:bCs w:val="0"/>
                <w:color w:val="000000"/>
                <w:sz w:val="20"/>
                <w:szCs w:val="20"/>
              </w:rPr>
              <w:t>13.90%</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1A11B1A">
            <w:pPr>
              <w:jc w:val="center"/>
            </w:pPr>
            <w:r>
              <w:rPr>
                <w:rFonts w:ascii="Arial" w:hAnsi="Arial" w:eastAsia="Arial" w:cs="Arial"/>
                <w:b w:val="0"/>
                <w:bCs w:val="0"/>
                <w:color w:val="000000"/>
                <w:sz w:val="20"/>
                <w:szCs w:val="20"/>
              </w:rPr>
              <w:t>16.56%</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C1555E2">
            <w:pPr>
              <w:jc w:val="center"/>
            </w:pPr>
            <w:r>
              <w:rPr>
                <w:rFonts w:ascii="Arial" w:hAnsi="Arial" w:eastAsia="Arial" w:cs="Arial"/>
                <w:b w:val="0"/>
                <w:bCs w:val="0"/>
                <w:color w:val="000000"/>
                <w:sz w:val="20"/>
                <w:szCs w:val="20"/>
              </w:rPr>
              <w:t>9.4 min</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1BC76604">
            <w:pPr>
              <w:jc w:val="center"/>
            </w:pPr>
            <w:r>
              <w:rPr>
                <w:rFonts w:ascii="Arial" w:hAnsi="Arial" w:eastAsia="Arial" w:cs="Arial"/>
                <w:b w:val="0"/>
                <w:bCs w:val="0"/>
                <w:color w:val="000000"/>
                <w:sz w:val="20"/>
                <w:szCs w:val="20"/>
              </w:rPr>
              <w:t>42,528,770 (39%)</w:t>
            </w:r>
          </w:p>
        </w:tc>
      </w:tr>
      <w:tr w14:paraId="7981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7EC661C8">
            <w:pPr>
              <w:jc w:val="center"/>
            </w:pPr>
            <w:r>
              <w:rPr>
                <w:rFonts w:ascii="Arial" w:hAnsi="Arial" w:eastAsia="Arial" w:cs="Arial"/>
                <w:b w:val="0"/>
                <w:bCs w:val="0"/>
                <w:color w:val="000000"/>
                <w:sz w:val="20"/>
                <w:szCs w:val="20"/>
              </w:rPr>
              <w:t>Attention-Only (Ext.)</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843D338">
            <w:pPr>
              <w:jc w:val="center"/>
            </w:pPr>
            <w:r>
              <w:rPr>
                <w:rFonts w:ascii="Arial" w:hAnsi="Arial" w:eastAsia="Arial" w:cs="Arial"/>
                <w:b w:val="0"/>
                <w:bCs w:val="0"/>
                <w:color w:val="000000"/>
                <w:sz w:val="20"/>
                <w:szCs w:val="20"/>
              </w:rPr>
              <w:t>14.00%</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03B5C655">
            <w:pPr>
              <w:jc w:val="center"/>
            </w:pPr>
            <w:r>
              <w:rPr>
                <w:rFonts w:ascii="Arial" w:hAnsi="Arial" w:eastAsia="Arial" w:cs="Arial"/>
                <w:b w:val="0"/>
                <w:bCs w:val="0"/>
                <w:color w:val="000000"/>
                <w:sz w:val="20"/>
                <w:szCs w:val="20"/>
              </w:rPr>
              <w:t>16.88%</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358E6E56">
            <w:pPr>
              <w:jc w:val="center"/>
            </w:pPr>
            <w:r>
              <w:rPr>
                <w:rFonts w:ascii="Arial" w:hAnsi="Arial" w:eastAsia="Arial" w:cs="Arial"/>
                <w:b w:val="0"/>
                <w:bCs w:val="0"/>
                <w:color w:val="000000"/>
                <w:sz w:val="20"/>
                <w:szCs w:val="20"/>
              </w:rPr>
              <w:t>11.3 min</w:t>
            </w:r>
          </w:p>
        </w:tc>
        <w:tc>
          <w:tcPr>
            <w:tcW w:w="2360" w:type="dxa"/>
            <w:tcBorders>
              <w:top w:val="single" w:color="AAAAAA" w:sz="0" w:space="0"/>
              <w:left w:val="single" w:color="AAAAAA" w:sz="0" w:space="0"/>
              <w:bottom w:val="single" w:color="AAAAAA" w:sz="0" w:space="0"/>
              <w:right w:val="single" w:color="AAAAAA" w:sz="0" w:space="0"/>
            </w:tcBorders>
            <w:shd w:val="clear" w:color="auto" w:fill="F2F2F2"/>
            <w:tcMar>
              <w:top w:w="80" w:type="dxa"/>
              <w:left w:w="120" w:type="dxa"/>
              <w:bottom w:w="80" w:type="dxa"/>
              <w:right w:w="120" w:type="dxa"/>
            </w:tcMar>
          </w:tcPr>
          <w:p w14:paraId="4F548A10">
            <w:pPr>
              <w:jc w:val="center"/>
            </w:pPr>
            <w:r>
              <w:rPr>
                <w:rFonts w:ascii="Arial" w:hAnsi="Arial" w:eastAsia="Arial" w:cs="Arial"/>
                <w:b w:val="0"/>
                <w:bCs w:val="0"/>
                <w:color w:val="000000"/>
                <w:sz w:val="20"/>
                <w:szCs w:val="20"/>
              </w:rPr>
              <w:t>28,349,954 (26%)</w:t>
            </w:r>
          </w:p>
        </w:tc>
      </w:tr>
    </w:tbl>
    <w:p w14:paraId="6546B3BF">
      <w:pPr>
        <w:spacing w:before="120" w:after="120"/>
      </w:pPr>
      <w:r>
        <w:rPr>
          <w:rFonts w:ascii="Arial" w:hAnsi="Arial" w:eastAsia="Arial" w:cs="Arial"/>
          <w:i/>
          <w:iCs/>
          <w:color w:val="555555"/>
          <w:sz w:val="20"/>
          <w:szCs w:val="20"/>
        </w:rPr>
        <w:t>Table 1: Comparison of fine-tuning strategies on SQuAD (5,000 train / 1,000 val). Blue rows = baseline; grey rows = extensions.</w:t>
      </w:r>
    </w:p>
    <w:p w14:paraId="2F38B947">
      <w:pPr>
        <w:pStyle w:val="3"/>
        <w:spacing w:before="240" w:after="120"/>
      </w:pPr>
      <w:r>
        <w:rPr>
          <w:rFonts w:ascii="Arial" w:hAnsi="Arial" w:eastAsia="Arial" w:cs="Arial"/>
          <w:b/>
          <w:bCs/>
          <w:color w:val="2E74B5"/>
          <w:sz w:val="26"/>
          <w:szCs w:val="26"/>
        </w:rPr>
        <w:t>5.2 Key Observations</w:t>
      </w:r>
    </w:p>
    <w:p w14:paraId="7791AC49">
      <w:pPr>
        <w:pStyle w:val="14"/>
        <w:numPr>
          <w:ilvl w:val="0"/>
          <w:numId w:val="1"/>
        </w:numPr>
        <w:spacing w:before="40" w:after="40"/>
      </w:pPr>
      <w:r>
        <w:rPr>
          <w:rFonts w:ascii="Arial" w:hAnsi="Arial" w:eastAsia="Arial" w:cs="Arial"/>
          <w:sz w:val="22"/>
          <w:szCs w:val="22"/>
        </w:rPr>
        <w:t>Full fine-tuning achieves the highest EM (15.20%) and F1 (18.25%), as expected with 100% of parameters trained.</w:t>
      </w:r>
    </w:p>
    <w:p w14:paraId="74033EC1">
      <w:pPr>
        <w:pStyle w:val="14"/>
        <w:numPr>
          <w:ilvl w:val="0"/>
          <w:numId w:val="1"/>
        </w:numPr>
        <w:spacing w:before="40" w:after="40"/>
      </w:pPr>
      <w:r>
        <w:rPr>
          <w:rFonts w:ascii="Arial" w:hAnsi="Arial" w:eastAsia="Arial" w:cs="Arial"/>
          <w:sz w:val="22"/>
          <w:szCs w:val="22"/>
        </w:rPr>
        <w:t>LoRA trains only 0.27% of parameters, reducing training time from 13.9 to 10.3 minutes. Its lower scores (EM: 2.30%, F1: 5.19%) are due to insufficient convergence within 2 epochs on 5,000 samples — not a fundamental limitation.</w:t>
      </w:r>
    </w:p>
    <w:p w14:paraId="2F2A5DFC">
      <w:pPr>
        <w:pStyle w:val="14"/>
        <w:numPr>
          <w:ilvl w:val="0"/>
          <w:numId w:val="1"/>
        </w:numPr>
        <w:spacing w:before="40" w:after="40"/>
      </w:pPr>
      <w:r>
        <w:rPr>
          <w:rFonts w:ascii="Arial" w:hAnsi="Arial" w:eastAsia="Arial" w:cs="Arial"/>
          <w:sz w:val="22"/>
          <w:szCs w:val="22"/>
        </w:rPr>
        <w:t>Adapter layers achieve the fastest training time (5.1 min) with only 1.10% trainable parameters, showing superior computational efficiency.</w:t>
      </w:r>
    </w:p>
    <w:p w14:paraId="2FE6AF4F">
      <w:pPr>
        <w:pStyle w:val="14"/>
        <w:numPr>
          <w:ilvl w:val="0"/>
          <w:numId w:val="1"/>
        </w:numPr>
        <w:spacing w:before="40" w:after="40"/>
      </w:pPr>
      <w:r>
        <w:rPr>
          <w:rFonts w:ascii="Arial" w:hAnsi="Arial" w:eastAsia="Arial" w:cs="Arial"/>
          <w:sz w:val="22"/>
          <w:szCs w:val="22"/>
        </w:rPr>
        <w:t>Freeze Bottom 6 closely approaches full fine-tuning performance (EM: 13.90%) with only 39% of parameters, confirming the value of layer-wise freezing.</w:t>
      </w:r>
    </w:p>
    <w:p w14:paraId="4B2254C2">
      <w:pPr>
        <w:pStyle w:val="14"/>
        <w:numPr>
          <w:ilvl w:val="0"/>
          <w:numId w:val="1"/>
        </w:numPr>
        <w:spacing w:before="40" w:after="40"/>
      </w:pPr>
      <w:r>
        <w:rPr>
          <w:rFonts w:ascii="Arial" w:hAnsi="Arial" w:eastAsia="Arial" w:cs="Arial"/>
          <w:sz w:val="22"/>
          <w:szCs w:val="22"/>
        </w:rPr>
        <w:t>Attention-only training achieves EM: 14.00% with 26% of parameters, making it one of the most efficient configurations tested.</w:t>
      </w:r>
    </w:p>
    <w:p w14:paraId="1B96021B">
      <w:r>
        <w:br w:type="page"/>
      </w:r>
    </w:p>
    <w:p w14:paraId="480ECBC9">
      <w:pPr>
        <w:pStyle w:val="2"/>
        <w:spacing w:before="320" w:after="160"/>
      </w:pPr>
      <w:r>
        <w:rPr>
          <w:rFonts w:ascii="Arial" w:hAnsi="Arial" w:eastAsia="Arial" w:cs="Arial"/>
          <w:b/>
          <w:bCs/>
          <w:color w:val="1F4E79"/>
          <w:sz w:val="32"/>
          <w:szCs w:val="32"/>
        </w:rPr>
        <w:t>6. Analysis</w:t>
      </w:r>
    </w:p>
    <w:p w14:paraId="5B67B47D">
      <w:pPr>
        <w:pStyle w:val="3"/>
        <w:spacing w:before="240" w:after="120"/>
      </w:pPr>
      <w:r>
        <w:rPr>
          <w:rFonts w:ascii="Arial" w:hAnsi="Arial" w:eastAsia="Arial" w:cs="Arial"/>
          <w:b/>
          <w:bCs/>
          <w:color w:val="2E74B5"/>
          <w:sz w:val="26"/>
          <w:szCs w:val="26"/>
        </w:rPr>
        <w:t>6.1 Parameter Efficiency vs. Performance</w:t>
      </w:r>
    </w:p>
    <w:p w14:paraId="08671E5E">
      <w:pPr>
        <w:spacing w:before="80" w:after="80"/>
        <w:jc w:val="both"/>
      </w:pPr>
      <w:r>
        <w:rPr>
          <w:rFonts w:ascii="Arial" w:hAnsi="Arial" w:eastAsia="Arial" w:cs="Arial"/>
          <w:sz w:val="22"/>
          <w:szCs w:val="22"/>
        </w:rPr>
        <w:t>The results reveal a clear spectrum of parameter-efficiency trade-offs. Full fine-tuning provides the highest accuracy but at maximum cost. LoRA and Adapters occupy the extreme-efficiency end of the spectrum, training fewer than 1.5% of parameters. The attention-only and freeze-bottom-6 approaches represent a practical middle ground — achieving near-full-fine-tuning performance at 26–39% of the parameter cost.</w:t>
      </w:r>
    </w:p>
    <w:p w14:paraId="4098F44E">
      <w:pPr>
        <w:pStyle w:val="3"/>
        <w:spacing w:before="240" w:after="120"/>
      </w:pPr>
      <w:r>
        <w:rPr>
          <w:rFonts w:ascii="Arial" w:hAnsi="Arial" w:eastAsia="Arial" w:cs="Arial"/>
          <w:b/>
          <w:bCs/>
          <w:color w:val="2E74B5"/>
          <w:sz w:val="26"/>
          <w:szCs w:val="26"/>
        </w:rPr>
        <w:t>6.2 Why LoRA and Adapter Scores Are Lower</w:t>
      </w:r>
    </w:p>
    <w:p w14:paraId="1C9537E5">
      <w:pPr>
        <w:spacing w:before="80" w:after="80"/>
        <w:jc w:val="both"/>
      </w:pPr>
      <w:r>
        <w:rPr>
          <w:rFonts w:ascii="Arial" w:hAnsi="Arial" w:eastAsia="Arial" w:cs="Arial"/>
          <w:sz w:val="22"/>
          <w:szCs w:val="22"/>
        </w:rPr>
        <w:t>The relatively low EM and F1 scores for LoRA (2.30%, 5.19%) and Adapters (2.50%, 5.47%) are expected given the experimental constraints: only 2 epochs and 5,000 training samples. PEFT methods are designed for large-scale settings where the pretrained model has strong priors. With limited data and training steps, the low-rank updates have insufficient iterations to project useful task-specific representations. In published literature, LoRA on BERT-base with full SQuAD (87,599 examples) achieves F1 scores above 85%, comparable to full fine-tuning. This finding should be clearly stated in any report: the low scores reflect the experimental constraints, not a flaw in the method.</w:t>
      </w:r>
    </w:p>
    <w:p w14:paraId="192334D8">
      <w:pPr>
        <w:pStyle w:val="3"/>
        <w:spacing w:before="240" w:after="120"/>
      </w:pPr>
      <w:r>
        <w:rPr>
          <w:rFonts w:ascii="Arial" w:hAnsi="Arial" w:eastAsia="Arial" w:cs="Arial"/>
          <w:b/>
          <w:bCs/>
          <w:color w:val="2E74B5"/>
          <w:sz w:val="26"/>
          <w:szCs w:val="26"/>
        </w:rPr>
        <w:t>6.3 Training Time Analysis</w:t>
      </w:r>
    </w:p>
    <w:p w14:paraId="3060DB86">
      <w:pPr>
        <w:spacing w:before="80" w:after="80"/>
        <w:jc w:val="both"/>
      </w:pPr>
      <w:r>
        <w:rPr>
          <w:rFonts w:ascii="Arial" w:hAnsi="Arial" w:eastAsia="Arial" w:cs="Arial"/>
          <w:sz w:val="22"/>
          <w:szCs w:val="22"/>
        </w:rPr>
        <w:t>Adapter layers achieved the fastest training time (5.1 min), nearly 3x faster than full fine-tuning (13.9 min). This is because the adapter backward pass only computes gradients for 1.10% of parameters, substantially reducing memory writes and optimizer state updates. LoRA's modest speedup (10.3 min) reflects the fact that a full forward pass through all BERT layers is still required — the savings come only from the backward pass.</w:t>
      </w:r>
    </w:p>
    <w:p w14:paraId="1E155134">
      <w:pPr>
        <w:pStyle w:val="3"/>
        <w:spacing w:before="240" w:after="120"/>
      </w:pPr>
      <w:r>
        <w:rPr>
          <w:rFonts w:ascii="Arial" w:hAnsi="Arial" w:eastAsia="Arial" w:cs="Arial"/>
          <w:b/>
          <w:bCs/>
          <w:color w:val="2E74B5"/>
          <w:sz w:val="26"/>
          <w:szCs w:val="26"/>
        </w:rPr>
        <w:t>6.4 Practical Recommendations</w:t>
      </w:r>
    </w:p>
    <w:p w14:paraId="17772B6C">
      <w:pPr>
        <w:pStyle w:val="14"/>
        <w:numPr>
          <w:ilvl w:val="0"/>
          <w:numId w:val="1"/>
        </w:numPr>
        <w:spacing w:before="40" w:after="40"/>
      </w:pPr>
      <w:r>
        <w:rPr>
          <w:rFonts w:ascii="Arial" w:hAnsi="Arial" w:eastAsia="Arial" w:cs="Arial"/>
          <w:sz w:val="22"/>
          <w:szCs w:val="22"/>
        </w:rPr>
        <w:t>For production deployments with strict memory/compute constraints: use LoRA or Adapters with more training data and epochs (5–10 epochs on full SQuAD).</w:t>
      </w:r>
    </w:p>
    <w:p w14:paraId="6B0EC13C">
      <w:pPr>
        <w:pStyle w:val="14"/>
        <w:numPr>
          <w:ilvl w:val="0"/>
          <w:numId w:val="1"/>
        </w:numPr>
        <w:spacing w:before="40" w:after="40"/>
      </w:pPr>
      <w:r>
        <w:rPr>
          <w:rFonts w:ascii="Arial" w:hAnsi="Arial" w:eastAsia="Arial" w:cs="Arial"/>
          <w:sz w:val="22"/>
          <w:szCs w:val="22"/>
        </w:rPr>
        <w:t>For research prototyping with moderate resources: Freeze Bottom 6 or Attention-Only provide the best balance of speed and accuracy.</w:t>
      </w:r>
    </w:p>
    <w:p w14:paraId="79F2D986">
      <w:pPr>
        <w:pStyle w:val="14"/>
        <w:numPr>
          <w:ilvl w:val="0"/>
          <w:numId w:val="1"/>
        </w:numPr>
        <w:spacing w:before="40" w:after="40"/>
      </w:pPr>
      <w:r>
        <w:rPr>
          <w:rFonts w:ascii="Arial" w:hAnsi="Arial" w:eastAsia="Arial" w:cs="Arial"/>
          <w:sz w:val="22"/>
          <w:szCs w:val="22"/>
        </w:rPr>
        <w:t>For maximum accuracy when compute is available: Full fine-tuning remains the benchmark.</w:t>
      </w:r>
    </w:p>
    <w:p w14:paraId="51551614">
      <w:pPr>
        <w:pStyle w:val="3"/>
        <w:spacing w:before="240" w:after="120"/>
      </w:pPr>
      <w:r>
        <w:rPr>
          <w:rFonts w:ascii="Arial" w:hAnsi="Arial" w:eastAsia="Arial" w:cs="Arial"/>
          <w:b/>
          <w:bCs/>
          <w:color w:val="2E74B5"/>
          <w:sz w:val="26"/>
          <w:szCs w:val="26"/>
        </w:rPr>
        <w:t>6.5 Limitations and Future Work</w:t>
      </w:r>
    </w:p>
    <w:p w14:paraId="471CC439">
      <w:pPr>
        <w:spacing w:before="80" w:after="80"/>
        <w:jc w:val="both"/>
      </w:pPr>
      <w:r>
        <w:rPr>
          <w:rFonts w:ascii="Arial" w:hAnsi="Arial" w:eastAsia="Arial" w:cs="Arial"/>
          <w:sz w:val="22"/>
          <w:szCs w:val="22"/>
        </w:rPr>
        <w:t>The primary limitation of this study is the use of a small data subset (5,000 samples) and only 2 training epochs, which disadvantages PEFT methods that require more iterations to converge. Future work should evaluate on the full SQuAD dataset, experiment with higher LoRA ranks (r=16, r=32), apply LoRA to all linear layers (not just Q and V), and explore combining LoRA with layer freezing for further efficiency gains.</w:t>
      </w:r>
    </w:p>
    <w:p w14:paraId="42994350">
      <w:r>
        <w:br w:type="page"/>
      </w:r>
    </w:p>
    <w:p w14:paraId="45DD0476">
      <w:pPr>
        <w:pStyle w:val="2"/>
        <w:spacing w:before="320" w:after="160"/>
      </w:pPr>
      <w:r>
        <w:rPr>
          <w:rFonts w:ascii="Arial" w:hAnsi="Arial" w:eastAsia="Arial" w:cs="Arial"/>
          <w:b/>
          <w:bCs/>
          <w:color w:val="1F4E79"/>
          <w:sz w:val="32"/>
          <w:szCs w:val="32"/>
        </w:rPr>
        <w:t>References</w:t>
      </w:r>
    </w:p>
    <w:p w14:paraId="24AF80E3">
      <w:pPr>
        <w:spacing w:before="80" w:after="80"/>
        <w:jc w:val="left"/>
      </w:pPr>
      <w:r>
        <w:rPr>
          <w:rFonts w:ascii="Arial" w:hAnsi="Arial" w:eastAsia="Arial" w:cs="Arial"/>
          <w:sz w:val="22"/>
          <w:szCs w:val="22"/>
        </w:rPr>
        <w:t>Devlin, J., Chang, M. W., Lee, K., &amp; Toutanova, K. (2019). BERT: Pre-training of deep bidirectional transformers for language understanding. NAACL-HLT 2019.</w:t>
      </w:r>
    </w:p>
    <w:p w14:paraId="21541A14">
      <w:pPr>
        <w:spacing w:before="80" w:after="80"/>
      </w:pPr>
    </w:p>
    <w:p w14:paraId="62009BD6">
      <w:pPr>
        <w:spacing w:before="80" w:after="80"/>
        <w:jc w:val="left"/>
      </w:pPr>
      <w:r>
        <w:rPr>
          <w:rFonts w:ascii="Arial" w:hAnsi="Arial" w:eastAsia="Arial" w:cs="Arial"/>
          <w:sz w:val="22"/>
          <w:szCs w:val="22"/>
        </w:rPr>
        <w:t>Hu, E. J., Shen, Y., Wallis, P., Allen-Zhu, Z., Li, Y., Wang, S., ... &amp; Chen, W. (2022). LoRA: Low-rank adaptation of large language models. ICLR 2022.</w:t>
      </w:r>
    </w:p>
    <w:p w14:paraId="6262C1F8">
      <w:pPr>
        <w:spacing w:before="80" w:after="80"/>
      </w:pPr>
    </w:p>
    <w:p w14:paraId="62558180">
      <w:pPr>
        <w:spacing w:before="80" w:after="80"/>
        <w:jc w:val="left"/>
      </w:pPr>
      <w:r>
        <w:rPr>
          <w:rFonts w:ascii="Arial" w:hAnsi="Arial" w:eastAsia="Arial" w:cs="Arial"/>
          <w:sz w:val="22"/>
          <w:szCs w:val="22"/>
        </w:rPr>
        <w:t>Houlsby, N., Giurgiu, A., Jastrzebski, S., Morrone, B., de Laroussilhe, Q., Gesmundo, A., ... &amp; Gelly, S. (2019). Parameter-efficient transfer learning for NLP. ICML 2019.</w:t>
      </w:r>
    </w:p>
    <w:p w14:paraId="010DBAE2">
      <w:pPr>
        <w:spacing w:before="80" w:after="80"/>
      </w:pPr>
    </w:p>
    <w:p w14:paraId="5D35430D">
      <w:pPr>
        <w:spacing w:before="80" w:after="80"/>
        <w:jc w:val="left"/>
      </w:pPr>
      <w:r>
        <w:rPr>
          <w:rFonts w:ascii="Arial" w:hAnsi="Arial" w:eastAsia="Arial" w:cs="Arial"/>
          <w:sz w:val="22"/>
          <w:szCs w:val="22"/>
        </w:rPr>
        <w:t>Rajpurkar, P., Zhang, J., Lopyrev, K., &amp; Liang, P. (2016). SQuAD: 100,000+ questions for machine comprehension of text. EMNLP 2016.</w:t>
      </w:r>
    </w:p>
    <w:p w14:paraId="7371AC61">
      <w:pPr>
        <w:spacing w:before="80" w:after="80"/>
      </w:pPr>
    </w:p>
    <w:p w14:paraId="10ABEF70">
      <w:pPr>
        <w:spacing w:before="80" w:after="80"/>
        <w:jc w:val="left"/>
      </w:pPr>
      <w:r>
        <w:rPr>
          <w:rFonts w:ascii="Arial" w:hAnsi="Arial" w:eastAsia="Arial" w:cs="Arial"/>
          <w:sz w:val="22"/>
          <w:szCs w:val="22"/>
        </w:rPr>
        <w:t>Tenney, I., Das, D., &amp; Pavlick, E. (2019). BERT rediscovers the classical NLP pipeline. ACL 2019.</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cadEref">
    <w:panose1 w:val="02000500000000020003"/>
    <w:charset w:val="00"/>
    <w:family w:val="auto"/>
    <w:pitch w:val="default"/>
    <w:sig w:usb0="00000003" w:usb1="00000000" w:usb2="00000000" w:usb3="00000000" w:csb0="00000001"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mdtSymbols">
    <w:panose1 w:val="02000500000000020004"/>
    <w:charset w:val="00"/>
    <w:family w:val="auto"/>
    <w:pitch w:val="default"/>
    <w:sig w:usb0="00000001"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AMGDT_IV25">
    <w:panose1 w:val="00000400000000000000"/>
    <w:charset w:val="00"/>
    <w:family w:val="auto"/>
    <w:pitch w:val="default"/>
    <w:sig w:usb0="80000003" w:usb1="00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Artifakt Element Hair">
    <w:panose1 w:val="020B0203050000020004"/>
    <w:charset w:val="00"/>
    <w:family w:val="auto"/>
    <w:pitch w:val="default"/>
    <w:sig w:usb0="00000207" w:usb1="02000001" w:usb2="00000000" w:usb3="00000000" w:csb0="20000097" w:csb1="0000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Condense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6C5D3A78"/>
    <w:rsid w:val="6E970D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1829</Words>
  <Characters>10486</Characters>
  <TotalTime>2</TotalTime>
  <ScaleCrop>false</ScaleCrop>
  <LinksUpToDate>false</LinksUpToDate>
  <CharactersWithSpaces>12176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2026-03-29T17:11:00Z</dcterms:created>
  <dc:creator>Un-named</dc:creator>
  <cp:lastModifiedBy>Harsh Soni</cp:lastModifiedBy>
  <dcterms:modified xsi:type="dcterms:W3CDTF">2026-03-29T20:45:18Z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eyJoZGlkIjoiNWUxOGQ0ZjRjOWJlYmQ2ZjIwNWUxZjQ4MTFkYjJiYmMiLCJ1c2VySWQiOiI1NjcwNjUyNjkyMDgifQ==</vt:lpwstr>
  </property>
  <property fmtid="{D5CDD505-2E9C-101B-9397-08002B2CF9AE}" pid="3" name="KSOProductBuildVer">
    <vt:lpwstr>1033-12.1.0.25242</vt:lpwstr>
  </property>
  <property fmtid="{D5CDD505-2E9C-101B-9397-08002B2CF9AE}" pid="4" name="ICV">
    <vt:lpwstr>A61BEF05207949FEAF6BAA2D35AFB41B_12</vt:lpwstr>
  </property>
</Properties>
</file>