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B3A57"/>
          <w:sz w:val="52"/>
          <w:szCs w:val="52"/>
        </w:rPr>
        <w:t xml:space="preserve">Business Insights Report</w:t>
      </w:r>
    </w:p>
    <w:p>
      <w:pPr>
        <w:spacing w:before="200"/>
        <w:jc w:val="center"/>
      </w:pPr>
      <w:r>
        <w:rPr>
          <w:b/>
          <w:bCs/>
          <w:color w:val="2E5F8A"/>
          <w:sz w:val="36"/>
          <w:szCs w:val="36"/>
        </w:rPr>
        <w:t xml:space="preserve">P105</w:t>
      </w:r>
    </w:p>
    <w:p>
      <w:pPr>
        <w:spacing w:after="400"/>
      </w:pPr>
    </w:p>
    <w:p>
      <w:pPr>
        <w:jc w:val="center"/>
      </w:pPr>
      <w:r>
        <w:rPr>
          <w:color w:val="333333"/>
          <w:sz w:val="26"/>
          <w:szCs w:val="26"/>
        </w:rPr>
        <w:t xml:space="preserve">Product Cannibalization &amp; Demand Shift Analysis</w:t>
      </w:r>
    </w:p>
    <w:p>
      <w:pPr>
        <w:spacing w:after="800"/>
      </w:pPr>
    </w:p>
    <w:p>
      <w:pPr>
        <w:jc w:val="center"/>
      </w:pPr>
      <w:r>
        <w:rPr>
          <w:color w:val="666666"/>
          <w:sz w:val="22"/>
          <w:szCs w:val="22"/>
        </w:rPr>
        <w:t xml:space="preserve">Version 1.0</w:t>
      </w:r>
    </w:p>
    <w:p>
      <w:pPr>
        <w:spacing w:before="120"/>
        <w:jc w:val="center"/>
      </w:pPr>
      <w:r>
        <w:rPr>
          <w:color w:val="666666"/>
          <w:sz w:val="22"/>
          <w:szCs w:val="22"/>
        </w:rPr>
        <w:t xml:space="preserve">Prepared by: Harish Chavan</w:t>
      </w:r>
    </w:p>
    <w:p>
      <w:r>
        <w:br w:type="page"/>
      </w:r>
    </w:p>
    <w:p>
      <w:pPr>
        <w:pStyle w:val="Heading1"/>
        <w:pBdr>
          <w:bottom w:val="single" w:color="2E5F8A" w:sz="8" w:space="4"/>
        </w:pBdr>
        <w:spacing w:after="180" w:before="360"/>
      </w:pPr>
      <w:r>
        <w:rPr>
          <w:b/>
          <w:bCs/>
          <w:color w:val="1B3A57"/>
          <w:sz w:val="30"/>
          <w:szCs w:val="30"/>
        </w:rPr>
        <w:t xml:space="preserve">Report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3A57" w:color="auto" w:val="clear"/>
            <w:tcMar>
              <w:top w:type="dxa" w:w="80"/>
              <w:left w:type="dxa" w:w="100"/>
              <w:bottom w:type="dxa" w:w="80"/>
              <w:right w:type="dxa" w:w="100"/>
            </w:tcMar>
            <w:vAlign w:val="center"/>
          </w:tcPr>
          <w:p>
            <w:r>
              <w:rPr>
                <w:b/>
                <w:bCs/>
                <w:color w:val="FFFFFF"/>
                <w:sz w:val="21"/>
                <w:szCs w:val="21"/>
              </w:rPr>
              <w:t xml:space="preserve">Field</w:t>
            </w:r>
          </w:p>
        </w:tc>
        <w:tc>
          <w:tcPr>
            <w:tcW w:type="dxa" w:w="6160"/>
            <w:shd w:fill="1B3A57" w:color="auto" w:val="clear"/>
            <w:tcMar>
              <w:top w:type="dxa" w:w="80"/>
              <w:left w:type="dxa" w:w="100"/>
              <w:bottom w:type="dxa" w:w="80"/>
              <w:right w:type="dxa" w:w="100"/>
            </w:tcMar>
            <w:vAlign w:val="center"/>
          </w:tcPr>
          <w:p>
            <w:r>
              <w:rPr>
                <w:b/>
                <w:bCs/>
                <w:color w:val="FFFFFF"/>
                <w:sz w:val="21"/>
                <w:szCs w:val="21"/>
              </w:rPr>
              <w:t xml:space="preserve">Detail</w:t>
            </w:r>
          </w:p>
        </w:tc>
      </w:tr>
      <w:tr>
        <w:tc>
          <w:tcPr>
            <w:tcW w:type="dxa" w:w="3200"/>
            <w:tcMar>
              <w:top w:type="dxa" w:w="70"/>
              <w:left w:type="dxa" w:w="100"/>
              <w:bottom w:type="dxa" w:w="70"/>
              <w:right w:type="dxa" w:w="100"/>
            </w:tcMar>
            <w:vAlign w:val="center"/>
          </w:tcPr>
          <w:p>
            <w:r>
              <w:rPr>
                <w:sz w:val="21"/>
                <w:szCs w:val="21"/>
              </w:rPr>
              <w:t xml:space="preserve">Prepared By</w:t>
            </w:r>
          </w:p>
        </w:tc>
        <w:tc>
          <w:tcPr>
            <w:tcW w:type="dxa" w:w="6160"/>
            <w:tcMar>
              <w:top w:type="dxa" w:w="70"/>
              <w:left w:type="dxa" w:w="100"/>
              <w:bottom w:type="dxa" w:w="70"/>
              <w:right w:type="dxa" w:w="100"/>
            </w:tcMar>
            <w:vAlign w:val="center"/>
          </w:tcPr>
          <w:p>
            <w:r>
              <w:rPr>
                <w:sz w:val="21"/>
                <w:szCs w:val="21"/>
              </w:rPr>
              <w:t xml:space="preserve">Harish Chavan</w:t>
            </w:r>
          </w:p>
        </w:tc>
      </w:tr>
      <w:tr>
        <w:tc>
          <w:tcPr>
            <w:tcW w:type="dxa" w:w="3200"/>
            <w:shd w:fill="EAF1F8" w:color="auto" w:val="clear"/>
            <w:tcMar>
              <w:top w:type="dxa" w:w="70"/>
              <w:left w:type="dxa" w:w="100"/>
              <w:bottom w:type="dxa" w:w="70"/>
              <w:right w:type="dxa" w:w="100"/>
            </w:tcMar>
            <w:vAlign w:val="center"/>
          </w:tcPr>
          <w:p>
            <w:r>
              <w:rPr>
                <w:sz w:val="21"/>
                <w:szCs w:val="21"/>
              </w:rPr>
              <w:t xml:space="preserve">Date</w:t>
            </w:r>
          </w:p>
        </w:tc>
        <w:tc>
          <w:tcPr>
            <w:tcW w:type="dxa" w:w="6160"/>
            <w:shd w:fill="EAF1F8" w:color="auto" w:val="clear"/>
            <w:tcMar>
              <w:top w:type="dxa" w:w="70"/>
              <w:left w:type="dxa" w:w="100"/>
              <w:bottom w:type="dxa" w:w="70"/>
              <w:right w:type="dxa" w:w="100"/>
            </w:tcMar>
            <w:vAlign w:val="center"/>
          </w:tcPr>
          <w:p>
            <w:r>
              <w:rPr>
                <w:sz w:val="21"/>
                <w:szCs w:val="21"/>
              </w:rPr>
              <w:t xml:space="preserve">July 2026</w:t>
            </w:r>
          </w:p>
        </w:tc>
      </w:tr>
      <w:tr>
        <w:tc>
          <w:tcPr>
            <w:tcW w:type="dxa" w:w="3200"/>
            <w:tcMar>
              <w:top w:type="dxa" w:w="70"/>
              <w:left w:type="dxa" w:w="100"/>
              <w:bottom w:type="dxa" w:w="70"/>
              <w:right w:type="dxa" w:w="100"/>
            </w:tcMar>
            <w:vAlign w:val="center"/>
          </w:tcPr>
          <w:p>
            <w:r>
              <w:rPr>
                <w:sz w:val="21"/>
                <w:szCs w:val="21"/>
              </w:rPr>
              <w:t xml:space="preserve">Dataset</w:t>
            </w:r>
          </w:p>
        </w:tc>
        <w:tc>
          <w:tcPr>
            <w:tcW w:type="dxa" w:w="6160"/>
            <w:tcMar>
              <w:top w:type="dxa" w:w="70"/>
              <w:left w:type="dxa" w:w="100"/>
              <w:bottom w:type="dxa" w:w="70"/>
              <w:right w:type="dxa" w:w="100"/>
            </w:tcMar>
            <w:vAlign w:val="center"/>
          </w:tcPr>
          <w:p>
            <w:r>
              <w:rPr>
                <w:sz w:val="21"/>
                <w:szCs w:val="21"/>
              </w:rPr>
              <w:t xml:space="preserve">60,000 transaction records (Jan 2023 – Dec 2024)</w:t>
            </w:r>
          </w:p>
        </w:tc>
      </w:tr>
    </w:tbl>
    <w:p>
      <w:pPr>
        <w:pStyle w:val="Heading1"/>
        <w:pBdr>
          <w:bottom w:val="single" w:color="2E5F8A" w:sz="8" w:space="4"/>
        </w:pBdr>
        <w:spacing w:after="180" w:before="360"/>
      </w:pPr>
      <w:r>
        <w:rPr>
          <w:b/>
          <w:bCs/>
          <w:color w:val="1B3A57"/>
          <w:sz w:val="30"/>
          <w:szCs w:val="30"/>
        </w:rPr>
        <w:t xml:space="preserve">Executive Summary</w:t>
      </w:r>
    </w:p>
    <w:p>
      <w:pPr>
        <w:spacing w:after="140"/>
      </w:pPr>
      <w:r>
        <w:rPr>
          <w:sz w:val="22"/>
          <w:szCs w:val="22"/>
        </w:rPr>
        <w:t xml:space="preserve">This analysis examines the impact of launching five new products (P1–P5) in June 2024 on existing product sales. The key finding is that P6 experienced significant cannibalization from new launches P4 and P5 within the same product group (G2).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3A57" w:color="auto" w:val="clear"/>
            <w:tcMar>
              <w:top w:type="dxa" w:w="80"/>
              <w:left w:type="dxa" w:w="100"/>
              <w:bottom w:type="dxa" w:w="80"/>
              <w:right w:type="dxa" w:w="100"/>
            </w:tcMar>
            <w:vAlign w:val="center"/>
          </w:tcPr>
          <w:p>
            <w:r>
              <w:rPr>
                <w:b/>
                <w:bCs/>
                <w:color w:val="FFFFFF"/>
                <w:sz w:val="21"/>
                <w:szCs w:val="21"/>
              </w:rPr>
              <w:t xml:space="preserve">Metric</w:t>
            </w:r>
          </w:p>
        </w:tc>
        <w:tc>
          <w:tcPr>
            <w:tcW w:type="dxa" w:w="6160"/>
            <w:shd w:fill="1B3A57" w:color="auto" w:val="clear"/>
            <w:tcMar>
              <w:top w:type="dxa" w:w="80"/>
              <w:left w:type="dxa" w:w="100"/>
              <w:bottom w:type="dxa" w:w="80"/>
              <w:right w:type="dxa" w:w="100"/>
            </w:tcMar>
            <w:vAlign w:val="center"/>
          </w:tcPr>
          <w:p>
            <w:r>
              <w:rPr>
                <w:b/>
                <w:bCs/>
                <w:color w:val="FFFFFF"/>
                <w:sz w:val="21"/>
                <w:szCs w:val="21"/>
              </w:rPr>
              <w:t xml:space="preserve">Value</w:t>
            </w:r>
          </w:p>
        </w:tc>
      </w:tr>
      <w:tr>
        <w:tc>
          <w:tcPr>
            <w:tcW w:type="dxa" w:w="3200"/>
            <w:tcMar>
              <w:top w:type="dxa" w:w="70"/>
              <w:left w:type="dxa" w:w="100"/>
              <w:bottom w:type="dxa" w:w="70"/>
              <w:right w:type="dxa" w:w="100"/>
            </w:tcMar>
            <w:vAlign w:val="center"/>
          </w:tcPr>
          <w:p>
            <w:r>
              <w:rPr>
                <w:sz w:val="21"/>
                <w:szCs w:val="21"/>
              </w:rPr>
              <w:t xml:space="preserve">Launch Date</w:t>
            </w:r>
          </w:p>
        </w:tc>
        <w:tc>
          <w:tcPr>
            <w:tcW w:type="dxa" w:w="6160"/>
            <w:tcMar>
              <w:top w:type="dxa" w:w="70"/>
              <w:left w:type="dxa" w:w="100"/>
              <w:bottom w:type="dxa" w:w="70"/>
              <w:right w:type="dxa" w:w="100"/>
            </w:tcMar>
            <w:vAlign w:val="center"/>
          </w:tcPr>
          <w:p>
            <w:r>
              <w:rPr>
                <w:sz w:val="21"/>
                <w:szCs w:val="21"/>
              </w:rPr>
              <w:t xml:space="preserve">June 1, 2024</w:t>
            </w:r>
          </w:p>
        </w:tc>
      </w:tr>
      <w:tr>
        <w:tc>
          <w:tcPr>
            <w:tcW w:type="dxa" w:w="3200"/>
            <w:shd w:fill="EAF1F8" w:color="auto" w:val="clear"/>
            <w:tcMar>
              <w:top w:type="dxa" w:w="70"/>
              <w:left w:type="dxa" w:w="100"/>
              <w:bottom w:type="dxa" w:w="70"/>
              <w:right w:type="dxa" w:w="100"/>
            </w:tcMar>
            <w:vAlign w:val="center"/>
          </w:tcPr>
          <w:p>
            <w:r>
              <w:rPr>
                <w:sz w:val="21"/>
                <w:szCs w:val="21"/>
              </w:rPr>
              <w:t xml:space="preserve">Launched Products</w:t>
            </w:r>
          </w:p>
        </w:tc>
        <w:tc>
          <w:tcPr>
            <w:tcW w:type="dxa" w:w="6160"/>
            <w:shd w:fill="EAF1F8" w:color="auto" w:val="clear"/>
            <w:tcMar>
              <w:top w:type="dxa" w:w="70"/>
              <w:left w:type="dxa" w:w="100"/>
              <w:bottom w:type="dxa" w:w="70"/>
              <w:right w:type="dxa" w:w="100"/>
            </w:tcMar>
            <w:vAlign w:val="center"/>
          </w:tcPr>
          <w:p>
            <w:r>
              <w:rPr>
                <w:sz w:val="21"/>
                <w:szCs w:val="21"/>
              </w:rPr>
              <w:t xml:space="preserve">P1, P2, P3 (G1) and P4, P5 (G2)</w:t>
            </w:r>
          </w:p>
        </w:tc>
      </w:tr>
      <w:tr>
        <w:tc>
          <w:tcPr>
            <w:tcW w:type="dxa" w:w="3200"/>
            <w:tcMar>
              <w:top w:type="dxa" w:w="70"/>
              <w:left w:type="dxa" w:w="100"/>
              <w:bottom w:type="dxa" w:w="70"/>
              <w:right w:type="dxa" w:w="100"/>
            </w:tcMar>
            <w:vAlign w:val="center"/>
          </w:tcPr>
          <w:p>
            <w:r>
              <w:rPr>
                <w:sz w:val="21"/>
                <w:szCs w:val="21"/>
              </w:rPr>
              <w:t xml:space="preserve">Cannibalized Product</w:t>
            </w:r>
          </w:p>
        </w:tc>
        <w:tc>
          <w:tcPr>
            <w:tcW w:type="dxa" w:w="6160"/>
            <w:tcMar>
              <w:top w:type="dxa" w:w="70"/>
              <w:left w:type="dxa" w:w="100"/>
              <w:bottom w:type="dxa" w:w="70"/>
              <w:right w:type="dxa" w:w="100"/>
            </w:tcMar>
            <w:vAlign w:val="center"/>
          </w:tcPr>
          <w:p>
            <w:r>
              <w:rPr>
                <w:sz w:val="21"/>
                <w:szCs w:val="21"/>
              </w:rPr>
              <w:t xml:space="preserve">P6 (Beverages, Group G2)</w:t>
            </w:r>
          </w:p>
        </w:tc>
      </w:tr>
      <w:tr>
        <w:tc>
          <w:tcPr>
            <w:tcW w:type="dxa" w:w="3200"/>
            <w:shd w:fill="EAF1F8" w:color="auto" w:val="clear"/>
            <w:tcMar>
              <w:top w:type="dxa" w:w="70"/>
              <w:left w:type="dxa" w:w="100"/>
              <w:bottom w:type="dxa" w:w="70"/>
              <w:right w:type="dxa" w:w="100"/>
            </w:tcMar>
            <w:vAlign w:val="center"/>
          </w:tcPr>
          <w:p>
            <w:r>
              <w:rPr>
                <w:sz w:val="21"/>
                <w:szCs w:val="21"/>
              </w:rPr>
              <w:t xml:space="preserve">P6 Sales Decline</w:t>
            </w:r>
          </w:p>
        </w:tc>
        <w:tc>
          <w:tcPr>
            <w:tcW w:type="dxa" w:w="6160"/>
            <w:shd w:fill="EAF1F8" w:color="auto" w:val="clear"/>
            <w:tcMar>
              <w:top w:type="dxa" w:w="70"/>
              <w:left w:type="dxa" w:w="100"/>
              <w:bottom w:type="dxa" w:w="70"/>
              <w:right w:type="dxa" w:w="100"/>
            </w:tcMar>
            <w:vAlign w:val="center"/>
          </w:tcPr>
          <w:p>
            <w:r>
              <w:rPr>
                <w:sz w:val="21"/>
                <w:szCs w:val="21"/>
              </w:rPr>
              <w:t xml:space="preserve">~38.6% after launch</w:t>
            </w:r>
          </w:p>
        </w:tc>
      </w:tr>
      <w:tr>
        <w:tc>
          <w:tcPr>
            <w:tcW w:type="dxa" w:w="3200"/>
            <w:tcMar>
              <w:top w:type="dxa" w:w="70"/>
              <w:left w:type="dxa" w:w="100"/>
              <w:bottom w:type="dxa" w:w="70"/>
              <w:right w:type="dxa" w:w="100"/>
            </w:tcMar>
            <w:vAlign w:val="center"/>
          </w:tcPr>
          <w:p>
            <w:r>
              <w:rPr>
                <w:sz w:val="21"/>
                <w:szCs w:val="21"/>
              </w:rPr>
              <w:t xml:space="preserve">Cannibalization Rate</w:t>
            </w:r>
          </w:p>
        </w:tc>
        <w:tc>
          <w:tcPr>
            <w:tcW w:type="dxa" w:w="6160"/>
            <w:tcMar>
              <w:top w:type="dxa" w:w="70"/>
              <w:left w:type="dxa" w:w="100"/>
              <w:bottom w:type="dxa" w:w="70"/>
              <w:right w:type="dxa" w:w="100"/>
            </w:tcMar>
            <w:vAlign w:val="center"/>
          </w:tcPr>
          <w:p>
            <w:r>
              <w:rPr>
                <w:sz w:val="21"/>
                <w:szCs w:val="21"/>
              </w:rPr>
              <w:t xml:space="preserve">~18.3%</w:t>
            </w:r>
          </w:p>
        </w:tc>
      </w:tr>
      <w:tr>
        <w:tc>
          <w:tcPr>
            <w:tcW w:type="dxa" w:w="3200"/>
            <w:shd w:fill="EAF1F8" w:color="auto" w:val="clear"/>
            <w:tcMar>
              <w:top w:type="dxa" w:w="70"/>
              <w:left w:type="dxa" w:w="100"/>
              <w:bottom w:type="dxa" w:w="70"/>
              <w:right w:type="dxa" w:w="100"/>
            </w:tcMar>
            <w:vAlign w:val="center"/>
          </w:tcPr>
          <w:p>
            <w:r>
              <w:rPr>
                <w:sz w:val="21"/>
                <w:szCs w:val="21"/>
              </w:rPr>
              <w:t xml:space="preserve">Customer Switching Rate</w:t>
            </w:r>
          </w:p>
        </w:tc>
        <w:tc>
          <w:tcPr>
            <w:tcW w:type="dxa" w:w="6160"/>
            <w:shd w:fill="EAF1F8" w:color="auto" w:val="clear"/>
            <w:tcMar>
              <w:top w:type="dxa" w:w="70"/>
              <w:left w:type="dxa" w:w="100"/>
              <w:bottom w:type="dxa" w:w="70"/>
              <w:right w:type="dxa" w:w="100"/>
            </w:tcMar>
            <w:vAlign w:val="center"/>
          </w:tcPr>
          <w:p>
            <w:r>
              <w:rPr>
                <w:sz w:val="21"/>
                <w:szCs w:val="21"/>
              </w:rPr>
              <w:t xml:space="preserve">~14.9%</w:t>
            </w:r>
          </w:p>
        </w:tc>
      </w:tr>
    </w:tbl>
    <w:p>
      <w:pPr>
        <w:pStyle w:val="Heading1"/>
        <w:pBdr>
          <w:bottom w:val="single" w:color="2E5F8A" w:sz="8" w:space="4"/>
        </w:pBdr>
        <w:spacing w:after="180" w:before="360"/>
      </w:pPr>
      <w:r>
        <w:rPr>
          <w:b/>
          <w:bCs/>
          <w:color w:val="1B3A57"/>
          <w:sz w:val="30"/>
          <w:szCs w:val="30"/>
        </w:rPr>
        <w:t xml:space="preserve">Key Findings</w:t>
      </w:r>
    </w:p>
    <w:p>
      <w:pPr>
        <w:pStyle w:val="Heading2"/>
        <w:spacing w:after="120" w:before="260"/>
      </w:pPr>
      <w:r>
        <w:rPr>
          <w:b/>
          <w:bCs/>
          <w:color w:val="2E5F8A"/>
          <w:sz w:val="25"/>
          <w:szCs w:val="25"/>
        </w:rPr>
        <w:t xml:space="preserve">1. Cannibalization Confirmed</w:t>
      </w:r>
    </w:p>
    <w:p>
      <w:pPr>
        <w:pStyle w:val="ListParagraph"/>
        <w:numPr>
          <w:ilvl w:val="0"/>
          <w:numId w:val="2"/>
        </w:numPr>
        <w:spacing w:after="60"/>
      </w:pPr>
      <w:r>
        <w:rPr>
          <w:sz w:val="22"/>
          <w:szCs w:val="22"/>
        </w:rPr>
        <w:t xml:space="preserve">P6's average sales dropped by ~38.6% after the launch of P4 and P5 in the same product group</w:t>
      </w:r>
    </w:p>
    <w:p>
      <w:pPr>
        <w:pStyle w:val="ListParagraph"/>
        <w:numPr>
          <w:ilvl w:val="0"/>
          <w:numId w:val="2"/>
        </w:numPr>
        <w:spacing w:after="60"/>
      </w:pPr>
      <w:r>
        <w:rPr>
          <w:sz w:val="22"/>
          <w:szCs w:val="22"/>
        </w:rPr>
        <w:t xml:space="preserve">The cannibalization rate of ~18.3% means roughly 18% of P4+P5 sales came at P6's expense</w:t>
      </w:r>
    </w:p>
    <w:p>
      <w:pPr>
        <w:pStyle w:val="ListParagraph"/>
        <w:numPr>
          <w:ilvl w:val="0"/>
          <w:numId w:val="2"/>
        </w:numPr>
        <w:spacing w:after="60"/>
      </w:pPr>
      <w:r>
        <w:rPr>
          <w:sz w:val="22"/>
          <w:szCs w:val="22"/>
        </w:rPr>
        <w:t xml:space="preserve">Other products outside affected groups (G3–G9) showed no significant decline</w:t>
      </w:r>
    </w:p>
    <w:p>
      <w:pPr>
        <w:pStyle w:val="Heading2"/>
        <w:spacing w:after="120" w:before="260"/>
      </w:pPr>
      <w:r>
        <w:rPr>
          <w:b/>
          <w:bCs/>
          <w:color w:val="2E5F8A"/>
          <w:sz w:val="25"/>
          <w:szCs w:val="25"/>
        </w:rPr>
        <w:t xml:space="preserve">2. Customer Migration</w:t>
      </w:r>
    </w:p>
    <w:p>
      <w:pPr>
        <w:pStyle w:val="ListParagraph"/>
        <w:numPr>
          <w:ilvl w:val="0"/>
          <w:numId w:val="2"/>
        </w:numPr>
        <w:spacing w:after="60"/>
      </w:pPr>
      <w:r>
        <w:rPr>
          <w:sz w:val="22"/>
          <w:szCs w:val="22"/>
        </w:rPr>
        <w:t xml:space="preserve">~14.9% of P6's pre-launch customer base switched to P4/P5 products</w:t>
      </w:r>
    </w:p>
    <w:p>
      <w:pPr>
        <w:pStyle w:val="ListParagraph"/>
        <w:numPr>
          <w:ilvl w:val="0"/>
          <w:numId w:val="2"/>
        </w:numPr>
        <w:spacing w:after="60"/>
      </w:pPr>
      <w:r>
        <w:rPr>
          <w:sz w:val="22"/>
          <w:szCs w:val="22"/>
        </w:rPr>
        <w:t xml:space="preserve">A significant portion of P6 customers were retained, but a meaningful segment churned entirely</w:t>
      </w:r>
    </w:p>
    <w:p>
      <w:pPr>
        <w:pStyle w:val="ListParagraph"/>
        <w:numPr>
          <w:ilvl w:val="0"/>
          <w:numId w:val="2"/>
        </w:numPr>
        <w:spacing w:after="60"/>
      </w:pPr>
      <w:r>
        <w:rPr>
          <w:sz w:val="22"/>
          <w:szCs w:val="22"/>
        </w:rPr>
        <w:t xml:space="preserve">Customer switching is the primary mechanism driving cannibalization</w:t>
      </w:r>
    </w:p>
    <w:p>
      <w:pPr>
        <w:spacing w:after="160"/>
      </w:pPr>
    </w:p>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pStyle w:val="Heading2"/>
        <w:spacing w:after="120" w:before="260"/>
      </w:pPr>
      <w:r>
        <w:rPr>
          <w:b/>
          <w:bCs/>
          <w:color w:val="2E5F8A"/>
          <w:sz w:val="25"/>
          <w:szCs w:val="25"/>
        </w:rPr>
        <w:t xml:space="preserve">3. Products with Sales Decline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960"/>
        <w:gridCol w:w="3400"/>
      </w:tblGrid>
      <w:tr>
        <w:trPr>
          <w:tblHeader/>
        </w:trPr>
        <w:tc>
          <w:tcPr>
            <w:tcW w:type="dxa" w:w="1400"/>
            <w:shd w:fill="1B3A57" w:color="auto" w:val="clear"/>
            <w:tcMar>
              <w:top w:type="dxa" w:w="80"/>
              <w:left w:type="dxa" w:w="100"/>
              <w:bottom w:type="dxa" w:w="80"/>
              <w:right w:type="dxa" w:w="100"/>
            </w:tcMar>
            <w:vAlign w:val="center"/>
          </w:tcPr>
          <w:p>
            <w:r>
              <w:rPr>
                <w:b/>
                <w:bCs/>
                <w:color w:val="FFFFFF"/>
                <w:sz w:val="21"/>
                <w:szCs w:val="21"/>
              </w:rPr>
              <w:t xml:space="preserve">Product</w:t>
            </w:r>
          </w:p>
        </w:tc>
        <w:tc>
          <w:tcPr>
            <w:tcW w:type="dxa" w:w="2600"/>
            <w:shd w:fill="1B3A57" w:color="auto" w:val="clear"/>
            <w:tcMar>
              <w:top w:type="dxa" w:w="80"/>
              <w:left w:type="dxa" w:w="100"/>
              <w:bottom w:type="dxa" w:w="80"/>
              <w:right w:type="dxa" w:w="100"/>
            </w:tcMar>
            <w:vAlign w:val="center"/>
          </w:tcPr>
          <w:p>
            <w:r>
              <w:rPr>
                <w:b/>
                <w:bCs/>
                <w:color w:val="FFFFFF"/>
                <w:sz w:val="21"/>
                <w:szCs w:val="21"/>
              </w:rPr>
              <w:t xml:space="preserve">Category / Group</w:t>
            </w:r>
          </w:p>
        </w:tc>
        <w:tc>
          <w:tcPr>
            <w:tcW w:type="dxa" w:w="1960"/>
            <w:shd w:fill="1B3A57" w:color="auto" w:val="clear"/>
            <w:tcMar>
              <w:top w:type="dxa" w:w="80"/>
              <w:left w:type="dxa" w:w="100"/>
              <w:bottom w:type="dxa" w:w="80"/>
              <w:right w:type="dxa" w:w="100"/>
            </w:tcMar>
            <w:vAlign w:val="center"/>
          </w:tcPr>
          <w:p>
            <w:r>
              <w:rPr>
                <w:b/>
                <w:bCs/>
                <w:color w:val="FFFFFF"/>
                <w:sz w:val="21"/>
                <w:szCs w:val="21"/>
              </w:rPr>
              <w:t xml:space="preserve">Sales Change</w:t>
            </w:r>
          </w:p>
        </w:tc>
        <w:tc>
          <w:tcPr>
            <w:tcW w:type="dxa" w:w="3400"/>
            <w:shd w:fill="1B3A57" w:color="auto" w:val="clear"/>
            <w:tcMar>
              <w:top w:type="dxa" w:w="80"/>
              <w:left w:type="dxa" w:w="100"/>
              <w:bottom w:type="dxa" w:w="80"/>
              <w:right w:type="dxa" w:w="100"/>
            </w:tcMar>
            <w:vAlign w:val="center"/>
          </w:tcPr>
          <w:p>
            <w:r>
              <w:rPr>
                <w:b/>
                <w:bCs/>
                <w:color w:val="FFFFFF"/>
                <w:sz w:val="21"/>
                <w:szCs w:val="21"/>
              </w:rPr>
              <w:t xml:space="preserve">Pattern</w:t>
            </w:r>
          </w:p>
        </w:tc>
      </w:tr>
      <w:tr>
        <w:tc>
          <w:tcPr>
            <w:tcW w:type="dxa" w:w="1400"/>
            <w:tcMar>
              <w:top w:type="dxa" w:w="70"/>
              <w:left w:type="dxa" w:w="100"/>
              <w:bottom w:type="dxa" w:w="70"/>
              <w:right w:type="dxa" w:w="100"/>
            </w:tcMar>
            <w:vAlign w:val="center"/>
          </w:tcPr>
          <w:p>
            <w:r>
              <w:rPr>
                <w:sz w:val="21"/>
                <w:szCs w:val="21"/>
              </w:rPr>
              <w:t xml:space="preserve">P6</w:t>
            </w:r>
          </w:p>
        </w:tc>
        <w:tc>
          <w:tcPr>
            <w:tcW w:type="dxa" w:w="2600"/>
            <w:tcMar>
              <w:top w:type="dxa" w:w="70"/>
              <w:left w:type="dxa" w:w="100"/>
              <w:bottom w:type="dxa" w:w="70"/>
              <w:right w:type="dxa" w:w="100"/>
            </w:tcMar>
            <w:vAlign w:val="center"/>
          </w:tcPr>
          <w:p>
            <w:r>
              <w:rPr>
                <w:sz w:val="21"/>
                <w:szCs w:val="21"/>
              </w:rPr>
              <w:t xml:space="preserve">Beverages, G2</w:t>
            </w:r>
          </w:p>
        </w:tc>
        <w:tc>
          <w:tcPr>
            <w:tcW w:type="dxa" w:w="1960"/>
            <w:tcMar>
              <w:top w:type="dxa" w:w="70"/>
              <w:left w:type="dxa" w:w="100"/>
              <w:bottom w:type="dxa" w:w="70"/>
              <w:right w:type="dxa" w:w="100"/>
            </w:tcMar>
            <w:vAlign w:val="center"/>
          </w:tcPr>
          <w:p>
            <w:r>
              <w:rPr>
                <w:sz w:val="21"/>
                <w:szCs w:val="21"/>
              </w:rPr>
              <w:t xml:space="preserve">-38.6%</w:t>
            </w:r>
          </w:p>
        </w:tc>
        <w:tc>
          <w:tcPr>
            <w:tcW w:type="dxa" w:w="3400"/>
            <w:tcMar>
              <w:top w:type="dxa" w:w="70"/>
              <w:left w:type="dxa" w:w="100"/>
              <w:bottom w:type="dxa" w:w="70"/>
              <w:right w:type="dxa" w:w="100"/>
            </w:tcMar>
            <w:vAlign w:val="center"/>
          </w:tcPr>
          <w:p>
            <w:r>
              <w:rPr>
                <w:sz w:val="21"/>
                <w:szCs w:val="21"/>
              </w:rPr>
              <w:t xml:space="preserve">Cannibalized by P4/P5</w:t>
            </w:r>
          </w:p>
        </w:tc>
      </w:tr>
      <w:tr>
        <w:tc>
          <w:tcPr>
            <w:tcW w:type="dxa" w:w="1400"/>
            <w:shd w:fill="EAF1F8" w:color="auto" w:val="clear"/>
            <w:tcMar>
              <w:top w:type="dxa" w:w="70"/>
              <w:left w:type="dxa" w:w="100"/>
              <w:bottom w:type="dxa" w:w="70"/>
              <w:right w:type="dxa" w:w="100"/>
            </w:tcMar>
            <w:vAlign w:val="center"/>
          </w:tcPr>
          <w:p>
            <w:r>
              <w:rPr>
                <w:sz w:val="21"/>
                <w:szCs w:val="21"/>
              </w:rPr>
              <w:t xml:space="preserve">P7</w:t>
            </w:r>
          </w:p>
        </w:tc>
        <w:tc>
          <w:tcPr>
            <w:tcW w:type="dxa" w:w="2600"/>
            <w:shd w:fill="EAF1F8" w:color="auto" w:val="clear"/>
            <w:tcMar>
              <w:top w:type="dxa" w:w="70"/>
              <w:left w:type="dxa" w:w="100"/>
              <w:bottom w:type="dxa" w:w="70"/>
              <w:right w:type="dxa" w:w="100"/>
            </w:tcMar>
            <w:vAlign w:val="center"/>
          </w:tcPr>
          <w:p>
            <w:r>
              <w:rPr>
                <w:sz w:val="21"/>
                <w:szCs w:val="21"/>
              </w:rPr>
              <w:t xml:space="preserve">Personal Care, G3</w:t>
            </w:r>
          </w:p>
        </w:tc>
        <w:tc>
          <w:tcPr>
            <w:tcW w:type="dxa" w:w="1960"/>
            <w:shd w:fill="EAF1F8" w:color="auto" w:val="clear"/>
            <w:tcMar>
              <w:top w:type="dxa" w:w="70"/>
              <w:left w:type="dxa" w:w="100"/>
              <w:bottom w:type="dxa" w:w="70"/>
              <w:right w:type="dxa" w:w="100"/>
            </w:tcMar>
            <w:vAlign w:val="center"/>
          </w:tcPr>
          <w:p>
            <w:r>
              <w:rPr>
                <w:sz w:val="21"/>
                <w:szCs w:val="21"/>
              </w:rPr>
              <w:t xml:space="preserve">-37.9%</w:t>
            </w:r>
          </w:p>
        </w:tc>
        <w:tc>
          <w:tcPr>
            <w:tcW w:type="dxa" w:w="3400"/>
            <w:shd w:fill="EAF1F8" w:color="auto" w:val="clear"/>
            <w:tcMar>
              <w:top w:type="dxa" w:w="70"/>
              <w:left w:type="dxa" w:w="100"/>
              <w:bottom w:type="dxa" w:w="70"/>
              <w:right w:type="dxa" w:w="100"/>
            </w:tcMar>
            <w:vAlign w:val="center"/>
          </w:tcPr>
          <w:p>
            <w:r>
              <w:rPr>
                <w:sz w:val="21"/>
                <w:szCs w:val="21"/>
              </w:rPr>
              <w:t xml:space="preserve">Separate decline pattern</w:t>
            </w:r>
          </w:p>
        </w:tc>
      </w:tr>
      <w:tr>
        <w:tc>
          <w:tcPr>
            <w:tcW w:type="dxa" w:w="1400"/>
            <w:tcMar>
              <w:top w:type="dxa" w:w="70"/>
              <w:left w:type="dxa" w:w="100"/>
              <w:bottom w:type="dxa" w:w="70"/>
              <w:right w:type="dxa" w:w="100"/>
            </w:tcMar>
            <w:vAlign w:val="center"/>
          </w:tcPr>
          <w:p>
            <w:r>
              <w:rPr>
                <w:sz w:val="21"/>
                <w:szCs w:val="21"/>
              </w:rPr>
              <w:t xml:space="preserve">P8</w:t>
            </w:r>
          </w:p>
        </w:tc>
        <w:tc>
          <w:tcPr>
            <w:tcW w:type="dxa" w:w="2600"/>
            <w:tcMar>
              <w:top w:type="dxa" w:w="70"/>
              <w:left w:type="dxa" w:w="100"/>
              <w:bottom w:type="dxa" w:w="70"/>
              <w:right w:type="dxa" w:w="100"/>
            </w:tcMar>
            <w:vAlign w:val="center"/>
          </w:tcPr>
          <w:p>
            <w:r>
              <w:rPr>
                <w:sz w:val="21"/>
                <w:szCs w:val="21"/>
              </w:rPr>
              <w:t xml:space="preserve">Personal Care, G3</w:t>
            </w:r>
          </w:p>
        </w:tc>
        <w:tc>
          <w:tcPr>
            <w:tcW w:type="dxa" w:w="1960"/>
            <w:tcMar>
              <w:top w:type="dxa" w:w="70"/>
              <w:left w:type="dxa" w:w="100"/>
              <w:bottom w:type="dxa" w:w="70"/>
              <w:right w:type="dxa" w:w="100"/>
            </w:tcMar>
            <w:vAlign w:val="center"/>
          </w:tcPr>
          <w:p>
            <w:r>
              <w:rPr>
                <w:sz w:val="21"/>
                <w:szCs w:val="21"/>
              </w:rPr>
              <w:t xml:space="preserve">-38.4%</w:t>
            </w:r>
          </w:p>
        </w:tc>
        <w:tc>
          <w:tcPr>
            <w:tcW w:type="dxa" w:w="3400"/>
            <w:tcMar>
              <w:top w:type="dxa" w:w="70"/>
              <w:left w:type="dxa" w:w="100"/>
              <w:bottom w:type="dxa" w:w="70"/>
              <w:right w:type="dxa" w:w="100"/>
            </w:tcMar>
            <w:vAlign w:val="center"/>
          </w:tcPr>
          <w:p>
            <w:r>
              <w:rPr>
                <w:sz w:val="21"/>
                <w:szCs w:val="21"/>
              </w:rPr>
              <w:t xml:space="preserve">Separate decline pattern</w:t>
            </w:r>
          </w:p>
        </w:tc>
      </w:tr>
      <w:tr>
        <w:tc>
          <w:tcPr>
            <w:tcW w:type="dxa" w:w="1400"/>
            <w:shd w:fill="EAF1F8" w:color="auto" w:val="clear"/>
            <w:tcMar>
              <w:top w:type="dxa" w:w="70"/>
              <w:left w:type="dxa" w:w="100"/>
              <w:bottom w:type="dxa" w:w="70"/>
              <w:right w:type="dxa" w:w="100"/>
            </w:tcMar>
            <w:vAlign w:val="center"/>
          </w:tcPr>
          <w:p>
            <w:r>
              <w:rPr>
                <w:sz w:val="21"/>
                <w:szCs w:val="21"/>
              </w:rPr>
              <w:t xml:space="preserve">P9</w:t>
            </w:r>
          </w:p>
        </w:tc>
        <w:tc>
          <w:tcPr>
            <w:tcW w:type="dxa" w:w="2600"/>
            <w:shd w:fill="EAF1F8" w:color="auto" w:val="clear"/>
            <w:tcMar>
              <w:top w:type="dxa" w:w="70"/>
              <w:left w:type="dxa" w:w="100"/>
              <w:bottom w:type="dxa" w:w="70"/>
              <w:right w:type="dxa" w:w="100"/>
            </w:tcMar>
            <w:vAlign w:val="center"/>
          </w:tcPr>
          <w:p>
            <w:r>
              <w:rPr>
                <w:sz w:val="21"/>
                <w:szCs w:val="21"/>
              </w:rPr>
              <w:t xml:space="preserve">Personal Care, G3</w:t>
            </w:r>
          </w:p>
        </w:tc>
        <w:tc>
          <w:tcPr>
            <w:tcW w:type="dxa" w:w="1960"/>
            <w:shd w:fill="EAF1F8" w:color="auto" w:val="clear"/>
            <w:tcMar>
              <w:top w:type="dxa" w:w="70"/>
              <w:left w:type="dxa" w:w="100"/>
              <w:bottom w:type="dxa" w:w="70"/>
              <w:right w:type="dxa" w:w="100"/>
            </w:tcMar>
            <w:vAlign w:val="center"/>
          </w:tcPr>
          <w:p>
            <w:r>
              <w:rPr>
                <w:sz w:val="21"/>
                <w:szCs w:val="21"/>
              </w:rPr>
              <w:t xml:space="preserve">-38.4%</w:t>
            </w:r>
          </w:p>
        </w:tc>
        <w:tc>
          <w:tcPr>
            <w:tcW w:type="dxa" w:w="3400"/>
            <w:shd w:fill="EAF1F8" w:color="auto" w:val="clear"/>
            <w:tcMar>
              <w:top w:type="dxa" w:w="70"/>
              <w:left w:type="dxa" w:w="100"/>
              <w:bottom w:type="dxa" w:w="70"/>
              <w:right w:type="dxa" w:w="100"/>
            </w:tcMar>
            <w:vAlign w:val="center"/>
          </w:tcPr>
          <w:p>
            <w:r>
              <w:rPr>
                <w:sz w:val="21"/>
                <w:szCs w:val="21"/>
              </w:rPr>
              <w:t xml:space="preserve">Separate decline pattern</w:t>
            </w:r>
          </w:p>
        </w:tc>
      </w:tr>
      <w:tr>
        <w:tc>
          <w:tcPr>
            <w:tcW w:type="dxa" w:w="1400"/>
            <w:tcMar>
              <w:top w:type="dxa" w:w="70"/>
              <w:left w:type="dxa" w:w="100"/>
              <w:bottom w:type="dxa" w:w="70"/>
              <w:right w:type="dxa" w:w="100"/>
            </w:tcMar>
            <w:vAlign w:val="center"/>
          </w:tcPr>
          <w:p>
            <w:r>
              <w:rPr>
                <w:sz w:val="21"/>
                <w:szCs w:val="21"/>
              </w:rPr>
              <w:t xml:space="preserve">P10</w:t>
            </w:r>
          </w:p>
        </w:tc>
        <w:tc>
          <w:tcPr>
            <w:tcW w:type="dxa" w:w="2600"/>
            <w:tcMar>
              <w:top w:type="dxa" w:w="70"/>
              <w:left w:type="dxa" w:w="100"/>
              <w:bottom w:type="dxa" w:w="70"/>
              <w:right w:type="dxa" w:w="100"/>
            </w:tcMar>
            <w:vAlign w:val="center"/>
          </w:tcPr>
          <w:p>
            <w:r>
              <w:rPr>
                <w:sz w:val="21"/>
                <w:szCs w:val="21"/>
              </w:rPr>
              <w:t xml:space="preserve">Dairy, G4</w:t>
            </w:r>
          </w:p>
        </w:tc>
        <w:tc>
          <w:tcPr>
            <w:tcW w:type="dxa" w:w="1960"/>
            <w:tcMar>
              <w:top w:type="dxa" w:w="70"/>
              <w:left w:type="dxa" w:w="100"/>
              <w:bottom w:type="dxa" w:w="70"/>
              <w:right w:type="dxa" w:w="100"/>
            </w:tcMar>
            <w:vAlign w:val="center"/>
          </w:tcPr>
          <w:p>
            <w:r>
              <w:rPr>
                <w:sz w:val="21"/>
                <w:szCs w:val="21"/>
              </w:rPr>
              <w:t xml:space="preserve">-38.0%</w:t>
            </w:r>
          </w:p>
        </w:tc>
        <w:tc>
          <w:tcPr>
            <w:tcW w:type="dxa" w:w="3400"/>
            <w:tcMar>
              <w:top w:type="dxa" w:w="70"/>
              <w:left w:type="dxa" w:w="100"/>
              <w:bottom w:type="dxa" w:w="70"/>
              <w:right w:type="dxa" w:w="100"/>
            </w:tcMar>
            <w:vAlign w:val="center"/>
          </w:tcPr>
          <w:p>
            <w:r>
              <w:rPr>
                <w:sz w:val="21"/>
                <w:szCs w:val="21"/>
              </w:rPr>
              <w:t xml:space="preserve">Separate decline pattern</w:t>
            </w:r>
          </w:p>
        </w:tc>
      </w:tr>
    </w:tbl>
    <w:p>
      <w:pPr>
        <w:spacing w:after="200"/>
      </w:pPr>
    </w:p>
    <w:p>
      <w:pPr>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09875"/>
                    </a:xfrm>
                    <a:prstGeom prst="rect">
                      <a:avLst/>
                    </a:prstGeom>
                  </pic:spPr>
                </pic:pic>
              </a:graphicData>
            </a:graphic>
          </wp:inline>
        </w:drawing>
      </w:r>
    </w:p>
    <w:p>
      <w:pPr>
        <w:pStyle w:val="Heading2"/>
        <w:spacing w:after="120" w:before="260"/>
      </w:pPr>
      <w:r>
        <w:rPr>
          <w:b/>
          <w:bCs/>
          <w:color w:val="2E5F8A"/>
          <w:sz w:val="25"/>
          <w:szCs w:val="25"/>
        </w:rPr>
        <w:t xml:space="preserve">4. Unaffected Products</w:t>
      </w:r>
    </w:p>
    <w:p>
      <w:pPr>
        <w:pStyle w:val="ListParagraph"/>
        <w:numPr>
          <w:ilvl w:val="0"/>
          <w:numId w:val="2"/>
        </w:numPr>
        <w:spacing w:after="60"/>
      </w:pPr>
      <w:r>
        <w:rPr>
          <w:sz w:val="22"/>
          <w:szCs w:val="22"/>
        </w:rPr>
        <w:t xml:space="preserve">Products in groups G3–G9 (not containing launched products) showed minimal sales change</w:t>
      </w:r>
    </w:p>
    <w:p>
      <w:pPr>
        <w:pStyle w:val="ListParagraph"/>
        <w:numPr>
          <w:ilvl w:val="0"/>
          <w:numId w:val="2"/>
        </w:numPr>
        <w:spacing w:after="60"/>
      </w:pPr>
      <w:r>
        <w:rPr>
          <w:sz w:val="22"/>
          <w:szCs w:val="22"/>
        </w:rPr>
        <w:t xml:space="preserve">Products P11–P25 maintained stable sales patterns</w:t>
      </w:r>
    </w:p>
    <w:p>
      <w:pPr>
        <w:pStyle w:val="ListParagraph"/>
        <w:numPr>
          <w:ilvl w:val="0"/>
          <w:numId w:val="2"/>
        </w:numPr>
        <w:spacing w:after="60"/>
      </w:pPr>
      <w:r>
        <w:rPr>
          <w:sz w:val="22"/>
          <w:szCs w:val="22"/>
        </w:rPr>
        <w:t xml:space="preserve">Regional performance remained balanced across all four regions</w:t>
      </w:r>
    </w:p>
    <w:p>
      <w:pPr>
        <w:pStyle w:val="Heading2"/>
        <w:spacing w:after="120" w:before="260"/>
      </w:pPr>
      <w:r>
        <w:rPr>
          <w:b/>
          <w:bCs/>
          <w:color w:val="2E5F8A"/>
          <w:sz w:val="25"/>
          <w:szCs w:val="25"/>
        </w:rPr>
        <w:t xml:space="preserve">5. Marketing &amp; Pricing</w:t>
      </w:r>
    </w:p>
    <w:p>
      <w:pPr>
        <w:pStyle w:val="ListParagraph"/>
        <w:numPr>
          <w:ilvl w:val="0"/>
          <w:numId w:val="2"/>
        </w:numPr>
        <w:spacing w:after="60"/>
      </w:pPr>
      <w:r>
        <w:rPr>
          <w:sz w:val="22"/>
          <w:szCs w:val="22"/>
        </w:rPr>
        <w:t xml:space="preserve">Marketing ROI varies significantly across products</w:t>
      </w:r>
    </w:p>
    <w:p>
      <w:pPr>
        <w:pStyle w:val="ListParagraph"/>
        <w:numPr>
          <w:ilvl w:val="0"/>
          <w:numId w:val="2"/>
        </w:numPr>
        <w:spacing w:after="60"/>
      </w:pPr>
      <w:r>
        <w:rPr>
          <w:sz w:val="22"/>
          <w:szCs w:val="22"/>
        </w:rPr>
        <w:t xml:space="preserve">No strong correlation between marketing spend and sales volume</w:t>
      </w:r>
    </w:p>
    <w:p>
      <w:pPr>
        <w:pStyle w:val="ListParagraph"/>
        <w:numPr>
          <w:ilvl w:val="0"/>
          <w:numId w:val="2"/>
        </w:numPr>
        <w:spacing w:after="60"/>
      </w:pPr>
      <w:r>
        <w:rPr>
          <w:sz w:val="22"/>
          <w:szCs w:val="22"/>
        </w:rPr>
        <w:t xml:space="preserve">Price-sales correlation is weak — price has minimal impact on units sold</w:t>
      </w:r>
    </w:p>
    <w:p>
      <w:pPr>
        <w:pStyle w:val="ListParagraph"/>
        <w:numPr>
          <w:ilvl w:val="0"/>
          <w:numId w:val="2"/>
        </w:numPr>
        <w:spacing w:after="60"/>
      </w:pPr>
      <w:r>
        <w:rPr>
          <w:sz w:val="22"/>
          <w:szCs w:val="22"/>
        </w:rPr>
        <w:t xml:space="preserve">Luxury price band drives highest total revenue despite lower volume</w:t>
      </w:r>
    </w:p>
    <w:p>
      <w:pPr>
        <w:pStyle w:val="Heading2"/>
        <w:spacing w:after="120" w:before="260"/>
      </w:pPr>
      <w:r>
        <w:rPr>
          <w:b/>
          <w:bCs/>
          <w:color w:val="2E5F8A"/>
          <w:sz w:val="25"/>
          <w:szCs w:val="25"/>
        </w:rPr>
        <w:t xml:space="preserve">6. Inventory Impact</w:t>
      </w:r>
    </w:p>
    <w:p>
      <w:pPr>
        <w:pStyle w:val="ListParagraph"/>
        <w:numPr>
          <w:ilvl w:val="0"/>
          <w:numId w:val="2"/>
        </w:numPr>
        <w:spacing w:after="60"/>
      </w:pPr>
      <w:r>
        <w:rPr>
          <w:sz w:val="22"/>
          <w:szCs w:val="22"/>
        </w:rPr>
        <w:t xml:space="preserve">~10% of records show out-of-stock situations</w:t>
      </w:r>
    </w:p>
    <w:p>
      <w:pPr>
        <w:pStyle w:val="ListParagraph"/>
        <w:numPr>
          <w:ilvl w:val="0"/>
          <w:numId w:val="2"/>
        </w:numPr>
        <w:spacing w:after="60"/>
      </w:pPr>
      <w:r>
        <w:rPr>
          <w:sz w:val="22"/>
          <w:szCs w:val="22"/>
        </w:rPr>
        <w:t xml:space="preserve">Stockouts contribute to additional lost sales across all products</w:t>
      </w:r>
    </w:p>
    <w:p>
      <w:pPr>
        <w:pStyle w:val="ListParagraph"/>
        <w:numPr>
          <w:ilvl w:val="0"/>
          <w:numId w:val="2"/>
        </w:numPr>
        <w:spacing w:after="60"/>
      </w:pPr>
      <w:r>
        <w:rPr>
          <w:sz w:val="22"/>
          <w:szCs w:val="22"/>
        </w:rPr>
        <w:t xml:space="preserve">Stock availability is relatively stable over time (around 90%)</w:t>
      </w:r>
    </w:p>
    <w:p>
      <w:pPr>
        <w:pStyle w:val="Heading1"/>
        <w:pBdr>
          <w:bottom w:val="single" w:color="2E5F8A" w:sz="8" w:space="4"/>
        </w:pBdr>
        <w:spacing w:after="180" w:before="360"/>
      </w:pPr>
      <w:r>
        <w:rPr>
          <w:b/>
          <w:bCs/>
          <w:color w:val="1B3A57"/>
          <w:sz w:val="30"/>
          <w:szCs w:val="30"/>
        </w:rPr>
        <w:t xml:space="preserve">KPI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3A57" w:color="auto" w:val="clear"/>
            <w:tcMar>
              <w:top w:type="dxa" w:w="80"/>
              <w:left w:type="dxa" w:w="100"/>
              <w:bottom w:type="dxa" w:w="80"/>
              <w:right w:type="dxa" w:w="100"/>
            </w:tcMar>
            <w:vAlign w:val="center"/>
          </w:tcPr>
          <w:p>
            <w:r>
              <w:rPr>
                <w:b/>
                <w:bCs/>
                <w:color w:val="FFFFFF"/>
                <w:sz w:val="21"/>
                <w:szCs w:val="21"/>
              </w:rPr>
              <w:t xml:space="preserve">KPI</w:t>
            </w:r>
          </w:p>
        </w:tc>
        <w:tc>
          <w:tcPr>
            <w:tcW w:type="dxa" w:w="6160"/>
            <w:shd w:fill="1B3A57" w:color="auto" w:val="clear"/>
            <w:tcMar>
              <w:top w:type="dxa" w:w="80"/>
              <w:left w:type="dxa" w:w="100"/>
              <w:bottom w:type="dxa" w:w="80"/>
              <w:right w:type="dxa" w:w="100"/>
            </w:tcMar>
            <w:vAlign w:val="center"/>
          </w:tcPr>
          <w:p>
            <w:r>
              <w:rPr>
                <w:b/>
                <w:bCs/>
                <w:color w:val="FFFFFF"/>
                <w:sz w:val="21"/>
                <w:szCs w:val="21"/>
              </w:rPr>
              <w:t xml:space="preserve">Value</w:t>
            </w:r>
          </w:p>
        </w:tc>
      </w:tr>
      <w:tr>
        <w:tc>
          <w:tcPr>
            <w:tcW w:type="dxa" w:w="3200"/>
            <w:tcMar>
              <w:top w:type="dxa" w:w="70"/>
              <w:left w:type="dxa" w:w="100"/>
              <w:bottom w:type="dxa" w:w="70"/>
              <w:right w:type="dxa" w:w="100"/>
            </w:tcMar>
            <w:vAlign w:val="center"/>
          </w:tcPr>
          <w:p>
            <w:r>
              <w:rPr>
                <w:sz w:val="21"/>
                <w:szCs w:val="21"/>
              </w:rPr>
              <w:t xml:space="preserve">Total Sales</w:t>
            </w:r>
          </w:p>
        </w:tc>
        <w:tc>
          <w:tcPr>
            <w:tcW w:type="dxa" w:w="6160"/>
            <w:tcMar>
              <w:top w:type="dxa" w:w="70"/>
              <w:left w:type="dxa" w:w="100"/>
              <w:bottom w:type="dxa" w:w="70"/>
              <w:right w:type="dxa" w:w="100"/>
            </w:tcMar>
            <w:vAlign w:val="center"/>
          </w:tcPr>
          <w:p>
            <w:r>
              <w:rPr>
                <w:sz w:val="21"/>
                <w:szCs w:val="21"/>
              </w:rPr>
              <w:t xml:space="preserve">~1,605,000 units</w:t>
            </w:r>
          </w:p>
        </w:tc>
      </w:tr>
      <w:tr>
        <w:tc>
          <w:tcPr>
            <w:tcW w:type="dxa" w:w="3200"/>
            <w:shd w:fill="EAF1F8" w:color="auto" w:val="clear"/>
            <w:tcMar>
              <w:top w:type="dxa" w:w="70"/>
              <w:left w:type="dxa" w:w="100"/>
              <w:bottom w:type="dxa" w:w="70"/>
              <w:right w:type="dxa" w:w="100"/>
            </w:tcMar>
            <w:vAlign w:val="center"/>
          </w:tcPr>
          <w:p>
            <w:r>
              <w:rPr>
                <w:sz w:val="21"/>
                <w:szCs w:val="21"/>
              </w:rPr>
              <w:t xml:space="preserve">Total Revenue</w:t>
            </w:r>
          </w:p>
        </w:tc>
        <w:tc>
          <w:tcPr>
            <w:tcW w:type="dxa" w:w="6160"/>
            <w:shd w:fill="EAF1F8" w:color="auto" w:val="clear"/>
            <w:tcMar>
              <w:top w:type="dxa" w:w="70"/>
              <w:left w:type="dxa" w:w="100"/>
              <w:bottom w:type="dxa" w:w="70"/>
              <w:right w:type="dxa" w:w="100"/>
            </w:tcMar>
            <w:vAlign w:val="center"/>
          </w:tcPr>
          <w:p>
            <w:r>
              <w:rPr>
                <w:sz w:val="21"/>
                <w:szCs w:val="21"/>
              </w:rPr>
              <w:t xml:space="preserve">~₹191M</w:t>
            </w:r>
          </w:p>
        </w:tc>
      </w:tr>
      <w:tr>
        <w:tc>
          <w:tcPr>
            <w:tcW w:type="dxa" w:w="3200"/>
            <w:tcMar>
              <w:top w:type="dxa" w:w="70"/>
              <w:left w:type="dxa" w:w="100"/>
              <w:bottom w:type="dxa" w:w="70"/>
              <w:right w:type="dxa" w:w="100"/>
            </w:tcMar>
            <w:vAlign w:val="center"/>
          </w:tcPr>
          <w:p>
            <w:r>
              <w:rPr>
                <w:sz w:val="21"/>
                <w:szCs w:val="21"/>
              </w:rPr>
              <w:t xml:space="preserve">Average Selling Price</w:t>
            </w:r>
          </w:p>
        </w:tc>
        <w:tc>
          <w:tcPr>
            <w:tcW w:type="dxa" w:w="6160"/>
            <w:tcMar>
              <w:top w:type="dxa" w:w="70"/>
              <w:left w:type="dxa" w:w="100"/>
              <w:bottom w:type="dxa" w:w="70"/>
              <w:right w:type="dxa" w:w="100"/>
            </w:tcMar>
            <w:vAlign w:val="center"/>
          </w:tcPr>
          <w:p>
            <w:r>
              <w:rPr>
                <w:sz w:val="21"/>
                <w:szCs w:val="21"/>
              </w:rPr>
              <w:t xml:space="preserve">~₹130.54</w:t>
            </w:r>
          </w:p>
        </w:tc>
      </w:tr>
      <w:tr>
        <w:tc>
          <w:tcPr>
            <w:tcW w:type="dxa" w:w="3200"/>
            <w:shd w:fill="EAF1F8" w:color="auto" w:val="clear"/>
            <w:tcMar>
              <w:top w:type="dxa" w:w="70"/>
              <w:left w:type="dxa" w:w="100"/>
              <w:bottom w:type="dxa" w:w="70"/>
              <w:right w:type="dxa" w:w="100"/>
            </w:tcMar>
            <w:vAlign w:val="center"/>
          </w:tcPr>
          <w:p>
            <w:r>
              <w:rPr>
                <w:sz w:val="21"/>
                <w:szCs w:val="21"/>
              </w:rPr>
              <w:t xml:space="preserve">Average Rating</w:t>
            </w:r>
          </w:p>
        </w:tc>
        <w:tc>
          <w:tcPr>
            <w:tcW w:type="dxa" w:w="6160"/>
            <w:shd w:fill="EAF1F8" w:color="auto" w:val="clear"/>
            <w:tcMar>
              <w:top w:type="dxa" w:w="70"/>
              <w:left w:type="dxa" w:w="100"/>
              <w:bottom w:type="dxa" w:w="70"/>
              <w:right w:type="dxa" w:w="100"/>
            </w:tcMar>
            <w:vAlign w:val="center"/>
          </w:tcPr>
          <w:p>
            <w:r>
              <w:rPr>
                <w:sz w:val="21"/>
                <w:szCs w:val="21"/>
              </w:rPr>
              <w:t xml:space="preserve">4.00 / 5</w:t>
            </w:r>
          </w:p>
        </w:tc>
      </w:tr>
      <w:tr>
        <w:tc>
          <w:tcPr>
            <w:tcW w:type="dxa" w:w="3200"/>
            <w:tcMar>
              <w:top w:type="dxa" w:w="70"/>
              <w:left w:type="dxa" w:w="100"/>
              <w:bottom w:type="dxa" w:w="70"/>
              <w:right w:type="dxa" w:w="100"/>
            </w:tcMar>
            <w:vAlign w:val="center"/>
          </w:tcPr>
          <w:p>
            <w:r>
              <w:rPr>
                <w:sz w:val="21"/>
                <w:szCs w:val="21"/>
              </w:rPr>
              <w:t xml:space="preserve">Stock Availability</w:t>
            </w:r>
          </w:p>
        </w:tc>
        <w:tc>
          <w:tcPr>
            <w:tcW w:type="dxa" w:w="6160"/>
            <w:tcMar>
              <w:top w:type="dxa" w:w="70"/>
              <w:left w:type="dxa" w:w="100"/>
              <w:bottom w:type="dxa" w:w="70"/>
              <w:right w:type="dxa" w:w="100"/>
            </w:tcMar>
            <w:vAlign w:val="center"/>
          </w:tcPr>
          <w:p>
            <w:r>
              <w:rPr>
                <w:sz w:val="21"/>
                <w:szCs w:val="21"/>
              </w:rPr>
              <w:t xml:space="preserve">~89.9%</w:t>
            </w:r>
          </w:p>
        </w:tc>
      </w:tr>
      <w:tr>
        <w:tc>
          <w:tcPr>
            <w:tcW w:type="dxa" w:w="3200"/>
            <w:shd w:fill="EAF1F8" w:color="auto" w:val="clear"/>
            <w:tcMar>
              <w:top w:type="dxa" w:w="70"/>
              <w:left w:type="dxa" w:w="100"/>
              <w:bottom w:type="dxa" w:w="70"/>
              <w:right w:type="dxa" w:w="100"/>
            </w:tcMar>
            <w:vAlign w:val="center"/>
          </w:tcPr>
          <w:p>
            <w:r>
              <w:rPr>
                <w:sz w:val="21"/>
                <w:szCs w:val="21"/>
              </w:rPr>
              <w:t xml:space="preserve">Products Analyzed</w:t>
            </w:r>
          </w:p>
        </w:tc>
        <w:tc>
          <w:tcPr>
            <w:tcW w:type="dxa" w:w="6160"/>
            <w:shd w:fill="EAF1F8" w:color="auto" w:val="clear"/>
            <w:tcMar>
              <w:top w:type="dxa" w:w="70"/>
              <w:left w:type="dxa" w:w="100"/>
              <w:bottom w:type="dxa" w:w="70"/>
              <w:right w:type="dxa" w:w="100"/>
            </w:tcMar>
            <w:vAlign w:val="center"/>
          </w:tcPr>
          <w:p>
            <w:r>
              <w:rPr>
                <w:sz w:val="21"/>
                <w:szCs w:val="21"/>
              </w:rPr>
              <w:t xml:space="preserve">25</w:t>
            </w:r>
          </w:p>
        </w:tc>
      </w:tr>
      <w:tr>
        <w:tc>
          <w:tcPr>
            <w:tcW w:type="dxa" w:w="3200"/>
            <w:tcMar>
              <w:top w:type="dxa" w:w="70"/>
              <w:left w:type="dxa" w:w="100"/>
              <w:bottom w:type="dxa" w:w="70"/>
              <w:right w:type="dxa" w:w="100"/>
            </w:tcMar>
            <w:vAlign w:val="center"/>
          </w:tcPr>
          <w:p>
            <w:r>
              <w:rPr>
                <w:sz w:val="21"/>
                <w:szCs w:val="21"/>
              </w:rPr>
              <w:t xml:space="preserve">Regions</w:t>
            </w:r>
          </w:p>
        </w:tc>
        <w:tc>
          <w:tcPr>
            <w:tcW w:type="dxa" w:w="6160"/>
            <w:tcMar>
              <w:top w:type="dxa" w:w="70"/>
              <w:left w:type="dxa" w:w="100"/>
              <w:bottom w:type="dxa" w:w="70"/>
              <w:right w:type="dxa" w:w="100"/>
            </w:tcMar>
            <w:vAlign w:val="center"/>
          </w:tcPr>
          <w:p>
            <w:r>
              <w:rPr>
                <w:sz w:val="21"/>
                <w:szCs w:val="21"/>
              </w:rPr>
              <w:t xml:space="preserve">4 (North, South, East, West)</w:t>
            </w:r>
          </w:p>
        </w:tc>
      </w:tr>
    </w:tbl>
    <w:p>
      <w:pPr>
        <w:pStyle w:val="Heading1"/>
        <w:pBdr>
          <w:bottom w:val="single" w:color="2E5F8A" w:sz="8" w:space="4"/>
        </w:pBdr>
        <w:spacing w:after="180" w:before="360"/>
      </w:pPr>
      <w:r>
        <w:rPr>
          <w:b/>
          <w:bCs/>
          <w:color w:val="1B3A57"/>
          <w:sz w:val="30"/>
          <w:szCs w:val="30"/>
        </w:rPr>
        <w:t xml:space="preserve">Recommendations</w:t>
      </w:r>
    </w:p>
    <w:p>
      <w:pPr>
        <w:pStyle w:val="Heading2"/>
        <w:spacing w:after="120" w:before="260"/>
      </w:pPr>
      <w:r>
        <w:rPr>
          <w:b/>
          <w:bCs/>
          <w:color w:val="2E5F8A"/>
          <w:sz w:val="25"/>
          <w:szCs w:val="25"/>
        </w:rPr>
        <w:t xml:space="preserve">High Priority</w:t>
      </w:r>
    </w:p>
    <w:p>
      <w:pPr>
        <w:pStyle w:val="ListParagraph"/>
        <w:numPr>
          <w:ilvl w:val="0"/>
          <w:numId w:val="2"/>
        </w:numPr>
        <w:spacing w:after="60"/>
      </w:pPr>
      <w:r>
        <w:rPr>
          <w:sz w:val="22"/>
          <w:szCs w:val="22"/>
        </w:rPr>
        <w:t xml:space="preserve">Product Strategy — Monitor P6 closely. Consider differentiating or phasing out if decline continues</w:t>
      </w:r>
    </w:p>
    <w:p>
      <w:pPr>
        <w:pStyle w:val="ListParagraph"/>
        <w:numPr>
          <w:ilvl w:val="0"/>
          <w:numId w:val="2"/>
        </w:numPr>
        <w:spacing w:after="60"/>
      </w:pPr>
      <w:r>
        <w:rPr>
          <w:sz w:val="22"/>
          <w:szCs w:val="22"/>
        </w:rPr>
        <w:t xml:space="preserve">Customer Retention — Implement loyalty programs for P6 customers to reduce switching</w:t>
      </w:r>
    </w:p>
    <w:p>
      <w:pPr>
        <w:pStyle w:val="ListParagraph"/>
        <w:numPr>
          <w:ilvl w:val="0"/>
          <w:numId w:val="2"/>
        </w:numPr>
        <w:spacing w:after="60"/>
      </w:pPr>
      <w:r>
        <w:rPr>
          <w:sz w:val="22"/>
          <w:szCs w:val="22"/>
        </w:rPr>
        <w:t xml:space="preserve">Growth Assessment — Measure NET new revenue (total growth minus cannibalized revenue)</w:t>
      </w:r>
    </w:p>
    <w:p>
      <w:pPr>
        <w:pStyle w:val="Heading2"/>
        <w:spacing w:after="120" w:before="260"/>
      </w:pPr>
      <w:r>
        <w:rPr>
          <w:b/>
          <w:bCs/>
          <w:color w:val="2E5F8A"/>
          <w:sz w:val="25"/>
          <w:szCs w:val="25"/>
        </w:rPr>
        <w:t xml:space="preserve">Medium Priority</w:t>
      </w:r>
    </w:p>
    <w:p>
      <w:pPr>
        <w:pStyle w:val="ListParagraph"/>
        <w:numPr>
          <w:ilvl w:val="0"/>
          <w:numId w:val="2"/>
        </w:numPr>
        <w:spacing w:after="60"/>
      </w:pPr>
      <w:r>
        <w:rPr>
          <w:sz w:val="22"/>
          <w:szCs w:val="22"/>
        </w:rPr>
        <w:t xml:space="preserve">Pricing Strategy — Reposition P6 pricing to compete with P4/P5</w:t>
      </w:r>
    </w:p>
    <w:p>
      <w:pPr>
        <w:pStyle w:val="ListParagraph"/>
        <w:numPr>
          <w:ilvl w:val="0"/>
          <w:numId w:val="2"/>
        </w:numPr>
        <w:spacing w:after="60"/>
      </w:pPr>
      <w:r>
        <w:rPr>
          <w:sz w:val="22"/>
          <w:szCs w:val="22"/>
        </w:rPr>
        <w:t xml:space="preserve">Marketing Focus — Promote P4/P5 to new customer segments rather than existing P6 customers</w:t>
      </w:r>
    </w:p>
    <w:p>
      <w:pPr>
        <w:pStyle w:val="ListParagraph"/>
        <w:numPr>
          <w:ilvl w:val="0"/>
          <w:numId w:val="2"/>
        </w:numPr>
        <w:spacing w:after="60"/>
      </w:pPr>
      <w:r>
        <w:rPr>
          <w:sz w:val="22"/>
          <w:szCs w:val="22"/>
        </w:rPr>
        <w:t xml:space="preserve">Launch Strategy — For future launches, assess cannibalization risk BEFORE launch</w:t>
      </w:r>
    </w:p>
    <w:p>
      <w:pPr>
        <w:pStyle w:val="Heading2"/>
        <w:spacing w:after="120" w:before="260"/>
      </w:pPr>
      <w:r>
        <w:rPr>
          <w:b/>
          <w:bCs/>
          <w:color w:val="2E5F8A"/>
          <w:sz w:val="25"/>
          <w:szCs w:val="25"/>
        </w:rPr>
        <w:t xml:space="preserve">Low Priority</w:t>
      </w:r>
    </w:p>
    <w:p>
      <w:pPr>
        <w:pStyle w:val="ListParagraph"/>
        <w:numPr>
          <w:ilvl w:val="0"/>
          <w:numId w:val="2"/>
        </w:numPr>
        <w:spacing w:after="60"/>
      </w:pPr>
      <w:r>
        <w:rPr>
          <w:sz w:val="22"/>
          <w:szCs w:val="22"/>
        </w:rPr>
        <w:t xml:space="preserve">Inventory Planning — Maintain strong stock availability to avoid compounding cannibalization</w:t>
      </w:r>
    </w:p>
    <w:p>
      <w:pPr>
        <w:pStyle w:val="ListParagraph"/>
        <w:numPr>
          <w:ilvl w:val="0"/>
          <w:numId w:val="2"/>
        </w:numPr>
        <w:spacing w:after="60"/>
      </w:pPr>
      <w:r>
        <w:rPr>
          <w:sz w:val="22"/>
          <w:szCs w:val="22"/>
        </w:rPr>
        <w:t xml:space="preserve">Regional Strategy — Performance is balanced; no region-specific interventions needed</w:t>
      </w:r>
    </w:p>
    <w:p>
      <w:pPr>
        <w:pStyle w:val="Heading1"/>
        <w:pBdr>
          <w:bottom w:val="single" w:color="2E5F8A" w:sz="8" w:space="4"/>
        </w:pBdr>
        <w:spacing w:after="180" w:before="360"/>
      </w:pPr>
      <w:r>
        <w:rPr>
          <w:b/>
          <w:bCs/>
          <w:color w:val="1B3A57"/>
          <w:sz w:val="30"/>
          <w:szCs w:val="30"/>
        </w:rPr>
        <w:t xml:space="preserve">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B3A57" w:color="auto" w:val="clear"/>
            <w:tcMar>
              <w:top w:type="dxa" w:w="80"/>
              <w:left w:type="dxa" w:w="100"/>
              <w:bottom w:type="dxa" w:w="80"/>
              <w:right w:type="dxa" w:w="100"/>
            </w:tcMar>
            <w:vAlign w:val="center"/>
          </w:tcPr>
          <w:p>
            <w:r>
              <w:rPr>
                <w:b/>
                <w:bCs/>
                <w:color w:val="FFFFFF"/>
                <w:sz w:val="21"/>
                <w:szCs w:val="21"/>
              </w:rPr>
              <w:t xml:space="preserve">Deliverable</w:t>
            </w:r>
          </w:p>
        </w:tc>
        <w:tc>
          <w:tcPr>
            <w:tcW w:type="dxa" w:w="6160"/>
            <w:shd w:fill="1B3A57" w:color="auto" w:val="clear"/>
            <w:tcMar>
              <w:top w:type="dxa" w:w="80"/>
              <w:left w:type="dxa" w:w="100"/>
              <w:bottom w:type="dxa" w:w="80"/>
              <w:right w:type="dxa" w:w="100"/>
            </w:tcMar>
            <w:vAlign w:val="center"/>
          </w:tcPr>
          <w:p>
            <w:r>
              <w:rPr>
                <w:b/>
                <w:bCs/>
                <w:color w:val="FFFFFF"/>
                <w:sz w:val="21"/>
                <w:szCs w:val="21"/>
              </w:rPr>
              <w:t xml:space="preserve">Location</w:t>
            </w:r>
          </w:p>
        </w:tc>
      </w:tr>
      <w:tr>
        <w:tc>
          <w:tcPr>
            <w:tcW w:type="dxa" w:w="3200"/>
            <w:tcMar>
              <w:top w:type="dxa" w:w="70"/>
              <w:left w:type="dxa" w:w="100"/>
              <w:bottom w:type="dxa" w:w="70"/>
              <w:right w:type="dxa" w:w="100"/>
            </w:tcMar>
            <w:vAlign w:val="center"/>
          </w:tcPr>
          <w:p>
            <w:r>
              <w:rPr>
                <w:sz w:val="21"/>
                <w:szCs w:val="21"/>
              </w:rPr>
              <w:t xml:space="preserve">Clean Dataset</w:t>
            </w:r>
          </w:p>
        </w:tc>
        <w:tc>
          <w:tcPr>
            <w:tcW w:type="dxa" w:w="6160"/>
            <w:tcMar>
              <w:top w:type="dxa" w:w="70"/>
              <w:left w:type="dxa" w:w="100"/>
              <w:bottom w:type="dxa" w:w="70"/>
              <w:right w:type="dxa" w:w="100"/>
            </w:tcMar>
            <w:vAlign w:val="center"/>
          </w:tcPr>
          <w:p>
            <w:r>
              <w:rPr>
                <w:sz w:val="21"/>
                <w:szCs w:val="21"/>
              </w:rPr>
              <w:t xml:space="preserve">Data/cannibalization_cleaned.csv</w:t>
            </w:r>
          </w:p>
        </w:tc>
      </w:tr>
      <w:tr>
        <w:tc>
          <w:tcPr>
            <w:tcW w:type="dxa" w:w="3200"/>
            <w:shd w:fill="EAF1F8" w:color="auto" w:val="clear"/>
            <w:tcMar>
              <w:top w:type="dxa" w:w="70"/>
              <w:left w:type="dxa" w:w="100"/>
              <w:bottom w:type="dxa" w:w="70"/>
              <w:right w:type="dxa" w:w="100"/>
            </w:tcMar>
            <w:vAlign w:val="center"/>
          </w:tcPr>
          <w:p>
            <w:r>
              <w:rPr>
                <w:sz w:val="21"/>
                <w:szCs w:val="21"/>
              </w:rPr>
              <w:t xml:space="preserve">Final Dataset</w:t>
            </w:r>
          </w:p>
        </w:tc>
        <w:tc>
          <w:tcPr>
            <w:tcW w:type="dxa" w:w="6160"/>
            <w:shd w:fill="EAF1F8" w:color="auto" w:val="clear"/>
            <w:tcMar>
              <w:top w:type="dxa" w:w="70"/>
              <w:left w:type="dxa" w:w="100"/>
              <w:bottom w:type="dxa" w:w="70"/>
              <w:right w:type="dxa" w:w="100"/>
            </w:tcMar>
            <w:vAlign w:val="center"/>
          </w:tcPr>
          <w:p>
            <w:r>
              <w:rPr>
                <w:sz w:val="21"/>
                <w:szCs w:val="21"/>
              </w:rPr>
              <w:t xml:space="preserve">Data/cannibalization_final.csv</w:t>
            </w:r>
          </w:p>
        </w:tc>
      </w:tr>
      <w:tr>
        <w:tc>
          <w:tcPr>
            <w:tcW w:type="dxa" w:w="3200"/>
            <w:tcMar>
              <w:top w:type="dxa" w:w="70"/>
              <w:left w:type="dxa" w:w="100"/>
              <w:bottom w:type="dxa" w:w="70"/>
              <w:right w:type="dxa" w:w="100"/>
            </w:tcMar>
            <w:vAlign w:val="center"/>
          </w:tcPr>
          <w:p>
            <w:r>
              <w:rPr>
                <w:sz w:val="21"/>
                <w:szCs w:val="21"/>
              </w:rPr>
              <w:t xml:space="preserve">Phase 1 Notebook</w:t>
            </w:r>
          </w:p>
        </w:tc>
        <w:tc>
          <w:tcPr>
            <w:tcW w:type="dxa" w:w="6160"/>
            <w:tcMar>
              <w:top w:type="dxa" w:w="70"/>
              <w:left w:type="dxa" w:w="100"/>
              <w:bottom w:type="dxa" w:w="70"/>
              <w:right w:type="dxa" w:w="100"/>
            </w:tcMar>
            <w:vAlign w:val="center"/>
          </w:tcPr>
          <w:p>
            <w:r>
              <w:rPr>
                <w:sz w:val="21"/>
                <w:szCs w:val="21"/>
              </w:rPr>
              <w:t xml:space="preserve">Notebooks/Phase1_Data_Understanding.ipynb</w:t>
            </w:r>
          </w:p>
        </w:tc>
      </w:tr>
      <w:tr>
        <w:tc>
          <w:tcPr>
            <w:tcW w:type="dxa" w:w="3200"/>
            <w:shd w:fill="EAF1F8" w:color="auto" w:val="clear"/>
            <w:tcMar>
              <w:top w:type="dxa" w:w="70"/>
              <w:left w:type="dxa" w:w="100"/>
              <w:bottom w:type="dxa" w:w="70"/>
              <w:right w:type="dxa" w:w="100"/>
            </w:tcMar>
            <w:vAlign w:val="center"/>
          </w:tcPr>
          <w:p>
            <w:r>
              <w:rPr>
                <w:sz w:val="21"/>
                <w:szCs w:val="21"/>
              </w:rPr>
              <w:t xml:space="preserve">Phase 2 Notebook</w:t>
            </w:r>
          </w:p>
        </w:tc>
        <w:tc>
          <w:tcPr>
            <w:tcW w:type="dxa" w:w="6160"/>
            <w:shd w:fill="EAF1F8" w:color="auto" w:val="clear"/>
            <w:tcMar>
              <w:top w:type="dxa" w:w="70"/>
              <w:left w:type="dxa" w:w="100"/>
              <w:bottom w:type="dxa" w:w="70"/>
              <w:right w:type="dxa" w:w="100"/>
            </w:tcMar>
            <w:vAlign w:val="center"/>
          </w:tcPr>
          <w:p>
            <w:r>
              <w:rPr>
                <w:sz w:val="21"/>
                <w:szCs w:val="21"/>
              </w:rPr>
              <w:t xml:space="preserve">Notebooks/Phase2_Cleaning_Feature_Engineering.ipynb</w:t>
            </w:r>
          </w:p>
        </w:tc>
      </w:tr>
      <w:tr>
        <w:tc>
          <w:tcPr>
            <w:tcW w:type="dxa" w:w="3200"/>
            <w:tcMar>
              <w:top w:type="dxa" w:w="70"/>
              <w:left w:type="dxa" w:w="100"/>
              <w:bottom w:type="dxa" w:w="70"/>
              <w:right w:type="dxa" w:w="100"/>
            </w:tcMar>
            <w:vAlign w:val="center"/>
          </w:tcPr>
          <w:p>
            <w:r>
              <w:rPr>
                <w:sz w:val="21"/>
                <w:szCs w:val="21"/>
              </w:rPr>
              <w:t xml:space="preserve">Phase 3 Notebook</w:t>
            </w:r>
          </w:p>
        </w:tc>
        <w:tc>
          <w:tcPr>
            <w:tcW w:type="dxa" w:w="6160"/>
            <w:tcMar>
              <w:top w:type="dxa" w:w="70"/>
              <w:left w:type="dxa" w:w="100"/>
              <w:bottom w:type="dxa" w:w="70"/>
              <w:right w:type="dxa" w:w="100"/>
            </w:tcMar>
            <w:vAlign w:val="center"/>
          </w:tcPr>
          <w:p>
            <w:r>
              <w:rPr>
                <w:sz w:val="21"/>
                <w:szCs w:val="21"/>
              </w:rPr>
              <w:t xml:space="preserve">Notebooks/Phase3_EDA_Visualization.ipynb</w:t>
            </w:r>
          </w:p>
        </w:tc>
      </w:tr>
      <w:tr>
        <w:tc>
          <w:tcPr>
            <w:tcW w:type="dxa" w:w="3200"/>
            <w:shd w:fill="EAF1F8" w:color="auto" w:val="clear"/>
            <w:tcMar>
              <w:top w:type="dxa" w:w="70"/>
              <w:left w:type="dxa" w:w="100"/>
              <w:bottom w:type="dxa" w:w="70"/>
              <w:right w:type="dxa" w:w="100"/>
            </w:tcMar>
            <w:vAlign w:val="center"/>
          </w:tcPr>
          <w:p>
            <w:r>
              <w:rPr>
                <w:sz w:val="21"/>
                <w:szCs w:val="21"/>
              </w:rPr>
              <w:t xml:space="preserve">Phase 4 Notebook</w:t>
            </w:r>
          </w:p>
        </w:tc>
        <w:tc>
          <w:tcPr>
            <w:tcW w:type="dxa" w:w="6160"/>
            <w:shd w:fill="EAF1F8" w:color="auto" w:val="clear"/>
            <w:tcMar>
              <w:top w:type="dxa" w:w="70"/>
              <w:left w:type="dxa" w:w="100"/>
              <w:bottom w:type="dxa" w:w="70"/>
              <w:right w:type="dxa" w:w="100"/>
            </w:tcMar>
            <w:vAlign w:val="center"/>
          </w:tcPr>
          <w:p>
            <w:r>
              <w:rPr>
                <w:sz w:val="21"/>
                <w:szCs w:val="21"/>
              </w:rPr>
              <w:t xml:space="preserve">Notebooks/Phase4_Product_Performance.ipynb</w:t>
            </w:r>
          </w:p>
        </w:tc>
      </w:tr>
      <w:tr>
        <w:tc>
          <w:tcPr>
            <w:tcW w:type="dxa" w:w="3200"/>
            <w:tcMar>
              <w:top w:type="dxa" w:w="70"/>
              <w:left w:type="dxa" w:w="100"/>
              <w:bottom w:type="dxa" w:w="70"/>
              <w:right w:type="dxa" w:w="100"/>
            </w:tcMar>
            <w:vAlign w:val="center"/>
          </w:tcPr>
          <w:p>
            <w:r>
              <w:rPr>
                <w:sz w:val="21"/>
                <w:szCs w:val="21"/>
              </w:rPr>
              <w:t xml:space="preserve">Phase 5 Notebook</w:t>
            </w:r>
          </w:p>
        </w:tc>
        <w:tc>
          <w:tcPr>
            <w:tcW w:type="dxa" w:w="6160"/>
            <w:tcMar>
              <w:top w:type="dxa" w:w="70"/>
              <w:left w:type="dxa" w:w="100"/>
              <w:bottom w:type="dxa" w:w="70"/>
              <w:right w:type="dxa" w:w="100"/>
            </w:tcMar>
            <w:vAlign w:val="center"/>
          </w:tcPr>
          <w:p>
            <w:r>
              <w:rPr>
                <w:sz w:val="21"/>
                <w:szCs w:val="21"/>
              </w:rPr>
              <w:t xml:space="preserve">Notebooks/Phase5_Cannibalization_Analysis.ipynb</w:t>
            </w:r>
          </w:p>
        </w:tc>
      </w:tr>
      <w:tr>
        <w:tc>
          <w:tcPr>
            <w:tcW w:type="dxa" w:w="3200"/>
            <w:shd w:fill="EAF1F8" w:color="auto" w:val="clear"/>
            <w:tcMar>
              <w:top w:type="dxa" w:w="70"/>
              <w:left w:type="dxa" w:w="100"/>
              <w:bottom w:type="dxa" w:w="70"/>
              <w:right w:type="dxa" w:w="100"/>
            </w:tcMar>
            <w:vAlign w:val="center"/>
          </w:tcPr>
          <w:p>
            <w:r>
              <w:rPr>
                <w:sz w:val="21"/>
                <w:szCs w:val="21"/>
              </w:rPr>
              <w:t xml:space="preserve">Phase 6 Notebook</w:t>
            </w:r>
          </w:p>
        </w:tc>
        <w:tc>
          <w:tcPr>
            <w:tcW w:type="dxa" w:w="6160"/>
            <w:shd w:fill="EAF1F8" w:color="auto" w:val="clear"/>
            <w:tcMar>
              <w:top w:type="dxa" w:w="70"/>
              <w:left w:type="dxa" w:w="100"/>
              <w:bottom w:type="dxa" w:w="70"/>
              <w:right w:type="dxa" w:w="100"/>
            </w:tcMar>
            <w:vAlign w:val="center"/>
          </w:tcPr>
          <w:p>
            <w:r>
              <w:rPr>
                <w:sz w:val="21"/>
                <w:szCs w:val="21"/>
              </w:rPr>
              <w:t xml:space="preserve">Notebooks/Phase6_Customer_Pricing_Marketing_Inventory.ipynb</w:t>
            </w:r>
          </w:p>
        </w:tc>
      </w:tr>
      <w:tr>
        <w:tc>
          <w:tcPr>
            <w:tcW w:type="dxa" w:w="3200"/>
            <w:tcMar>
              <w:top w:type="dxa" w:w="70"/>
              <w:left w:type="dxa" w:w="100"/>
              <w:bottom w:type="dxa" w:w="70"/>
              <w:right w:type="dxa" w:w="100"/>
            </w:tcMar>
            <w:vAlign w:val="center"/>
          </w:tcPr>
          <w:p>
            <w:r>
              <w:rPr>
                <w:sz w:val="21"/>
                <w:szCs w:val="21"/>
              </w:rPr>
              <w:t xml:space="preserve">Phase 7 Notebook</w:t>
            </w:r>
          </w:p>
        </w:tc>
        <w:tc>
          <w:tcPr>
            <w:tcW w:type="dxa" w:w="6160"/>
            <w:tcMar>
              <w:top w:type="dxa" w:w="70"/>
              <w:left w:type="dxa" w:w="100"/>
              <w:bottom w:type="dxa" w:w="70"/>
              <w:right w:type="dxa" w:w="100"/>
            </w:tcMar>
            <w:vAlign w:val="center"/>
          </w:tcPr>
          <w:p>
            <w:r>
              <w:rPr>
                <w:sz w:val="21"/>
                <w:szCs w:val="21"/>
              </w:rPr>
              <w:t xml:space="preserve">Notebooks/Phase7_KPI_Recommendations.ipynb</w:t>
            </w:r>
          </w:p>
        </w:tc>
      </w:tr>
      <w:tr>
        <w:tc>
          <w:tcPr>
            <w:tcW w:type="dxa" w:w="3200"/>
            <w:shd w:fill="EAF1F8" w:color="auto" w:val="clear"/>
            <w:tcMar>
              <w:top w:type="dxa" w:w="70"/>
              <w:left w:type="dxa" w:w="100"/>
              <w:bottom w:type="dxa" w:w="70"/>
              <w:right w:type="dxa" w:w="100"/>
            </w:tcMar>
            <w:vAlign w:val="center"/>
          </w:tcPr>
          <w:p>
            <w:r>
              <w:rPr>
                <w:sz w:val="21"/>
                <w:szCs w:val="21"/>
              </w:rPr>
              <w:t xml:space="preserve">Interactive Dashboard</w:t>
            </w:r>
          </w:p>
        </w:tc>
        <w:tc>
          <w:tcPr>
            <w:tcW w:type="dxa" w:w="6160"/>
            <w:shd w:fill="EAF1F8" w:color="auto" w:val="clear"/>
            <w:tcMar>
              <w:top w:type="dxa" w:w="70"/>
              <w:left w:type="dxa" w:w="100"/>
              <w:bottom w:type="dxa" w:w="70"/>
              <w:right w:type="dxa" w:w="100"/>
            </w:tcMar>
            <w:vAlign w:val="center"/>
          </w:tcPr>
          <w:p>
            <w:r>
              <w:rPr>
                <w:sz w:val="21"/>
                <w:szCs w:val="21"/>
              </w:rPr>
              <w:t xml:space="preserve">Dashboard/index.html</w:t>
            </w:r>
          </w:p>
        </w:tc>
      </w:tr>
      <w:tr>
        <w:tc>
          <w:tcPr>
            <w:tcW w:type="dxa" w:w="3200"/>
            <w:tcMar>
              <w:top w:type="dxa" w:w="70"/>
              <w:left w:type="dxa" w:w="100"/>
              <w:bottom w:type="dxa" w:w="70"/>
              <w:right w:type="dxa" w:w="100"/>
            </w:tcMar>
            <w:vAlign w:val="center"/>
          </w:tcPr>
          <w:p>
            <w:r>
              <w:rPr>
                <w:sz w:val="21"/>
                <w:szCs w:val="21"/>
              </w:rPr>
              <w:t xml:space="preserve">Business Report</w:t>
            </w:r>
          </w:p>
        </w:tc>
        <w:tc>
          <w:tcPr>
            <w:tcW w:type="dxa" w:w="6160"/>
            <w:tcMar>
              <w:top w:type="dxa" w:w="70"/>
              <w:left w:type="dxa" w:w="100"/>
              <w:bottom w:type="dxa" w:w="70"/>
              <w:right w:type="dxa" w:w="100"/>
            </w:tcMar>
            <w:vAlign w:val="center"/>
          </w:tcPr>
          <w:p>
            <w:r>
              <w:rPr>
                <w:sz w:val="21"/>
                <w:szCs w:val="21"/>
              </w:rPr>
              <w:t xml:space="preserve">Reports/business_insights_report.md</w:t>
            </w:r>
          </w:p>
        </w:tc>
      </w:tr>
    </w:tbl>
    <w:p>
      <w:pPr>
        <w:spacing w:after="300"/>
      </w:pPr>
    </w:p>
    <w:p>
      <w:pPr>
        <w:jc w:val="center"/>
      </w:pPr>
      <w:r>
        <w:rPr>
          <w:i/>
          <w:iCs/>
          <w:color w:val="666666"/>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666666"/>
        <w:sz w:val="16"/>
        <w:szCs w:val="16"/>
      </w:rPr>
      <w:t xml:space="preserve">Business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c16367ceee1f74b130f9fcadd6c2c818bea50b.png"/><Relationship Id="rId10" Type="http://schemas.openxmlformats.org/officeDocument/2006/relationships/image" Target="media/5c5451d1af3cf2e4d910290e8aab92952e957c2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2026-07-18T18:49:51.101Z</dcterms:created>
  <dcterms:modified xsi:type="dcterms:W3CDTF">2026-07-18T18:49:51.112Z</dcterms:modified>
</cp:coreProperties>
</file>

<file path=docProps/custom.xml><?xml version="1.0" encoding="utf-8"?>
<Properties xmlns="http://schemas.openxmlformats.org/officeDocument/2006/custom-properties" xmlns:vt="http://schemas.openxmlformats.org/officeDocument/2006/docPropsVTypes"/>
</file>