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t xml:space="preserve">任务书功能依赖与完成度报告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评估日期 2026 年 9 月 28 日    评估对象 知源课程知识图谱系统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本报告依据技术开发任务书和 A10 企业赛题，结合当前代码、已有接口验收记录及 Docker 恢复后的页面实测。用于判断开发顺序和交付缺口，不代替正式准确率或性能验收。</w:t>
      </w:r>
    </w:p>
    <w:p>
      <w:pPr>
        <w:pStyle w:val="Heading1"/>
        <w:spacing w:after="150" w:before="160"/>
      </w:pPr>
      <w:r>
        <w:t xml:space="preserve">结论与统计口径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系统已覆盖到第 4 层学习应用，上传到图谱、问答和目标学习路径的主要闭环可运行。第 2 层章节与实体语义仍有缺口，第 3 层完整知识点浏览仍需补齐，第 5 层正式评测与比赛材料尚未完成。不能把目前状态称为比赛要求全部完成。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按本报告拆分的 20 项核心功能检查点：12 项已实现、5 项部分实现、3 项未完整实现。“已实现”指实现链路存在，有代码或样例证据；不表示性能、准确率全部通过。核心功能仍有 8 项需要补齐或专项验收。</w:t>
      </w:r>
    </w:p>
    <w:p>
      <w:pPr>
        <w:pStyle w:val="Heading1"/>
        <w:spacing w:after="150" w:before="160"/>
      </w:pPr>
      <w:r>
        <w:t xml:space="preserve">按实现依赖拆分的六层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50"/>
        <w:gridCol w:w="5000"/>
        <w:gridCol w:w="3010"/>
      </w:tblGrid>
      <w:tr>
        <w:trPr>
          <w:cantSplit/>
          <w:tblHeader/>
        </w:trPr>
        <w:tc>
          <w:tcPr>
            <w:tcW w:type="dxa" w:w="13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层级</w:t>
            </w:r>
          </w:p>
        </w:tc>
        <w:tc>
          <w:tcPr>
            <w:tcW w:type="dxa" w:w="50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职责及前置依赖</w:t>
            </w:r>
          </w:p>
        </w:tc>
        <w:tc>
          <w:tcPr>
            <w:tcW w:type="dxa" w:w="301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当前判断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L0 运行基础</w:t>
            </w:r>
          </w:p>
        </w:tc>
        <w:tc>
          <w:tcPr>
            <w:tcW w:type="dxa" w:w="50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Docker 与数据库 → 后端 API → 网页及模型配置</w:t>
            </w:r>
          </w:p>
        </w:tc>
        <w:tc>
          <w:tcPr>
            <w:tcW w:type="dxa" w:w="30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可运行；本次故障已恢复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L1 资料入口</w:t>
            </w:r>
          </w:p>
        </w:tc>
        <w:tc>
          <w:tcPr>
            <w:tcW w:type="dxa" w:w="50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 L0；课程归属 → 上传 → 格式与编码解析</w:t>
            </w:r>
          </w:p>
        </w:tc>
        <w:tc>
          <w:tcPr>
            <w:tcW w:type="dxa" w:w="30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主链可用；编码边界待测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L2 知识结构</w:t>
            </w:r>
          </w:p>
        </w:tc>
        <w:tc>
          <w:tcPr>
            <w:tcW w:type="dxa" w:w="50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 L1；章节清洗 → 实体/关系 → 来源 → 图存储</w:t>
            </w:r>
          </w:p>
        </w:tc>
        <w:tc>
          <w:tcPr>
            <w:tcW w:type="dxa" w:w="30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关系可用；章节与类别缺口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L3 教师与图谱</w:t>
            </w:r>
          </w:p>
        </w:tc>
        <w:tc>
          <w:tcPr>
            <w:tcW w:type="dxa" w:w="50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 L2；预览交互 → 详情 → 编辑保存 → 列表</w:t>
            </w:r>
          </w:p>
        </w:tc>
        <w:tc>
          <w:tcPr>
            <w:tcW w:type="dxa" w:w="30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主要可用；列表与内容待补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L4 学习应用</w:t>
            </w:r>
          </w:p>
        </w:tc>
        <w:tc>
          <w:tcPr>
            <w:tcW w:type="dxa" w:w="50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 L2/L3；进度 → 路径；检索 → 问答 → 引用</w:t>
            </w:r>
          </w:p>
        </w:tc>
        <w:tc>
          <w:tcPr>
            <w:tcW w:type="dxa" w:w="30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目标闭环可用；自动下一步待补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L5 验收交付</w:t>
            </w:r>
          </w:p>
        </w:tc>
        <w:tc>
          <w:tcPr>
            <w:tcW w:type="dxa" w:w="50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 L1–L4；标注 → 指标测试 → 修复 → 提交材料</w:t>
            </w:r>
          </w:p>
        </w:tc>
        <w:tc>
          <w:tcPr>
            <w:tcW w:type="dxa" w:w="30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已有样例测试；正式交付未完成</w:t>
            </w:r>
          </w:p>
        </w:tc>
      </w:tr>
    </w:tbl>
    <w:p>
      <w:pPr>
        <w:spacing w:after="50"/>
      </w:pP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路径分支：L2 的先修关系 + L4 的掌握状态 → 推荐；问答分支：L1 的原文 + L2 的图谱及教师修订 → 检索与回答。两条分支可在稳定接口下并行推进。</w:t>
      </w:r>
    </w:p>
    <w:p>
      <w:r>
        <w:br w:type="page"/>
      </w:r>
    </w:p>
    <w:p>
      <w:pPr>
        <w:pStyle w:val="Heading1"/>
        <w:spacing w:after="150" w:before="160"/>
      </w:pPr>
      <w:r>
        <w:t xml:space="preserve">核心功能逐项对照 上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对应任务书模块一至三。已实现、部分实现与未完整实现按当前新工作台判断，不把上游项目或 UI 静态示例的能力直接算作已完成。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50"/>
        <w:gridCol w:w="2450"/>
        <w:gridCol w:w="1400"/>
        <w:gridCol w:w="4760"/>
      </w:tblGrid>
      <w:tr>
        <w:trPr>
          <w:cantSplit/>
          <w:tblHeader/>
        </w:trPr>
        <w:tc>
          <w:tcPr>
            <w:tcW w:type="dxa" w:w="7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24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任务书检查点</w:t>
            </w:r>
          </w:p>
        </w:tc>
        <w:tc>
          <w:tcPr>
            <w:tcW w:type="dxa" w:w="14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476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当前证据与缺口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至少两种资料格式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TXT、DOCX、MD 已实测；PDF 接口存在，尚未实测。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单文件不超过 50MB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上传接口有大小限制；边界值还需纳入验收。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UTF8 与 GBK 编码识别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部分实现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有 chardet 检测和读取；GBK 专项未验收，替换字符可能掩盖乱码。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章节分割与文本清洗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未完整实现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现有分块不等于章节；新工作台没有章节字段贯通，页眉页脚规则未形成。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抽取 Prompt 与大模型调用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部分实现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DeepSeek 和三类关系指令已接；实体类型、章节与例子资源的输出规范待补。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五类实体自动分类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未完整实现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导入 CoursePoint 时统一写为“概念”；人工类别编辑不能替代自动分类。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三类关系自动抽取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先修、包含、相关均已写入与显示；正确率另做人工审核。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Neo4j 写入与查询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课程图谱、关系、进度、任务和成绩持久化。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每章至少 20 个知识点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部分实现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样例各有 20 点；当前是文件/课程计数，不能证明按章节达标。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图谱渲染与交互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原生 SVG，按关系布局、箭头、缩放、拖动、搜索与选中；27/37 条线已验证。</w:t>
            </w:r>
          </w:p>
        </w:tc>
      </w:tr>
    </w:tbl>
    <w:p>
      <w:pPr>
        <w:spacing w:after="50"/>
      </w:pP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格式要求是至少两种，因此 TXT 与 DOCX 已满足最低格式数量。PDF 继续验收有价值，但无需先做扫描 OCR 才能完成最低交付。自动章节分割则影响“每章 20 点”的统计，应先于正式指标报告。</w:t>
      </w:r>
    </w:p>
    <w:p>
      <w:r>
        <w:br w:type="page"/>
      </w:r>
    </w:p>
    <w:p>
      <w:pPr>
        <w:pStyle w:val="Heading1"/>
        <w:spacing w:after="150" w:before="160"/>
      </w:pPr>
      <w:r>
        <w:t xml:space="preserve">核心功能逐项对照 下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对应任务书模块三至六。学习路径目前按用户选择的目标计算，任务书的“下一步应学习什么”还应补无目标入口。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50"/>
        <w:gridCol w:w="2450"/>
        <w:gridCol w:w="1400"/>
        <w:gridCol w:w="4760"/>
      </w:tblGrid>
      <w:tr>
        <w:trPr>
          <w:cantSplit/>
          <w:tblHeader/>
        </w:trPr>
        <w:tc>
          <w:tcPr>
            <w:tcW w:type="dxa" w:w="7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24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任务书检查点</w:t>
            </w:r>
          </w:p>
        </w:tc>
        <w:tc>
          <w:tcPr>
            <w:tcW w:type="dxa" w:w="14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476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当前证据与缺口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定义 示例 相关资源详情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部分实现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详情卡与教师编辑存在；自动导入仅有定义，例子与资源默认为空。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列表或卡片展示切换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未完整实现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当前主要是图谱加单节点详情；尚无完整知识点列表/卡片浏览切换。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课程限定检索与回答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RAG 与 DeepSeek 联通；教师修订优先、无依据拒答有样例测试。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回答来源与引用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课程文件出处、原文片段和可用页码；准确性需评测。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按掌握情况推荐下一步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部分实现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目标点的 DFS 先修路径已做；还需无目标时的可学点推荐与排序依据。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掌握进度标记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按课程和本地学习者保存；不是正式账号鉴权。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学习路径可视化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顺序列表与图谱高亮已接；关系图可见不代表推荐质量已达标。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教师与学生业务入口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上传、预览、编辑节点/关系；浏览、问答、进度、路径均有入口。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4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至少两门独立课程</w:t>
            </w:r>
          </w:p>
        </w:tc>
        <w:tc>
          <w:tcPr>
            <w:tcW w:type="dxa" w:w="1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离散数学与软件架构基础仍在；接口已测课程资料及学习者隔离。</w:t>
            </w:r>
          </w:p>
        </w:tc>
      </w:tr>
      <w:tr>
        <w:trPr>
          <w:cantSplit/>
          <w:tblHeader w:val="false"/>
        </w:trPr>
        <w:tc>
          <w:tcPr>
            <w:tcW w:type="dxa" w:w="7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生成进度与失败处理</w:t>
            </w:r>
          </w:p>
        </w:tc>
        <w:tc>
          <w:tcPr>
            <w:tcW w:type="dxa" w:w="1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已实现</w:t>
            </w:r>
          </w:p>
        </w:tc>
        <w:tc>
          <w:tcPr>
            <w:tcW w:type="dxa" w:w="476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真实阶段、耗时、错误、失败重试和原件缓存；不是逐阶段百分比。</w:t>
            </w:r>
          </w:p>
        </w:tc>
      </w:tr>
    </w:tbl>
    <w:p>
      <w:pPr>
        <w:spacing w:after="50"/>
      </w:pP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本地 UUID 用于区分学习记录，教师/学生入口没有正式权限控制。正式登录不在当前赛题最低条款中；本地演示可后置，面向公网部署时必须补齐。</w:t>
      </w:r>
    </w:p>
    <w:p>
      <w:r>
        <w:br w:type="page"/>
      </w:r>
    </w:p>
    <w:p>
      <w:pPr>
        <w:pStyle w:val="Heading1"/>
        <w:spacing w:after="150" w:before="160"/>
      </w:pPr>
      <w:r>
        <w:t xml:space="preserve">剩余工作与先后顺序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建议先补 L2，再补 L3/L4，最后冻结数据与功能进入 L5。以下估算是一名熟悉项目的开发者的有效工作日范围，含联调与基本回归，不含等待用户、API 故障及大范围模型调优。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50"/>
        <w:gridCol w:w="3400"/>
        <w:gridCol w:w="3810"/>
        <w:gridCol w:w="1300"/>
      </w:tblGrid>
      <w:tr>
        <w:trPr>
          <w:cantSplit/>
          <w:tblHeader/>
        </w:trPr>
        <w:tc>
          <w:tcPr>
            <w:tcW w:type="dxa" w:w="8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顺序</w:t>
            </w:r>
          </w:p>
        </w:tc>
        <w:tc>
          <w:tcPr>
            <w:tcW w:type="dxa" w:w="34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工作包及依赖</w:t>
            </w:r>
          </w:p>
        </w:tc>
        <w:tc>
          <w:tcPr>
            <w:tcW w:type="dxa" w:w="381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完成判据</w:t>
            </w:r>
          </w:p>
        </w:tc>
        <w:tc>
          <w:tcPr>
            <w:tcW w:type="dxa" w:w="13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估算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1</w:t>
            </w:r>
          </w:p>
        </w:tc>
        <w:tc>
          <w:tcPr>
            <w:tcW w:type="dxa" w:w="3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章节与清洗；依赖资料解析</w:t>
            </w:r>
          </w:p>
        </w:tc>
        <w:tc>
          <w:tcPr>
            <w:tcW w:type="dxa" w:w="38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章节贯穿原文、点、来源；逐章计数；清洗不损失公式</w:t>
            </w:r>
          </w:p>
        </w:tc>
        <w:tc>
          <w:tcPr>
            <w:tcW w:type="dxa" w:w="1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1–2 日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2</w:t>
            </w:r>
          </w:p>
        </w:tc>
        <w:tc>
          <w:tcPr>
            <w:tcW w:type="dxa" w:w="3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实体类型和详情抽取；依赖 1</w:t>
            </w:r>
          </w:p>
        </w:tc>
        <w:tc>
          <w:tcPr>
            <w:tcW w:type="dxa" w:w="38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五类自动输出并保留；例子/资源有依据，无依据留空</w:t>
            </w:r>
          </w:p>
        </w:tc>
        <w:tc>
          <w:tcPr>
            <w:tcW w:type="dxa" w:w="1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1–2 日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3</w:t>
            </w:r>
          </w:p>
        </w:tc>
        <w:tc>
          <w:tcPr>
            <w:tcW w:type="dxa" w:w="3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知识点列表/卡片；依赖 2</w:t>
            </w:r>
          </w:p>
        </w:tc>
        <w:tc>
          <w:tcPr>
            <w:tcW w:type="dxa" w:w="38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可完整浏览、搜索、切换并打开详情</w:t>
            </w:r>
          </w:p>
        </w:tc>
        <w:tc>
          <w:tcPr>
            <w:tcW w:type="dxa" w:w="1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0.5–1 日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4</w:t>
            </w:r>
          </w:p>
        </w:tc>
        <w:tc>
          <w:tcPr>
            <w:tcW w:type="dxa" w:w="3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无目标下一步推荐；依赖先修图和进度</w:t>
            </w:r>
          </w:p>
        </w:tc>
        <w:tc>
          <w:tcPr>
            <w:tcW w:type="dxa" w:w="38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找出先修满足的未掌握点；展示排序依据与路径</w:t>
            </w:r>
          </w:p>
        </w:tc>
        <w:tc>
          <w:tcPr>
            <w:tcW w:type="dxa" w:w="1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0.5–1 日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5</w:t>
            </w:r>
          </w:p>
        </w:tc>
        <w:tc>
          <w:tcPr>
            <w:tcW w:type="dxa" w:w="3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编码与导入边界；可并行 1–4</w:t>
            </w:r>
          </w:p>
        </w:tc>
        <w:tc>
          <w:tcPr>
            <w:tcW w:type="dxa" w:w="38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GBK、UTF8、异常文件、50MB边界与任务恢复验收</w:t>
            </w:r>
          </w:p>
        </w:tc>
        <w:tc>
          <w:tcPr>
            <w:tcW w:type="dxa" w:w="1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0.5–1 日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6</w:t>
            </w:r>
          </w:p>
        </w:tc>
        <w:tc>
          <w:tcPr>
            <w:tcW w:type="dxa" w:w="34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真实课程评测；依赖 1–5 和人工标准</w:t>
            </w:r>
          </w:p>
        </w:tc>
        <w:tc>
          <w:tcPr>
            <w:tcW w:type="dxa" w:w="38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准确率、时延、百节点与稳定性结果可复现</w:t>
            </w:r>
          </w:p>
        </w:tc>
        <w:tc>
          <w:tcPr>
            <w:tcW w:type="dxa" w:w="1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1.5–3 日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7</w:t>
            </w:r>
          </w:p>
        </w:tc>
        <w:tc>
          <w:tcPr>
            <w:tcW w:type="dxa" w:w="34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比赛提交包；依赖稳定版本和评测</w:t>
            </w:r>
          </w:p>
        </w:tc>
        <w:tc>
          <w:tcPr>
            <w:tcW w:type="dxa" w:w="38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材料内容一致、视频可复现、部署说明完整</w:t>
            </w:r>
          </w:p>
        </w:tc>
        <w:tc>
          <w:tcPr>
            <w:tcW w:type="dxa" w:w="1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1.5–3 日</w:t>
            </w:r>
          </w:p>
        </w:tc>
      </w:tr>
    </w:tbl>
    <w:p>
      <w:pPr>
        <w:spacing w:after="50"/>
      </w:pP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功能补齐估计 3.5–7 个有效工作日；评测和材料再约 3–6 日，总计约 6.5–13 日。不是报价或完成承诺；真实资料的复杂度、错误率及准确率返工可能增加时间。</w:t>
      </w:r>
    </w:p>
    <w:p>
      <w:pPr>
        <w:pStyle w:val="Heading1"/>
        <w:spacing w:after="150" w:before="160"/>
      </w:pPr>
      <w:r>
        <w:t xml:space="preserve">可后置或不必新增的工作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知识融合消歧、跨课程关联属于鼓励或加分内容，不应阻塞最低交付。现有 MERGE 和重复导入只算基础去重，不能称为完整语义消歧。扫描 OCR、复杂机器学习推荐、多模型接入、更多 UI 美化可后置。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原生 SVG 已能呈现与交互，无需仅因推荐技术栈列出 ECharts/G6 而整体替换。知识自测、撤销重做、导出和失败重试已经增加工程价值，先保持稳定，不继续扩大考试系统。</w:t>
      </w:r>
    </w:p>
    <w:p>
      <w:r>
        <w:br w:type="page"/>
      </w:r>
    </w:p>
    <w:p>
      <w:pPr>
        <w:pStyle w:val="Heading1"/>
        <w:spacing w:after="150" w:before="160"/>
      </w:pPr>
      <w:r>
        <w:t xml:space="preserve">指标验收与现有证据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50"/>
        <w:gridCol w:w="2700"/>
        <w:gridCol w:w="2300"/>
        <w:gridCol w:w="2710"/>
      </w:tblGrid>
      <w:tr>
        <w:trPr>
          <w:cantSplit/>
          <w:tblHeader/>
        </w:trPr>
        <w:tc>
          <w:tcPr>
            <w:tcW w:type="dxa" w:w="16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tcW w:type="dxa" w:w="27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要求来源与目标</w:t>
            </w:r>
          </w:p>
        </w:tc>
        <w:tc>
          <w:tcPr>
            <w:tcW w:type="dxa" w:w="23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现有证据</w:t>
            </w:r>
          </w:p>
        </w:tc>
        <w:tc>
          <w:tcPr>
            <w:tcW w:type="dxa" w:w="271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剩余验收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解析成功率</w:t>
            </w:r>
          </w:p>
        </w:tc>
        <w:tc>
          <w:tcPr>
            <w:tcW w:type="dxa" w:w="27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技术任务书 ≥95%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没有批量统计</w:t>
            </w:r>
          </w:p>
        </w:tc>
        <w:tc>
          <w:tcPr>
            <w:tcW w:type="dxa" w:w="27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定义样本与失败口径，批量解析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抽取正确率</w:t>
            </w:r>
          </w:p>
        </w:tc>
        <w:tc>
          <w:tcPr>
            <w:tcW w:type="dxa" w:w="27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两份要求 ≥70%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没有人工抽样结果</w:t>
            </w:r>
          </w:p>
        </w:tc>
        <w:tc>
          <w:tcPr>
            <w:tcW w:type="dxa" w:w="27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标注实体/关系，明确分母及遗漏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问答正确率</w:t>
            </w:r>
          </w:p>
        </w:tc>
        <w:tc>
          <w:tcPr>
            <w:tcW w:type="dxa" w:w="27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技术任务书 ≥75%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没有正式测试集结果</w:t>
            </w:r>
          </w:p>
        </w:tc>
        <w:tc>
          <w:tcPr>
            <w:tcW w:type="dxa" w:w="27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冻结测试题与参考答案，人工评分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抽取总耗时</w:t>
            </w:r>
          </w:p>
        </w:tc>
        <w:tc>
          <w:tcPr>
            <w:tcW w:type="dxa" w:w="27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两份要求 ≤60秒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DOCX 约9.8秒；MD约10.1秒</w:t>
            </w:r>
          </w:p>
        </w:tc>
        <w:tc>
          <w:tcPr>
            <w:tcW w:type="dxa" w:w="27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代表章节与失败长尾批量测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问答耗时</w:t>
            </w:r>
          </w:p>
        </w:tc>
        <w:tc>
          <w:tcPr>
            <w:tcW w:type="dxa" w:w="27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两份要求 ≤15秒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样例5.65秒和1.55秒</w:t>
            </w:r>
          </w:p>
        </w:tc>
        <w:tc>
          <w:tcPr>
            <w:tcW w:type="dxa" w:w="27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不同问题批量测，报告超时比例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图谱加载</w:t>
            </w:r>
          </w:p>
        </w:tc>
        <w:tc>
          <w:tcPr>
            <w:tcW w:type="dxa" w:w="27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技术任务书 ≤3秒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20点页面可用</w:t>
            </w:r>
          </w:p>
        </w:tc>
        <w:tc>
          <w:tcPr>
            <w:tcW w:type="dxa" w:w="27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100点数据测加载与渲染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交互响应</w:t>
            </w:r>
          </w:p>
        </w:tc>
        <w:tc>
          <w:tcPr>
            <w:tcW w:type="dxa" w:w="27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技术任务书 ≤500ms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已有操作验证，未计时</w:t>
            </w:r>
          </w:p>
        </w:tc>
        <w:tc>
          <w:tcPr>
            <w:tcW w:type="dxa" w:w="27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缩放拖动选择测响应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路径响应</w:t>
            </w:r>
          </w:p>
        </w:tc>
        <w:tc>
          <w:tcPr>
            <w:tcW w:type="dxa" w:w="27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技术任务书 ≤3秒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DFS结果接口已测试</w:t>
            </w:r>
          </w:p>
        </w:tc>
        <w:tc>
          <w:tcPr>
            <w:tcW w:type="dxa" w:w="27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代表先修图计时与正确性审核</w:t>
            </w:r>
          </w:p>
        </w:tc>
      </w:tr>
    </w:tbl>
    <w:p>
      <w:pPr>
        <w:spacing w:after="50"/>
      </w:pPr>
    </w:p>
    <w:p>
      <w:pPr>
        <w:pStyle w:val="Heading1"/>
        <w:spacing w:after="150" w:before="160"/>
      </w:pPr>
      <w:r>
        <w:t xml:space="preserve">已经能够引用的证据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 项接口闭环验收通过，包含重复导入、先修环拒绝、教师修订与版本冲突、进度隔离、课程出处隔离、拒答、自测评分、导入保留修订、课程改名和模拟中断恢复。它们证明功能行为，不证明教学准确率。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恢复后课程接口返回离散数学与软件架构基础；页面实际渲染 37 与 27 条关系线，三种颜色有效。当前图谱仍有局部密集区域，百节点可读性与教师布局保存专项回归尚需进一步验收。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文件证据：demo/闭环实测结果.json；demo/资料上传实测结果.json；demo/verify_loop.py；demo/Docker恢复后图谱.png；docs/Docker恢复记录-20260928.md。相对路径均以 llm-graph-builder 项目目录为基准。</w:t>
      </w:r>
    </w:p>
    <w:p>
      <w:r>
        <w:br w:type="page"/>
      </w:r>
    </w:p>
    <w:p>
      <w:pPr>
        <w:pStyle w:val="Heading1"/>
        <w:spacing w:after="150" w:before="160"/>
      </w:pPr>
      <w:r>
        <w:t xml:space="preserve">交付物与需要用户参与的事项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50"/>
        <w:gridCol w:w="2300"/>
        <w:gridCol w:w="4210"/>
      </w:tblGrid>
      <w:tr>
        <w:trPr>
          <w:cantSplit/>
          <w:tblHeader/>
        </w:trPr>
        <w:tc>
          <w:tcPr>
            <w:tcW w:type="dxa" w:w="285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0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4210"/>
            <w:shd w:fill="DCE6F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剩余事项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完整系统代码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已有可运行版本</w:t>
            </w:r>
          </w:p>
        </w:tc>
        <w:tc>
          <w:tcPr>
            <w:tcW w:type="dxa" w:w="42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补齐核心缺口；冻结版本，说明复用来源及许可证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系统使用说明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已有本地说明</w:t>
            </w:r>
          </w:p>
        </w:tc>
        <w:tc>
          <w:tcPr>
            <w:tcW w:type="dxa" w:w="42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合并部署、操作、常见问题，按新界面复核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Prompt 工程记录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尚未形成完整记录</w:t>
            </w:r>
          </w:p>
        </w:tc>
        <w:tc>
          <w:tcPr>
            <w:tcW w:type="dxa" w:w="42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保存版本、样例输入输出、问题、改动与效果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知识抽取准确率报告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未完成</w:t>
            </w:r>
          </w:p>
        </w:tc>
        <w:tc>
          <w:tcPr>
            <w:tcW w:type="dxa" w:w="42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真实样本与人工审核后出结果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问答测试集与结果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未完成</w:t>
            </w:r>
          </w:p>
        </w:tc>
        <w:tc>
          <w:tcPr>
            <w:tcW w:type="dxa" w:w="42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标准答案、评分规则和实测日志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图谱构建示例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已有素材，未成提交案例</w:t>
            </w:r>
          </w:p>
        </w:tc>
        <w:tc>
          <w:tcPr>
            <w:tcW w:type="dxa" w:w="42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同一章节的原文、最终图谱、抽取过程与截图配套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项目演示视频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未完成</w:t>
            </w:r>
          </w:p>
        </w:tc>
        <w:tc>
          <w:tcPr>
            <w:tcW w:type="dxa" w:w="42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功能冻结后录制，覆盖教师和学生完整流程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项目概要介绍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未定稿</w:t>
            </w:r>
          </w:p>
        </w:tc>
        <w:tc>
          <w:tcPr>
            <w:tcW w:type="dxa" w:w="42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明确目标用户、流程、复用与创新边界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项目简介 PPT</w:t>
            </w:r>
          </w:p>
        </w:tc>
        <w:tc>
          <w:tcPr>
            <w:tcW w:type="dxa" w:w="230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未完成</w:t>
            </w:r>
          </w:p>
        </w:tc>
        <w:tc>
          <w:tcPr>
            <w:tcW w:type="dxa" w:w="4210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依据最终功能、案例与真实评测制作</w:t>
            </w:r>
          </w:p>
        </w:tc>
      </w:tr>
      <w:tr>
        <w:trPr>
          <w:cantSplit/>
          <w:tblHeader w:val="false"/>
        </w:trPr>
        <w:tc>
          <w:tcPr>
            <w:tcW w:type="dxa" w:w="285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项目详细方案</w:t>
            </w:r>
          </w:p>
        </w:tc>
        <w:tc>
          <w:tcPr>
            <w:tcW w:type="dxa" w:w="230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未定稿</w:t>
            </w:r>
          </w:p>
        </w:tc>
        <w:tc>
          <w:tcPr>
            <w:tcW w:type="dxa" w:w="4210"/>
            <w:shd w:fill="F5F7FA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架构、数据流、算法、测试、限制与改进方向</w:t>
            </w:r>
          </w:p>
        </w:tc>
      </w:tr>
    </w:tbl>
    <w:p>
      <w:pPr>
        <w:spacing w:after="50"/>
      </w:pPr>
    </w:p>
    <w:p>
      <w:pPr>
        <w:pStyle w:val="Heading1"/>
        <w:spacing w:after="150" w:before="160"/>
      </w:pPr>
      <w:r>
        <w:t xml:space="preserve">需要用户提供或确认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确认演示课程与章节。赛题允许自编资料，并不强制真实大学教材；可以继续使用自编资料，但须形成完整章节及可人工核对的标准。若选公开教材或课件，应确认授权。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参与实体和关系审核，并确认问答标准答案；人工核验不能由模型自评完全替代。提供团队信息、提交时间、视频/PPT格式与命名要求，确认最终提交内容。</w:t>
      </w:r>
    </w:p>
    <w:p>
      <w:pPr>
        <w:pStyle w:val="Heading1"/>
        <w:spacing w:after="150" w:before="160"/>
      </w:pPr>
      <w:r>
        <w:t xml:space="preserve">建议的下一里程碑</w:t>
      </w:r>
    </w:p>
    <w:p>
      <w:pPr>
        <w:spacing w:after="10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先以一门明确章节的课程完成“章节解析 → 五类实体 → 三类关系 → 详情与列表 → 教师校正 → 进度及下一步推荐 → 有出处问答”。再复制到第二门课程，冻结测试集，完成指标与材料。达到这一里程碑后才进入比赛可交付确认。</w:t>
      </w:r>
    </w:p>
    <w:sectPr>
      <w:footerReference w:type="default" r:id="rId7"/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任务书功能依赖与完成度报告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2026-09-28T02:46:41.833Z</dcterms:created>
  <dcterms:modified xsi:type="dcterms:W3CDTF">2026-09-28T02:46:41.835Z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