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4E79"/>
          <w:sz w:val="60"/>
        </w:rPr>
        <w:t>Metricell V4</w:t>
      </w:r>
    </w:p>
    <w:p>
      <w:pPr>
        <w:jc w:val="center"/>
      </w:pPr>
      <w:r>
        <w:rPr>
          <w:b/>
          <w:sz w:val="44"/>
        </w:rPr>
        <w:t>Example User Guide</w:t>
      </w:r>
    </w:p>
    <w:p>
      <w:pPr>
        <w:jc w:val="center"/>
      </w:pPr>
      <w:r>
        <w:rPr>
          <w:i/>
        </w:rPr>
        <w:t>Operational guide for the V4 web platform</w:t>
      </w:r>
    </w:p>
    <w:p>
      <w:pPr>
        <w:jc w:val="center"/>
      </w:pPr>
      <w:r>
        <w:rPr>
          <w:sz w:val="20"/>
        </w:rPr>
        <w:t>Example capability baseline: V4 / 0.41.2</w:t>
        <w:br/>
        <w:t>Prepared: September 2026</w:t>
        <w:br/>
        <w:br/>
        <w:t>This is an example working document. Labels, permissions, available data and URLs may differ by environment.</w:t>
      </w:r>
    </w:p>
    <w:p>
      <w:r>
        <w:br w:type="page"/>
      </w:r>
    </w:p>
    <w:p>
      <w:pPr>
        <w:pStyle w:val="Heading1"/>
        <w:keepNext/>
      </w:pPr>
      <w:r>
        <w:t>Document History</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408"/>
            <w:vAlign w:val="center"/>
            <w:shd w:fill="1F4E79"/>
          </w:tcPr>
          <w:p>
            <w:pPr>
              <w:spacing w:after="0"/>
            </w:pPr>
            <w:r/>
            <w:r>
              <w:rPr>
                <w:rFonts w:ascii="Calibri" w:hAnsi="Calibri"/>
                <w:b/>
                <w:color w:val="FFFFFF"/>
                <w:sz w:val="18"/>
              </w:rPr>
              <w:t>Version</w:t>
            </w:r>
          </w:p>
        </w:tc>
        <w:tc>
          <w:tcPr>
            <w:tcW w:type="dxa" w:w="2408"/>
            <w:vAlign w:val="center"/>
            <w:shd w:fill="1F4E79"/>
          </w:tcPr>
          <w:p>
            <w:pPr>
              <w:spacing w:after="0"/>
            </w:pPr>
            <w:r/>
            <w:r>
              <w:rPr>
                <w:rFonts w:ascii="Calibri" w:hAnsi="Calibri"/>
                <w:b/>
                <w:color w:val="FFFFFF"/>
                <w:sz w:val="18"/>
              </w:rPr>
              <w:t>Date</w:t>
            </w:r>
          </w:p>
        </w:tc>
        <w:tc>
          <w:tcPr>
            <w:tcW w:type="dxa" w:w="2408"/>
            <w:vAlign w:val="center"/>
            <w:shd w:fill="1F4E79"/>
          </w:tcPr>
          <w:p>
            <w:pPr>
              <w:spacing w:after="0"/>
            </w:pPr>
            <w:r/>
            <w:r>
              <w:rPr>
                <w:rFonts w:ascii="Calibri" w:hAnsi="Calibri"/>
                <w:b/>
                <w:color w:val="FFFFFF"/>
                <w:sz w:val="18"/>
              </w:rPr>
              <w:t>Description</w:t>
            </w:r>
          </w:p>
        </w:tc>
        <w:tc>
          <w:tcPr>
            <w:tcW w:type="dxa" w:w="2408"/>
            <w:vAlign w:val="center"/>
            <w:shd w:fill="1F4E79"/>
          </w:tcPr>
          <w:p>
            <w:pPr>
              <w:spacing w:after="0"/>
            </w:pPr>
            <w:r/>
            <w:r>
              <w:rPr>
                <w:rFonts w:ascii="Calibri" w:hAnsi="Calibri"/>
                <w:b/>
                <w:color w:val="FFFFFF"/>
                <w:sz w:val="18"/>
              </w:rPr>
              <w:t>Author</w:t>
            </w:r>
          </w:p>
        </w:tc>
      </w:tr>
      <w:tr>
        <w:tc>
          <w:tcPr>
            <w:tcW w:type="dxa" w:w="2408"/>
            <w:vAlign w:val="center"/>
          </w:tcPr>
          <w:p>
            <w:pPr>
              <w:spacing w:after="0"/>
            </w:pPr>
            <w:r/>
            <w:r>
              <w:rPr>
                <w:rFonts w:ascii="Calibri" w:hAnsi="Calibri"/>
                <w:b w:val="0"/>
                <w:sz w:val="18"/>
              </w:rPr>
              <w:t>0.1</w:t>
            </w:r>
          </w:p>
        </w:tc>
        <w:tc>
          <w:tcPr>
            <w:tcW w:type="dxa" w:w="2408"/>
            <w:vAlign w:val="center"/>
          </w:tcPr>
          <w:p>
            <w:pPr>
              <w:spacing w:after="0"/>
            </w:pPr>
            <w:r/>
            <w:r>
              <w:rPr>
                <w:rFonts w:ascii="Calibri" w:hAnsi="Calibri"/>
                <w:b w:val="0"/>
                <w:sz w:val="18"/>
              </w:rPr>
              <w:t>September 2026</w:t>
            </w:r>
          </w:p>
        </w:tc>
        <w:tc>
          <w:tcPr>
            <w:tcW w:type="dxa" w:w="2408"/>
            <w:vAlign w:val="center"/>
          </w:tcPr>
          <w:p>
            <w:pPr>
              <w:spacing w:after="0"/>
            </w:pPr>
            <w:r/>
            <w:r>
              <w:rPr>
                <w:rFonts w:ascii="Calibri" w:hAnsi="Calibri"/>
                <w:b w:val="0"/>
                <w:sz w:val="18"/>
              </w:rPr>
              <w:t>Example V4 guide created from the supplied VodafoneThree guide structure.</w:t>
            </w:r>
          </w:p>
        </w:tc>
        <w:tc>
          <w:tcPr>
            <w:tcW w:type="dxa" w:w="2408"/>
            <w:vAlign w:val="center"/>
          </w:tcPr>
          <w:p>
            <w:pPr>
              <w:spacing w:after="0"/>
            </w:pPr>
            <w:r/>
            <w:r>
              <w:rPr>
                <w:rFonts w:ascii="Calibri" w:hAnsi="Calibri"/>
                <w:b w:val="0"/>
                <w:sz w:val="18"/>
              </w:rPr>
              <w:t>Metricell QA</w:t>
            </w:r>
          </w:p>
        </w:tc>
      </w:tr>
      <w:tr>
        <w:tc>
          <w:tcPr>
            <w:tcW w:type="dxa" w:w="2408"/>
            <w:vAlign w:val="center"/>
          </w:tcPr>
          <w:p>
            <w:pPr>
              <w:spacing w:after="0"/>
            </w:pPr>
            <w:r/>
            <w:r>
              <w:rPr>
                <w:rFonts w:ascii="Calibri" w:hAnsi="Calibri"/>
                <w:b w:val="0"/>
                <w:sz w:val="18"/>
              </w:rPr>
              <w:t>0.2</w:t>
            </w:r>
          </w:p>
        </w:tc>
        <w:tc>
          <w:tcPr>
            <w:tcW w:type="dxa" w:w="2408"/>
            <w:vAlign w:val="center"/>
          </w:tcPr>
          <w:p>
            <w:pPr>
              <w:spacing w:after="0"/>
            </w:pPr>
            <w:r/>
            <w:r>
              <w:rPr>
                <w:rFonts w:ascii="Calibri" w:hAnsi="Calibri"/>
                <w:b w:val="0"/>
                <w:sz w:val="18"/>
              </w:rPr>
              <w:t>—</w:t>
            </w:r>
          </w:p>
        </w:tc>
        <w:tc>
          <w:tcPr>
            <w:tcW w:type="dxa" w:w="2408"/>
            <w:vAlign w:val="center"/>
          </w:tcPr>
          <w:p>
            <w:pPr>
              <w:spacing w:after="0"/>
            </w:pPr>
            <w:r/>
            <w:r>
              <w:rPr>
                <w:rFonts w:ascii="Calibri" w:hAnsi="Calibri"/>
                <w:b w:val="0"/>
                <w:sz w:val="18"/>
              </w:rPr>
              <w:t>Update after review against the target deployment.</w:t>
            </w:r>
          </w:p>
        </w:tc>
        <w:tc>
          <w:tcPr>
            <w:tcW w:type="dxa" w:w="2408"/>
            <w:vAlign w:val="center"/>
          </w:tcPr>
          <w:p>
            <w:pPr>
              <w:spacing w:after="0"/>
            </w:pPr>
            <w:r/>
            <w:r>
              <w:rPr>
                <w:rFonts w:ascii="Calibri" w:hAnsi="Calibri"/>
                <w:b w:val="0"/>
                <w:sz w:val="18"/>
              </w:rPr>
              <w:t>—</w:t>
            </w:r>
          </w:p>
        </w:tc>
      </w:tr>
    </w:tbl>
    <w:p>
      <w:pPr>
        <w:spacing w:after="20"/>
      </w:pPr>
    </w:p>
    <w:p>
      <w:pPr>
        <w:pStyle w:val="Heading1"/>
        <w:keepNext/>
      </w:pPr>
      <w:r>
        <w:t>Purpose and scope</w:t>
      </w:r>
    </w:p>
    <w:p>
      <w:r>
        <w:t>Metricell V4 is a browser-based workspace for visualising, investigating and planning against network, coverage, measurement and operational data. This guide gives new users a practical route through the main modules and explains what a successful interaction should look like.</w:t>
      </w:r>
    </w:p>
    <w:p>
      <w:r>
        <w:t>It is an example rather than a contractual product specification. Feature visibility depends on deployment, permissions, available data and the current release. Use the labels shown in the application when they differ from this document.</w:t>
      </w:r>
    </w:p>
    <w:p>
      <w:pPr>
        <w:pStyle w:val="Heading2"/>
        <w:keepNext/>
      </w:pPr>
      <w:r>
        <w:t>Safe operating principles</w:t>
      </w:r>
    </w:p>
    <w:p>
      <w:pPr>
        <w:pStyle w:val="ListBullet"/>
      </w:pPr>
      <w:r>
        <w:t>Use only the account and environment provided for your work.</w:t>
      </w:r>
    </w:p>
    <w:p>
      <w:pPr>
        <w:pStyle w:val="ListBullet"/>
      </w:pPr>
      <w:r>
        <w:t>Treat map results and API audit entries as evidence to investigate, not proof of root cause on their own.</w:t>
      </w:r>
    </w:p>
    <w:p>
      <w:pPr>
        <w:pStyle w:val="ListBullet"/>
      </w:pPr>
      <w:r>
        <w:t>Do not create, edit or delete administrative records unless an approved admin procedure requires it.</w:t>
      </w:r>
    </w:p>
    <w:p>
      <w:pPr>
        <w:pStyle w:val="ListBullet"/>
      </w:pPr>
      <w:r>
        <w:t>When a screen is empty, loading or permission-limited, record the state rather than changing data to make it populate.</w:t>
      </w:r>
    </w:p>
    <w:p>
      <w:pPr>
        <w:pStyle w:val="Heading1"/>
        <w:keepNext/>
      </w:pPr>
      <w:r>
        <w:t>1. Accessing the platform</w:t>
      </w:r>
    </w:p>
    <w:p>
      <w:r>
        <w:t>Open the V4 environment in a supported browser and use the organisation’s normal authentication flow. The exact URL and identity-provider screens are environment-specific.</w:t>
      </w:r>
    </w:p>
    <w:p>
      <w:pPr>
        <w:pStyle w:val="ListNumber"/>
      </w:pPr>
      <w:r>
        <w:t>Open the supplied V4 URL.</w:t>
      </w:r>
    </w:p>
    <w:p>
      <w:pPr>
        <w:pStyle w:val="ListNumber"/>
      </w:pPr>
      <w:r>
        <w:t>Enter your work email and select Next, Continue or the equivalent action.</w:t>
      </w:r>
    </w:p>
    <w:p>
      <w:pPr>
        <w:pStyle w:val="ListNumber"/>
      </w:pPr>
      <w:r>
        <w:t>Complete password and any required multi-factor authentication.</w:t>
      </w:r>
    </w:p>
    <w:p>
      <w:pPr>
        <w:pStyle w:val="ListNumber"/>
      </w:pPr>
      <w:r>
        <w:t>Confirm that the launcher appears, or use the main menu to return to it.</w:t>
      </w: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1]</w:t>
              <w:br/>
              <w:t>Insert an approved screenshot showing the organisation’s login flow and post-login launcher.</w:t>
            </w:r>
          </w:p>
        </w:tc>
      </w:tr>
    </w:tbl>
    <w:p>
      <w:pPr>
        <w:pStyle w:val="Caption"/>
        <w:jc w:val="center"/>
      </w:pPr>
      <w:r>
        <w:t>Figure 1 – Example login and launcher screen</w:t>
      </w:r>
    </w:p>
    <w:p>
      <w:pPr>
        <w:pStyle w:val="Heading1"/>
        <w:keepNext/>
      </w:pPr>
      <w:r>
        <w:t>2. Launcher and navigation</w:t>
      </w:r>
    </w:p>
    <w:p>
      <w:r>
        <w:t>The launcher presents modules as cards. Select a card by its visible name; card order can change between releases.</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F4E79"/>
          </w:tcPr>
          <w:p>
            <w:pPr>
              <w:spacing w:after="0"/>
            </w:pPr>
            <w:r/>
            <w:r>
              <w:rPr>
                <w:rFonts w:ascii="Calibri" w:hAnsi="Calibri"/>
                <w:b/>
                <w:color w:val="FFFFFF"/>
                <w:sz w:val="18"/>
              </w:rPr>
              <w:t>Area</w:t>
            </w:r>
          </w:p>
        </w:tc>
        <w:tc>
          <w:tcPr>
            <w:tcW w:type="dxa" w:w="3211"/>
            <w:vAlign w:val="center"/>
            <w:shd w:fill="1F4E79"/>
          </w:tcPr>
          <w:p>
            <w:pPr>
              <w:spacing w:after="0"/>
            </w:pPr>
            <w:r/>
            <w:r>
              <w:rPr>
                <w:rFonts w:ascii="Calibri" w:hAnsi="Calibri"/>
                <w:b/>
                <w:color w:val="FFFFFF"/>
                <w:sz w:val="18"/>
              </w:rPr>
              <w:t>Typical purpose</w:t>
            </w:r>
          </w:p>
        </w:tc>
        <w:tc>
          <w:tcPr>
            <w:tcW w:type="dxa" w:w="3211"/>
            <w:vAlign w:val="center"/>
            <w:shd w:fill="1F4E79"/>
          </w:tcPr>
          <w:p>
            <w:pPr>
              <w:spacing w:after="0"/>
            </w:pPr>
            <w:r/>
            <w:r>
              <w:rPr>
                <w:rFonts w:ascii="Calibri" w:hAnsi="Calibri"/>
                <w:b/>
                <w:color w:val="FFFFFF"/>
                <w:sz w:val="18"/>
              </w:rPr>
              <w:t>Notes</w:t>
            </w:r>
          </w:p>
        </w:tc>
      </w:tr>
      <w:tr>
        <w:tc>
          <w:tcPr>
            <w:tcW w:type="dxa" w:w="3211"/>
            <w:vAlign w:val="center"/>
          </w:tcPr>
          <w:p>
            <w:pPr>
              <w:spacing w:after="0"/>
            </w:pPr>
            <w:r/>
            <w:r>
              <w:rPr>
                <w:rFonts w:ascii="Calibri" w:hAnsi="Calibri"/>
                <w:b w:val="0"/>
                <w:sz w:val="18"/>
              </w:rPr>
              <w:t>Launcher</w:t>
            </w:r>
          </w:p>
        </w:tc>
        <w:tc>
          <w:tcPr>
            <w:tcW w:type="dxa" w:w="3211"/>
            <w:vAlign w:val="center"/>
          </w:tcPr>
          <w:p>
            <w:pPr>
              <w:spacing w:after="0"/>
            </w:pPr>
            <w:r/>
            <w:r>
              <w:rPr>
                <w:rFonts w:ascii="Calibri" w:hAnsi="Calibri"/>
                <w:b w:val="0"/>
                <w:sz w:val="18"/>
              </w:rPr>
              <w:t>Open the main V4 modules.</w:t>
            </w:r>
          </w:p>
        </w:tc>
        <w:tc>
          <w:tcPr>
            <w:tcW w:type="dxa" w:w="3211"/>
            <w:vAlign w:val="center"/>
          </w:tcPr>
          <w:p>
            <w:pPr>
              <w:spacing w:after="0"/>
            </w:pPr>
            <w:r/>
            <w:r>
              <w:rPr>
                <w:rFonts w:ascii="Calibri" w:hAnsi="Calibri"/>
                <w:b w:val="0"/>
                <w:sz w:val="18"/>
              </w:rPr>
              <w:t>Cards may be hidden or disabled by permission.</w:t>
            </w:r>
          </w:p>
        </w:tc>
      </w:tr>
      <w:tr>
        <w:tc>
          <w:tcPr>
            <w:tcW w:type="dxa" w:w="3211"/>
            <w:vAlign w:val="center"/>
          </w:tcPr>
          <w:p>
            <w:pPr>
              <w:spacing w:after="0"/>
            </w:pPr>
            <w:r/>
            <w:r>
              <w:rPr>
                <w:rFonts w:ascii="Calibri" w:hAnsi="Calibri"/>
                <w:b w:val="0"/>
                <w:sz w:val="18"/>
              </w:rPr>
              <w:t>User menu</w:t>
            </w:r>
          </w:p>
        </w:tc>
        <w:tc>
          <w:tcPr>
            <w:tcW w:type="dxa" w:w="3211"/>
            <w:vAlign w:val="center"/>
          </w:tcPr>
          <w:p>
            <w:pPr>
              <w:spacing w:after="0"/>
            </w:pPr>
            <w:r/>
            <w:r>
              <w:rPr>
                <w:rFonts w:ascii="Calibri" w:hAnsi="Calibri"/>
                <w:b w:val="0"/>
                <w:sz w:val="18"/>
              </w:rPr>
              <w:t>View account or profile actions.</w:t>
            </w:r>
          </w:p>
        </w:tc>
        <w:tc>
          <w:tcPr>
            <w:tcW w:type="dxa" w:w="3211"/>
            <w:vAlign w:val="center"/>
          </w:tcPr>
          <w:p>
            <w:pPr>
              <w:spacing w:after="0"/>
            </w:pPr>
            <w:r/>
            <w:r>
              <w:rPr>
                <w:rFonts w:ascii="Calibri" w:hAnsi="Calibri"/>
                <w:b w:val="0"/>
                <w:sz w:val="18"/>
              </w:rPr>
              <w:t>Available actions vary by role.</w:t>
            </w:r>
          </w:p>
        </w:tc>
      </w:tr>
      <w:tr>
        <w:tc>
          <w:tcPr>
            <w:tcW w:type="dxa" w:w="3211"/>
            <w:vAlign w:val="center"/>
          </w:tcPr>
          <w:p>
            <w:pPr>
              <w:spacing w:after="0"/>
            </w:pPr>
            <w:r/>
            <w:r>
              <w:rPr>
                <w:rFonts w:ascii="Calibri" w:hAnsi="Calibri"/>
                <w:b w:val="0"/>
                <w:sz w:val="18"/>
              </w:rPr>
              <w:t>Main menu</w:t>
            </w:r>
          </w:p>
        </w:tc>
        <w:tc>
          <w:tcPr>
            <w:tcW w:type="dxa" w:w="3211"/>
            <w:vAlign w:val="center"/>
          </w:tcPr>
          <w:p>
            <w:pPr>
              <w:spacing w:after="0"/>
            </w:pPr>
            <w:r/>
            <w:r>
              <w:rPr>
                <w:rFonts w:ascii="Calibri" w:hAnsi="Calibri"/>
                <w:b w:val="0"/>
                <w:sz w:val="18"/>
              </w:rPr>
              <w:t>Move between modules or return to launcher.</w:t>
            </w:r>
          </w:p>
        </w:tc>
        <w:tc>
          <w:tcPr>
            <w:tcW w:type="dxa" w:w="3211"/>
            <w:vAlign w:val="center"/>
          </w:tcPr>
          <w:p>
            <w:pPr>
              <w:spacing w:after="0"/>
            </w:pPr>
            <w:r/>
            <w:r>
              <w:rPr>
                <w:rFonts w:ascii="Calibri" w:hAnsi="Calibri"/>
                <w:b w:val="0"/>
                <w:sz w:val="18"/>
              </w:rPr>
              <w:t>Use visible labels rather than fixed position.</w:t>
            </w:r>
          </w:p>
        </w:tc>
      </w:tr>
      <w:tr>
        <w:tc>
          <w:tcPr>
            <w:tcW w:type="dxa" w:w="3211"/>
            <w:vAlign w:val="center"/>
          </w:tcPr>
          <w:p>
            <w:pPr>
              <w:spacing w:after="0"/>
            </w:pPr>
            <w:r/>
            <w:r>
              <w:rPr>
                <w:rFonts w:ascii="Calibri" w:hAnsi="Calibri"/>
                <w:b w:val="0"/>
                <w:sz w:val="18"/>
              </w:rPr>
              <w:t>Module header</w:t>
            </w:r>
          </w:p>
        </w:tc>
        <w:tc>
          <w:tcPr>
            <w:tcW w:type="dxa" w:w="3211"/>
            <w:vAlign w:val="center"/>
          </w:tcPr>
          <w:p>
            <w:pPr>
              <w:spacing w:after="0"/>
            </w:pPr>
            <w:r/>
            <w:r>
              <w:rPr>
                <w:rFonts w:ascii="Calibri" w:hAnsi="Calibri"/>
                <w:b w:val="0"/>
                <w:sz w:val="18"/>
              </w:rPr>
              <w:t>Open module-specific actions and view controls.</w:t>
            </w:r>
          </w:p>
        </w:tc>
        <w:tc>
          <w:tcPr>
            <w:tcW w:type="dxa" w:w="3211"/>
            <w:vAlign w:val="center"/>
          </w:tcPr>
          <w:p>
            <w:pPr>
              <w:spacing w:after="0"/>
            </w:pPr>
            <w:r/>
            <w:r>
              <w:rPr>
                <w:rFonts w:ascii="Calibri" w:hAnsi="Calibri"/>
                <w:b w:val="0"/>
                <w:sz w:val="18"/>
              </w:rPr>
              <w:t>Some controls appear only after data loads.</w:t>
            </w:r>
          </w:p>
        </w:tc>
      </w:tr>
    </w:tbl>
    <w:p>
      <w:pPr>
        <w:spacing w:after="20"/>
      </w:pPr>
    </w:p>
    <w:p>
      <w:pPr>
        <w:pStyle w:val="Heading1"/>
        <w:keepNext/>
      </w:pPr>
      <w:r>
        <w:t>3. GIS workspace</w:t>
      </w:r>
    </w:p>
    <w:p>
      <w:r>
        <w:t>GIS combines a searchable layer catalogue, map controls, feature details and saved or shared views. The catalogue is organised into groups such as Network, Tests and Measurements, Improvement Areas and Planning.</w:t>
      </w:r>
    </w:p>
    <w:p>
      <w:pPr>
        <w:pStyle w:val="Heading2"/>
        <w:keepNext/>
      </w:pPr>
      <w:r>
        <w:t>3.1 Add and inspect a layer</w:t>
      </w:r>
    </w:p>
    <w:p>
      <w:pPr>
        <w:pStyle w:val="ListNumber"/>
      </w:pPr>
      <w:r>
        <w:t>Open GIS from the launcher.</w:t>
      </w:r>
    </w:p>
    <w:p>
      <w:pPr>
        <w:pStyle w:val="ListNumber"/>
      </w:pPr>
      <w:r>
        <w:t>Use Search layers or expand a category.</w:t>
      </w:r>
    </w:p>
    <w:p>
      <w:pPr>
        <w:pStyle w:val="ListNumber"/>
      </w:pPr>
      <w:r>
        <w:t>Select a layer to add it to Map layers. Use eye, settings or remove controls as needed.</w:t>
      </w:r>
    </w:p>
    <w:p>
      <w:pPr>
        <w:pStyle w:val="ListNumber"/>
      </w:pPr>
      <w:r>
        <w:t>Wait for the map and legend to finish loading.</w:t>
      </w:r>
    </w:p>
    <w:p>
      <w:pPr>
        <w:pStyle w:val="ListNumber"/>
      </w:pPr>
      <w:r>
        <w:t>Select a feature to open details in the persistent panel below the map. Multiple detail tabs can remain open.</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Layer group</w:t>
            </w:r>
          </w:p>
        </w:tc>
        <w:tc>
          <w:tcPr>
            <w:tcW w:type="dxa" w:w="4816"/>
            <w:vAlign w:val="center"/>
            <w:shd w:fill="1F4E79"/>
          </w:tcPr>
          <w:p>
            <w:pPr>
              <w:spacing w:after="0"/>
            </w:pPr>
            <w:r/>
            <w:r>
              <w:rPr>
                <w:rFonts w:ascii="Calibri" w:hAnsi="Calibri"/>
                <w:b/>
                <w:color w:val="FFFFFF"/>
                <w:sz w:val="18"/>
              </w:rPr>
              <w:t>Examples</w:t>
            </w:r>
          </w:p>
        </w:tc>
      </w:tr>
      <w:tr>
        <w:tc>
          <w:tcPr>
            <w:tcW w:type="dxa" w:w="4816"/>
            <w:vAlign w:val="center"/>
          </w:tcPr>
          <w:p>
            <w:pPr>
              <w:spacing w:after="0"/>
            </w:pPr>
            <w:r/>
            <w:r>
              <w:rPr>
                <w:rFonts w:ascii="Calibri" w:hAnsi="Calibri"/>
                <w:b w:val="0"/>
                <w:sz w:val="18"/>
              </w:rPr>
              <w:t>Network</w:t>
            </w:r>
          </w:p>
        </w:tc>
        <w:tc>
          <w:tcPr>
            <w:tcW w:type="dxa" w:w="4816"/>
            <w:vAlign w:val="center"/>
          </w:tcPr>
          <w:p>
            <w:pPr>
              <w:spacing w:after="0"/>
            </w:pPr>
            <w:r/>
            <w:r>
              <w:rPr>
                <w:rFonts w:ascii="Calibri" w:hAnsi="Calibri"/>
                <w:b w:val="0"/>
                <w:sz w:val="18"/>
              </w:rPr>
              <w:t>Magnet Sites, Femto Cells, Incident Reports, Predicted Coverage, Site Finder, Hotspot Hours, Network and Site Faults</w:t>
            </w:r>
          </w:p>
        </w:tc>
      </w:tr>
      <w:tr>
        <w:tc>
          <w:tcPr>
            <w:tcW w:type="dxa" w:w="4816"/>
            <w:vAlign w:val="center"/>
          </w:tcPr>
          <w:p>
            <w:pPr>
              <w:spacing w:after="0"/>
            </w:pPr>
            <w:r/>
            <w:r>
              <w:rPr>
                <w:rFonts w:ascii="Calibri" w:hAnsi="Calibri"/>
                <w:b w:val="0"/>
                <w:sz w:val="18"/>
              </w:rPr>
              <w:t>Tests and Measurements</w:t>
            </w:r>
          </w:p>
        </w:tc>
        <w:tc>
          <w:tcPr>
            <w:tcW w:type="dxa" w:w="4816"/>
            <w:vAlign w:val="center"/>
          </w:tcPr>
          <w:p>
            <w:pPr>
              <w:spacing w:after="0"/>
            </w:pPr>
            <w:r/>
            <w:r>
              <w:rPr>
                <w:rFonts w:ascii="Calibri" w:hAnsi="Calibri"/>
                <w:b w:val="0"/>
                <w:sz w:val="18"/>
              </w:rPr>
              <w:t>Beacons, Crowd, Surveyor</w:t>
            </w:r>
          </w:p>
        </w:tc>
      </w:tr>
      <w:tr>
        <w:tc>
          <w:tcPr>
            <w:tcW w:type="dxa" w:w="4816"/>
            <w:vAlign w:val="center"/>
          </w:tcPr>
          <w:p>
            <w:pPr>
              <w:spacing w:after="0"/>
            </w:pPr>
            <w:r/>
            <w:r>
              <w:rPr>
                <w:rFonts w:ascii="Calibri" w:hAnsi="Calibri"/>
                <w:b w:val="0"/>
                <w:sz w:val="18"/>
              </w:rPr>
              <w:t>Improvement Areas</w:t>
            </w:r>
          </w:p>
        </w:tc>
        <w:tc>
          <w:tcPr>
            <w:tcW w:type="dxa" w:w="4816"/>
            <w:vAlign w:val="center"/>
          </w:tcPr>
          <w:p>
            <w:pPr>
              <w:spacing w:after="0"/>
            </w:pPr>
            <w:r/>
            <w:r>
              <w:rPr>
                <w:rFonts w:ascii="Calibri" w:hAnsi="Calibri"/>
                <w:b w:val="0"/>
                <w:sz w:val="18"/>
              </w:rPr>
              <w:t>Coverage Gap Candidate Areas</w:t>
            </w:r>
          </w:p>
        </w:tc>
      </w:tr>
      <w:tr>
        <w:tc>
          <w:tcPr>
            <w:tcW w:type="dxa" w:w="4816"/>
            <w:vAlign w:val="center"/>
          </w:tcPr>
          <w:p>
            <w:pPr>
              <w:spacing w:after="0"/>
            </w:pPr>
            <w:r/>
            <w:r>
              <w:rPr>
                <w:rFonts w:ascii="Calibri" w:hAnsi="Calibri"/>
                <w:b w:val="0"/>
                <w:sz w:val="18"/>
              </w:rPr>
              <w:t>Planning</w:t>
            </w:r>
          </w:p>
        </w:tc>
        <w:tc>
          <w:tcPr>
            <w:tcW w:type="dxa" w:w="4816"/>
            <w:vAlign w:val="center"/>
          </w:tcPr>
          <w:p>
            <w:pPr>
              <w:spacing w:after="0"/>
            </w:pPr>
            <w:r/>
            <w:r>
              <w:rPr>
                <w:rFonts w:ascii="Calibri" w:hAnsi="Calibri"/>
                <w:b w:val="0"/>
                <w:sz w:val="18"/>
              </w:rPr>
              <w:t>Demand Scoring, Proposed Development, Site Search Area, Beacon Chunks, Prospective Sites, Unwind Polygons</w:t>
            </w:r>
          </w:p>
        </w:tc>
      </w:tr>
      <w:tr>
        <w:tc>
          <w:tcPr>
            <w:tcW w:type="dxa" w:w="4816"/>
            <w:vAlign w:val="center"/>
          </w:tcPr>
          <w:p>
            <w:pPr>
              <w:spacing w:after="0"/>
            </w:pPr>
            <w:r/>
            <w:r>
              <w:rPr>
                <w:rFonts w:ascii="Calibri" w:hAnsi="Calibri"/>
                <w:b w:val="0"/>
                <w:sz w:val="18"/>
              </w:rPr>
              <w:t>Data Management</w:t>
            </w:r>
          </w:p>
        </w:tc>
        <w:tc>
          <w:tcPr>
            <w:tcW w:type="dxa" w:w="4816"/>
            <w:vAlign w:val="center"/>
          </w:tcPr>
          <w:p>
            <w:pPr>
              <w:spacing w:after="0"/>
            </w:pPr>
            <w:r/>
            <w:r>
              <w:rPr>
                <w:rFonts w:ascii="Calibri" w:hAnsi="Calibri"/>
                <w:b w:val="0"/>
                <w:sz w:val="18"/>
              </w:rPr>
              <w:t>Authorised custom datasets, where available</w:t>
            </w:r>
          </w:p>
        </w:tc>
      </w:tr>
    </w:tbl>
    <w:p>
      <w:pPr>
        <w:spacing w:after="20"/>
      </w:pP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2]</w:t>
              <w:br/>
              <w:t>Insert an approved screenshot showing the catalogue, map and bottom details panel.</w:t>
            </w:r>
          </w:p>
        </w:tc>
      </w:tr>
    </w:tbl>
    <w:p>
      <w:pPr>
        <w:pStyle w:val="Caption"/>
        <w:jc w:val="center"/>
      </w:pPr>
      <w:r>
        <w:t>Figure 2 – Example GIS layer catalogue and details panel</w:t>
      </w:r>
    </w:p>
    <w:p>
      <w:pPr>
        <w:pStyle w:val="Heading2"/>
        <w:keepNext/>
      </w:pPr>
      <w:r>
        <w:t>3.2 Surveyor and map dialogs</w:t>
      </w:r>
    </w:p>
    <w:p>
      <w:r>
        <w:t>Some GIS layers expose an in-page filter or configuration dialog. Surveyor can offer a Select survey dialog with Username, Survey name, From and To filters, followed by Apply search, Clear, Cancel and Apply. Confirm that the dialog is loaded; it is not necessarily a new browser tab.</w:t>
      </w:r>
    </w:p>
    <w:p>
      <w:pPr>
        <w:pStyle w:val="Heading2"/>
        <w:keepNext/>
      </w:pPr>
      <w:r>
        <w:t>3.3 Planning layers</w:t>
      </w:r>
    </w:p>
    <w:p>
      <w:r>
        <w:t>Planning includes Beacon Chunks, Unwind Polygons, Prospective Sites and Site Search Area. Availability and write permissions are deployment-specific. Use read-only inspection unless an approved planning procedure says otherwise.</w:t>
      </w:r>
    </w:p>
    <w:p>
      <w:pPr>
        <w:pStyle w:val="Heading2"/>
        <w:keepNext/>
      </w:pPr>
      <w:r>
        <w:t>3.4 Saved and shared views</w:t>
      </w:r>
    </w:p>
    <w:p>
      <w:r>
        <w:t>Use view or snapshot controls to save a useful map state where available. Before sharing, check that the view does not expose information outside the intended audience.</w:t>
      </w:r>
    </w:p>
    <w:p>
      <w:pPr>
        <w:pStyle w:val="Heading1"/>
        <w:keepNext/>
      </w:pPr>
      <w:r>
        <w:t>4. Agentic AI</w:t>
      </w:r>
    </w:p>
    <w:p>
      <w:r>
        <w:t>Agentic AI helps users investigate a described issue and relate evidence to network sites on a map. Multiple conversation tabs can retain each investigation’s draft, run state and map settings.</w:t>
      </w:r>
    </w:p>
    <w:p>
      <w:pPr>
        <w:pStyle w:val="ListNumber"/>
      </w:pPr>
      <w:r>
        <w:t>Open Agentic AI and select the required agent when available.</w:t>
      </w:r>
    </w:p>
    <w:p>
      <w:pPr>
        <w:pStyle w:val="ListNumber"/>
      </w:pPr>
      <w:r>
        <w:t>Describe the issue, affected site or location and customer impact.</w:t>
      </w:r>
    </w:p>
    <w:p>
      <w:pPr>
        <w:pStyle w:val="ListNumber"/>
      </w:pPr>
      <w:r>
        <w:t>Use Attach when supporting files are permitted and relevant.</w:t>
      </w:r>
    </w:p>
    <w:p>
      <w:pPr>
        <w:pStyle w:val="ListNumber"/>
      </w:pPr>
      <w:r>
        <w:t>Select Run and wait for the response, evidence and map state to finish loading.</w:t>
      </w:r>
    </w:p>
    <w:p>
      <w:pPr>
        <w:pStyle w:val="ListNumber"/>
      </w:pPr>
      <w:r>
        <w:t>Use site and technology filters to focus results; the 0.41.2 baseline restricts matching to 4G, 5G SA and 5G NSA.</w:t>
      </w:r>
    </w:p>
    <w:p>
      <w:pPr>
        <w:pStyle w:val="ListNumber"/>
      </w:pPr>
      <w:r>
        <w:t>Keep separate investigations in separate conversation tabs.</w:t>
      </w: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3]</w:t>
              <w:br/>
              <w:t>Insert an approved screenshot showing the prompt, conversation tab and resulting map/evidence view.</w:t>
            </w:r>
          </w:p>
        </w:tc>
      </w:tr>
    </w:tbl>
    <w:p>
      <w:pPr>
        <w:pStyle w:val="Caption"/>
        <w:jc w:val="center"/>
      </w:pPr>
      <w:r>
        <w:t>Figure 3 – Example Agentic AI investigation</w:t>
      </w:r>
    </w:p>
    <w:p>
      <w:pPr>
        <w:pStyle w:val="Heading1"/>
        <w:keepNext/>
      </w:pPr>
      <w:r>
        <w:t>5. RPO</w:t>
      </w:r>
    </w:p>
    <w:p>
      <w:r>
        <w:t>RPO provides task and operational views for radio planning or related work. Depending on deployment, it may include Tasks, Actions and Audit Log with filtering and sorting.</w:t>
      </w:r>
    </w:p>
    <w:p>
      <w:pPr>
        <w:pStyle w:val="ListNumber"/>
      </w:pPr>
      <w:r>
        <w:t>Open RPO from the launcher.</w:t>
      </w:r>
    </w:p>
    <w:p>
      <w:pPr>
        <w:pStyle w:val="ListNumber"/>
      </w:pPr>
      <w:r>
        <w:t>Choose Tasks, Actions or Audit Log.</w:t>
      </w:r>
    </w:p>
    <w:p>
      <w:pPr>
        <w:pStyle w:val="ListNumber"/>
      </w:pPr>
      <w:r>
        <w:t>Use filters and sorting to narrow the work.</w:t>
      </w:r>
    </w:p>
    <w:p>
      <w:pPr>
        <w:pStyle w:val="ListNumber"/>
      </w:pPr>
      <w:r>
        <w:t>Open a record only with permission and a defined reason.</w:t>
      </w:r>
    </w:p>
    <w:p>
      <w:pPr>
        <w:pStyle w:val="ListNumber"/>
      </w:pPr>
      <w:r>
        <w:t>If the service returns an empty or error state, record it; do not create test records just to populate the page.</w:t>
      </w:r>
    </w:p>
    <w:p>
      <w:pPr>
        <w:pStyle w:val="Heading1"/>
        <w:keepNext/>
      </w:pPr>
      <w:r>
        <w:t>6. Data Management</w:t>
      </w:r>
    </w:p>
    <w:p>
      <w:r>
        <w:t>Data Management is the current V4 name for the former Custom Datasets area. Where enabled, it supports CSV import, inferred schema and location detection, visibility settings, legend customisation, geographic preview and authorised use in GIS.</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Activity</w:t>
            </w:r>
          </w:p>
        </w:tc>
        <w:tc>
          <w:tcPr>
            <w:tcW w:type="dxa" w:w="4816"/>
            <w:vAlign w:val="center"/>
            <w:shd w:fill="1F4E79"/>
          </w:tcPr>
          <w:p>
            <w:pPr>
              <w:spacing w:after="0"/>
            </w:pPr>
            <w:r/>
            <w:r>
              <w:rPr>
                <w:rFonts w:ascii="Calibri" w:hAnsi="Calibri"/>
                <w:b/>
                <w:color w:val="FFFFFF"/>
                <w:sz w:val="18"/>
              </w:rPr>
              <w:t>What to check</w:t>
            </w:r>
          </w:p>
        </w:tc>
      </w:tr>
      <w:tr>
        <w:tc>
          <w:tcPr>
            <w:tcW w:type="dxa" w:w="4816"/>
            <w:vAlign w:val="center"/>
          </w:tcPr>
          <w:p>
            <w:pPr>
              <w:spacing w:after="0"/>
            </w:pPr>
            <w:r/>
            <w:r>
              <w:rPr>
                <w:rFonts w:ascii="Calibri" w:hAnsi="Calibri"/>
                <w:b w:val="0"/>
                <w:sz w:val="18"/>
              </w:rPr>
              <w:t>Import</w:t>
            </w:r>
          </w:p>
        </w:tc>
        <w:tc>
          <w:tcPr>
            <w:tcW w:type="dxa" w:w="4816"/>
            <w:vAlign w:val="center"/>
          </w:tcPr>
          <w:p>
            <w:pPr>
              <w:spacing w:after="0"/>
            </w:pPr>
            <w:r/>
            <w:r>
              <w:rPr>
                <w:rFonts w:ascii="Calibri" w:hAnsi="Calibri"/>
                <w:b w:val="0"/>
                <w:sz w:val="18"/>
              </w:rPr>
              <w:t>File format, required columns and upload result.</w:t>
            </w:r>
          </w:p>
        </w:tc>
      </w:tr>
      <w:tr>
        <w:tc>
          <w:tcPr>
            <w:tcW w:type="dxa" w:w="4816"/>
            <w:vAlign w:val="center"/>
          </w:tcPr>
          <w:p>
            <w:pPr>
              <w:spacing w:after="0"/>
            </w:pPr>
            <w:r/>
            <w:r>
              <w:rPr>
                <w:rFonts w:ascii="Calibri" w:hAnsi="Calibri"/>
                <w:b w:val="0"/>
                <w:sz w:val="18"/>
              </w:rPr>
              <w:t>Schema and location</w:t>
            </w:r>
          </w:p>
        </w:tc>
        <w:tc>
          <w:tcPr>
            <w:tcW w:type="dxa" w:w="4816"/>
            <w:vAlign w:val="center"/>
          </w:tcPr>
          <w:p>
            <w:pPr>
              <w:spacing w:after="0"/>
            </w:pPr>
            <w:r/>
            <w:r>
              <w:rPr>
                <w:rFonts w:ascii="Calibri" w:hAnsi="Calibri"/>
                <w:b w:val="0"/>
                <w:sz w:val="18"/>
              </w:rPr>
              <w:t>Detected column types, coordinates or address fields and warnings.</w:t>
            </w:r>
          </w:p>
        </w:tc>
      </w:tr>
      <w:tr>
        <w:tc>
          <w:tcPr>
            <w:tcW w:type="dxa" w:w="4816"/>
            <w:vAlign w:val="center"/>
          </w:tcPr>
          <w:p>
            <w:pPr>
              <w:spacing w:after="0"/>
            </w:pPr>
            <w:r/>
            <w:r>
              <w:rPr>
                <w:rFonts w:ascii="Calibri" w:hAnsi="Calibri"/>
                <w:b w:val="0"/>
                <w:sz w:val="18"/>
              </w:rPr>
              <w:t>Visibility</w:t>
            </w:r>
          </w:p>
        </w:tc>
        <w:tc>
          <w:tcPr>
            <w:tcW w:type="dxa" w:w="4816"/>
            <w:vAlign w:val="center"/>
          </w:tcPr>
          <w:p>
            <w:pPr>
              <w:spacing w:after="0"/>
            </w:pPr>
            <w:r/>
            <w:r>
              <w:rPr>
                <w:rFonts w:ascii="Calibri" w:hAnsi="Calibri"/>
                <w:b w:val="0"/>
                <w:sz w:val="18"/>
              </w:rPr>
              <w:t>Personal, group or global visibility matches the intended audience.</w:t>
            </w:r>
          </w:p>
        </w:tc>
      </w:tr>
      <w:tr>
        <w:tc>
          <w:tcPr>
            <w:tcW w:type="dxa" w:w="4816"/>
            <w:vAlign w:val="center"/>
          </w:tcPr>
          <w:p>
            <w:pPr>
              <w:spacing w:after="0"/>
            </w:pPr>
            <w:r/>
            <w:r>
              <w:rPr>
                <w:rFonts w:ascii="Calibri" w:hAnsi="Calibri"/>
                <w:b w:val="0"/>
                <w:sz w:val="18"/>
              </w:rPr>
              <w:t>Legend</w:t>
            </w:r>
          </w:p>
        </w:tc>
        <w:tc>
          <w:tcPr>
            <w:tcW w:type="dxa" w:w="4816"/>
            <w:vAlign w:val="center"/>
          </w:tcPr>
          <w:p>
            <w:pPr>
              <w:spacing w:after="0"/>
            </w:pPr>
            <w:r/>
            <w:r>
              <w:rPr>
                <w:rFonts w:ascii="Calibri" w:hAnsi="Calibri"/>
                <w:b w:val="0"/>
                <w:sz w:val="18"/>
              </w:rPr>
              <w:t>Labels, matching values and colours are meaningful.</w:t>
            </w:r>
          </w:p>
        </w:tc>
      </w:tr>
      <w:tr>
        <w:tc>
          <w:tcPr>
            <w:tcW w:type="dxa" w:w="4816"/>
            <w:vAlign w:val="center"/>
          </w:tcPr>
          <w:p>
            <w:pPr>
              <w:spacing w:after="0"/>
            </w:pPr>
            <w:r/>
            <w:r>
              <w:rPr>
                <w:rFonts w:ascii="Calibri" w:hAnsi="Calibri"/>
                <w:b w:val="0"/>
                <w:sz w:val="18"/>
              </w:rPr>
              <w:t>GIS preview</w:t>
            </w:r>
          </w:p>
        </w:tc>
        <w:tc>
          <w:tcPr>
            <w:tcW w:type="dxa" w:w="4816"/>
            <w:vAlign w:val="center"/>
          </w:tcPr>
          <w:p>
            <w:pPr>
              <w:spacing w:after="0"/>
            </w:pPr>
            <w:r/>
            <w:r>
              <w:rPr>
                <w:rFonts w:ascii="Calibri" w:hAnsi="Calibri"/>
                <w:b w:val="0"/>
                <w:sz w:val="18"/>
              </w:rPr>
              <w:t>Geographic features appear in expected locations.</w:t>
            </w:r>
          </w:p>
        </w:tc>
      </w:tr>
    </w:tbl>
    <w:p>
      <w:pPr>
        <w:spacing w:after="20"/>
      </w:pPr>
    </w:p>
    <w:p>
      <w:r>
        <w:t>If no dataset is available for the account, leave this workflow as not available rather than fabricating data.</w:t>
      </w:r>
    </w:p>
    <w:p>
      <w:pPr>
        <w:pStyle w:val="Heading1"/>
        <w:keepNext/>
      </w:pPr>
      <w:r>
        <w:t>7. Other modules</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Module</w:t>
            </w:r>
          </w:p>
        </w:tc>
        <w:tc>
          <w:tcPr>
            <w:tcW w:type="dxa" w:w="4816"/>
            <w:vAlign w:val="center"/>
            <w:shd w:fill="1F4E79"/>
          </w:tcPr>
          <w:p>
            <w:pPr>
              <w:spacing w:after="0"/>
            </w:pPr>
            <w:r/>
            <w:r>
              <w:rPr>
                <w:rFonts w:ascii="Calibri" w:hAnsi="Calibri"/>
                <w:b/>
                <w:color w:val="FFFFFF"/>
                <w:sz w:val="18"/>
              </w:rPr>
              <w:t>Example use</w:t>
            </w:r>
          </w:p>
        </w:tc>
      </w:tr>
      <w:tr>
        <w:tc>
          <w:tcPr>
            <w:tcW w:type="dxa" w:w="4816"/>
            <w:vAlign w:val="center"/>
          </w:tcPr>
          <w:p>
            <w:pPr>
              <w:spacing w:after="0"/>
            </w:pPr>
            <w:r/>
            <w:r>
              <w:rPr>
                <w:rFonts w:ascii="Calibri" w:hAnsi="Calibri"/>
                <w:b w:val="0"/>
                <w:sz w:val="18"/>
              </w:rPr>
              <w:t>Dashboards</w:t>
            </w:r>
          </w:p>
        </w:tc>
        <w:tc>
          <w:tcPr>
            <w:tcW w:type="dxa" w:w="4816"/>
            <w:vAlign w:val="center"/>
          </w:tcPr>
          <w:p>
            <w:pPr>
              <w:spacing w:after="0"/>
            </w:pPr>
            <w:r/>
            <w:r>
              <w:rPr>
                <w:rFonts w:ascii="Calibri" w:hAnsi="Calibri"/>
                <w:b w:val="0"/>
                <w:sz w:val="18"/>
              </w:rPr>
              <w:t>Review prepared operational or performance views.</w:t>
            </w:r>
          </w:p>
        </w:tc>
      </w:tr>
      <w:tr>
        <w:tc>
          <w:tcPr>
            <w:tcW w:type="dxa" w:w="4816"/>
            <w:vAlign w:val="center"/>
          </w:tcPr>
          <w:p>
            <w:pPr>
              <w:spacing w:after="0"/>
            </w:pPr>
            <w:r/>
            <w:r>
              <w:rPr>
                <w:rFonts w:ascii="Calibri" w:hAnsi="Calibri"/>
                <w:b w:val="0"/>
                <w:sz w:val="18"/>
              </w:rPr>
              <w:t>Customer Care</w:t>
            </w:r>
          </w:p>
        </w:tc>
        <w:tc>
          <w:tcPr>
            <w:tcW w:type="dxa" w:w="4816"/>
            <w:vAlign w:val="center"/>
          </w:tcPr>
          <w:p>
            <w:pPr>
              <w:spacing w:after="0"/>
            </w:pPr>
            <w:r/>
            <w:r>
              <w:rPr>
                <w:rFonts w:ascii="Calibri" w:hAnsi="Calibri"/>
                <w:b w:val="0"/>
                <w:sz w:val="18"/>
              </w:rPr>
              <w:t>Open permitted customer or service investigation views.</w:t>
            </w:r>
          </w:p>
        </w:tc>
      </w:tr>
      <w:tr>
        <w:tc>
          <w:tcPr>
            <w:tcW w:type="dxa" w:w="4816"/>
            <w:vAlign w:val="center"/>
          </w:tcPr>
          <w:p>
            <w:pPr>
              <w:spacing w:after="0"/>
            </w:pPr>
            <w:r/>
            <w:r>
              <w:rPr>
                <w:rFonts w:ascii="Calibri" w:hAnsi="Calibri"/>
                <w:b w:val="0"/>
                <w:sz w:val="18"/>
              </w:rPr>
              <w:t>Survey Analyser</w:t>
            </w:r>
          </w:p>
        </w:tc>
        <w:tc>
          <w:tcPr>
            <w:tcW w:type="dxa" w:w="4816"/>
            <w:vAlign w:val="center"/>
          </w:tcPr>
          <w:p>
            <w:pPr>
              <w:spacing w:after="0"/>
            </w:pPr>
            <w:r/>
            <w:r>
              <w:rPr>
                <w:rFonts w:ascii="Calibri" w:hAnsi="Calibri"/>
                <w:b w:val="0"/>
                <w:sz w:val="18"/>
              </w:rPr>
              <w:t>Review survey-related analysis where enabled.</w:t>
            </w:r>
          </w:p>
        </w:tc>
      </w:tr>
      <w:tr>
        <w:tc>
          <w:tcPr>
            <w:tcW w:type="dxa" w:w="4816"/>
            <w:vAlign w:val="center"/>
          </w:tcPr>
          <w:p>
            <w:pPr>
              <w:spacing w:after="0"/>
            </w:pPr>
            <w:r/>
            <w:r>
              <w:rPr>
                <w:rFonts w:ascii="Calibri" w:hAnsi="Calibri"/>
                <w:b w:val="0"/>
                <w:sz w:val="18"/>
              </w:rPr>
              <w:t>Documents</w:t>
            </w:r>
          </w:p>
        </w:tc>
        <w:tc>
          <w:tcPr>
            <w:tcW w:type="dxa" w:w="4816"/>
            <w:vAlign w:val="center"/>
          </w:tcPr>
          <w:p>
            <w:pPr>
              <w:spacing w:after="0"/>
            </w:pPr>
            <w:r/>
            <w:r>
              <w:rPr>
                <w:rFonts w:ascii="Calibri" w:hAnsi="Calibri"/>
                <w:b w:val="0"/>
                <w:sz w:val="18"/>
              </w:rPr>
              <w:t>Open or manage permitted supporting documents.</w:t>
            </w:r>
          </w:p>
        </w:tc>
      </w:tr>
      <w:tr>
        <w:tc>
          <w:tcPr>
            <w:tcW w:type="dxa" w:w="4816"/>
            <w:vAlign w:val="center"/>
          </w:tcPr>
          <w:p>
            <w:pPr>
              <w:spacing w:after="0"/>
            </w:pPr>
            <w:r/>
            <w:r>
              <w:rPr>
                <w:rFonts w:ascii="Calibri" w:hAnsi="Calibri"/>
                <w:b w:val="0"/>
                <w:sz w:val="18"/>
              </w:rPr>
              <w:t>API Request Audit</w:t>
            </w:r>
          </w:p>
        </w:tc>
        <w:tc>
          <w:tcPr>
            <w:tcW w:type="dxa" w:w="4816"/>
            <w:vAlign w:val="center"/>
          </w:tcPr>
          <w:p>
            <w:pPr>
              <w:spacing w:after="0"/>
            </w:pPr>
            <w:r/>
            <w:r>
              <w:rPr>
                <w:rFonts w:ascii="Calibri" w:hAnsi="Calibri"/>
                <w:b w:val="0"/>
                <w:sz w:val="18"/>
              </w:rPr>
              <w:t>Inspect recorded browser, mobile, service or external OAuth traffic.</w:t>
            </w:r>
          </w:p>
        </w:tc>
      </w:tr>
      <w:tr>
        <w:tc>
          <w:tcPr>
            <w:tcW w:type="dxa" w:w="4816"/>
            <w:vAlign w:val="center"/>
          </w:tcPr>
          <w:p>
            <w:pPr>
              <w:spacing w:after="0"/>
            </w:pPr>
            <w:r/>
            <w:r>
              <w:rPr>
                <w:rFonts w:ascii="Calibri" w:hAnsi="Calibri"/>
                <w:b w:val="0"/>
                <w:sz w:val="18"/>
              </w:rPr>
              <w:t>Access / Device / Agentic AI Administration</w:t>
            </w:r>
          </w:p>
        </w:tc>
        <w:tc>
          <w:tcPr>
            <w:tcW w:type="dxa" w:w="4816"/>
            <w:vAlign w:val="center"/>
          </w:tcPr>
          <w:p>
            <w:pPr>
              <w:spacing w:after="0"/>
            </w:pPr>
            <w:r/>
            <w:r>
              <w:rPr>
                <w:rFonts w:ascii="Calibri" w:hAnsi="Calibri"/>
                <w:b w:val="0"/>
                <w:sz w:val="18"/>
              </w:rPr>
              <w:t>Administrative configuration and monitoring; use navigation-only inspection unless authorised.</w:t>
            </w:r>
          </w:p>
        </w:tc>
      </w:tr>
    </w:tbl>
    <w:p>
      <w:pPr>
        <w:spacing w:after="20"/>
      </w:pPr>
    </w:p>
    <w:p>
      <w:pPr>
        <w:pStyle w:val="Heading1"/>
        <w:keepNext/>
      </w:pPr>
      <w:r>
        <w:t>8. API Request Audit</w:t>
      </w:r>
    </w:p>
    <w:p>
      <w:r>
        <w:t>API Request Audit helps connect a visible product problem with a route, method, status, caller type, authentication state or OAuth client.</w:t>
      </w:r>
    </w:p>
    <w:p>
      <w:pPr>
        <w:pStyle w:val="ListNumber"/>
      </w:pPr>
      <w:r>
        <w:t>Open API Request Audit from the launcher or user menu.</w:t>
      </w:r>
    </w:p>
    <w:p>
      <w:pPr>
        <w:pStyle w:val="ListNumber"/>
      </w:pPr>
      <w:r>
        <w:t>Choose live or historical inspection where available.</w:t>
      </w:r>
    </w:p>
    <w:p>
      <w:pPr>
        <w:pStyle w:val="ListNumber"/>
      </w:pPr>
      <w:r>
        <w:t>Filter by time, module, method, caller type, caller, status, authentication, OAuth client or route.</w:t>
      </w:r>
    </w:p>
    <w:p>
      <w:pPr>
        <w:pStyle w:val="ListNumber"/>
      </w:pPr>
      <w:r>
        <w:t>Use Request Explorer or the request table to inspect a matching entry.</w:t>
      </w:r>
    </w:p>
    <w:p>
      <w:pPr>
        <w:pStyle w:val="ListNumber"/>
      </w:pPr>
      <w:r>
        <w:t>Treat “unmatched” as an audit classification; it does not by itself mean that a wrong URL was used.</w:t>
      </w:r>
    </w:p>
    <w:p>
      <w:pPr>
        <w:pStyle w:val="ListNumber"/>
      </w:pPr>
      <w:r>
        <w:t>Capture method, URL, status, timestamp and caller context when reporting a failure.</w:t>
      </w:r>
    </w:p>
    <w:tbl>
      <w:tblPr>
        <w:tblStyle w:val="TableGrid"/>
        <w:tblW w:type="auto" w:w="0"/>
        <w:jc w:val="center"/>
        <w:tblLook w:firstColumn="1" w:firstRow="1" w:lastColumn="0" w:lastRow="0" w:noHBand="0" w:noVBand="1" w:val="04A0"/>
      </w:tblPr>
      <w:tblGrid>
        <w:gridCol w:w="9633"/>
      </w:tblGrid>
      <w:tr>
        <w:tc>
          <w:tcPr>
            <w:tcW w:type="dxa" w:w="9633"/>
            <w:shd w:fill="EAF2F8"/>
          </w:tcPr>
          <w:p>
            <w:pPr>
              <w:jc w:val="center"/>
            </w:pPr>
            <w:r>
              <w:rPr>
                <w:i/>
                <w:color w:val="1F4E79"/>
              </w:rPr>
              <w:t>[Screenshot placeholder – Figure 4]</w:t>
              <w:br/>
              <w:t>Insert an approved screenshot with sensitive identifiers redacted.</w:t>
            </w:r>
          </w:p>
        </w:tc>
      </w:tr>
    </w:tbl>
    <w:p>
      <w:pPr>
        <w:pStyle w:val="Caption"/>
        <w:jc w:val="center"/>
      </w:pPr>
      <w:r>
        <w:t>Figure 4 – Example API Request Audit investigation</w:t>
      </w:r>
    </w:p>
    <w:p>
      <w:pPr>
        <w:pStyle w:val="Heading1"/>
        <w:keepNext/>
      </w:pPr>
      <w:r>
        <w:t>9. Troubleshooting</w:t>
      </w:r>
    </w:p>
    <w:tbl>
      <w:tblPr>
        <w:tblStyle w:val="TableGrid"/>
        <w:tblW w:type="auto" w:w="0"/>
        <w:jc w:val="center"/>
        <w:tblLook w:firstColumn="1" w:firstRow="1" w:lastColumn="0" w:lastRow="0" w:noHBand="0" w:noVBand="1" w:val="04A0"/>
      </w:tblPr>
      <w:tblGrid>
        <w:gridCol w:w="4816"/>
        <w:gridCol w:w="4816"/>
      </w:tblGrid>
      <w:tr>
        <w:tc>
          <w:tcPr>
            <w:tcW w:type="dxa" w:w="4816"/>
            <w:vAlign w:val="center"/>
            <w:shd w:fill="1F4E79"/>
          </w:tcPr>
          <w:p>
            <w:pPr>
              <w:spacing w:after="0"/>
            </w:pPr>
            <w:r/>
            <w:r>
              <w:rPr>
                <w:rFonts w:ascii="Calibri" w:hAnsi="Calibri"/>
                <w:b/>
                <w:color w:val="FFFFFF"/>
                <w:sz w:val="18"/>
              </w:rPr>
              <w:t>Symptom</w:t>
            </w:r>
          </w:p>
        </w:tc>
        <w:tc>
          <w:tcPr>
            <w:tcW w:type="dxa" w:w="4816"/>
            <w:vAlign w:val="center"/>
            <w:shd w:fill="1F4E79"/>
          </w:tcPr>
          <w:p>
            <w:pPr>
              <w:spacing w:after="0"/>
            </w:pPr>
            <w:r/>
            <w:r>
              <w:rPr>
                <w:rFonts w:ascii="Calibri" w:hAnsi="Calibri"/>
                <w:b/>
                <w:color w:val="FFFFFF"/>
                <w:sz w:val="18"/>
              </w:rPr>
              <w:t>Suggested check</w:t>
            </w:r>
          </w:p>
        </w:tc>
      </w:tr>
      <w:tr>
        <w:tc>
          <w:tcPr>
            <w:tcW w:type="dxa" w:w="4816"/>
            <w:vAlign w:val="center"/>
          </w:tcPr>
          <w:p>
            <w:pPr>
              <w:spacing w:after="0"/>
            </w:pPr>
            <w:r/>
            <w:r>
              <w:rPr>
                <w:rFonts w:ascii="Calibri" w:hAnsi="Calibri"/>
                <w:b w:val="0"/>
                <w:sz w:val="18"/>
              </w:rPr>
              <w:t>Launcher card missing</w:t>
            </w:r>
          </w:p>
        </w:tc>
        <w:tc>
          <w:tcPr>
            <w:tcW w:type="dxa" w:w="4816"/>
            <w:vAlign w:val="center"/>
          </w:tcPr>
          <w:p>
            <w:pPr>
              <w:spacing w:after="0"/>
            </w:pPr>
            <w:r/>
            <w:r>
              <w:rPr>
                <w:rFonts w:ascii="Calibri" w:hAnsi="Calibri"/>
                <w:b w:val="0"/>
                <w:sz w:val="18"/>
              </w:rPr>
              <w:t>Confirm account, deployment and permission; card order can change.</w:t>
            </w:r>
          </w:p>
        </w:tc>
      </w:tr>
      <w:tr>
        <w:tc>
          <w:tcPr>
            <w:tcW w:type="dxa" w:w="4816"/>
            <w:vAlign w:val="center"/>
          </w:tcPr>
          <w:p>
            <w:pPr>
              <w:spacing w:after="0"/>
            </w:pPr>
            <w:r/>
            <w:r>
              <w:rPr>
                <w:rFonts w:ascii="Calibri" w:hAnsi="Calibri"/>
                <w:b w:val="0"/>
                <w:sz w:val="18"/>
              </w:rPr>
              <w:t>GIS still loading</w:t>
            </w:r>
          </w:p>
        </w:tc>
        <w:tc>
          <w:tcPr>
            <w:tcW w:type="dxa" w:w="4816"/>
            <w:vAlign w:val="center"/>
          </w:tcPr>
          <w:p>
            <w:pPr>
              <w:spacing w:after="0"/>
            </w:pPr>
            <w:r/>
            <w:r>
              <w:rPr>
                <w:rFonts w:ascii="Calibri" w:hAnsi="Calibri"/>
                <w:b w:val="0"/>
                <w:sz w:val="18"/>
              </w:rPr>
              <w:t>Wait for workspace and map style, then retry once.</w:t>
            </w:r>
          </w:p>
        </w:tc>
      </w:tr>
      <w:tr>
        <w:tc>
          <w:tcPr>
            <w:tcW w:type="dxa" w:w="4816"/>
            <w:vAlign w:val="center"/>
          </w:tcPr>
          <w:p>
            <w:pPr>
              <w:spacing w:after="0"/>
            </w:pPr>
            <w:r/>
            <w:r>
              <w:rPr>
                <w:rFonts w:ascii="Calibri" w:hAnsi="Calibri"/>
                <w:b w:val="0"/>
                <w:sz w:val="18"/>
              </w:rPr>
              <w:t>Layer is empty</w:t>
            </w:r>
          </w:p>
        </w:tc>
        <w:tc>
          <w:tcPr>
            <w:tcW w:type="dxa" w:w="4816"/>
            <w:vAlign w:val="center"/>
          </w:tcPr>
          <w:p>
            <w:pPr>
              <w:spacing w:after="0"/>
            </w:pPr>
            <w:r/>
            <w:r>
              <w:rPr>
                <w:rFonts w:ascii="Calibri" w:hAnsi="Calibri"/>
                <w:b w:val="0"/>
                <w:sz w:val="18"/>
              </w:rPr>
              <w:t>Check zoom, date/filter settings, data availability and permissions.</w:t>
            </w:r>
          </w:p>
        </w:tc>
      </w:tr>
      <w:tr>
        <w:tc>
          <w:tcPr>
            <w:tcW w:type="dxa" w:w="4816"/>
            <w:vAlign w:val="center"/>
          </w:tcPr>
          <w:p>
            <w:pPr>
              <w:spacing w:after="0"/>
            </w:pPr>
            <w:r/>
            <w:r>
              <w:rPr>
                <w:rFonts w:ascii="Calibri" w:hAnsi="Calibri"/>
                <w:b w:val="0"/>
                <w:sz w:val="18"/>
              </w:rPr>
              <w:t>Unexpected dialog or tab</w:t>
            </w:r>
          </w:p>
        </w:tc>
        <w:tc>
          <w:tcPr>
            <w:tcW w:type="dxa" w:w="4816"/>
            <w:vAlign w:val="center"/>
          </w:tcPr>
          <w:p>
            <w:pPr>
              <w:spacing w:after="0"/>
            </w:pPr>
            <w:r/>
            <w:r>
              <w:rPr>
                <w:rFonts w:ascii="Calibri" w:hAnsi="Calibri"/>
                <w:b w:val="0"/>
                <w:sz w:val="18"/>
              </w:rPr>
              <w:t>Check whether the action opened an in-page panel or a new browser tab/window.</w:t>
            </w:r>
          </w:p>
        </w:tc>
      </w:tr>
      <w:tr>
        <w:tc>
          <w:tcPr>
            <w:tcW w:type="dxa" w:w="4816"/>
            <w:vAlign w:val="center"/>
          </w:tcPr>
          <w:p>
            <w:pPr>
              <w:spacing w:after="0"/>
            </w:pPr>
            <w:r/>
            <w:r>
              <w:rPr>
                <w:rFonts w:ascii="Calibri" w:hAnsi="Calibri"/>
                <w:b w:val="0"/>
                <w:sz w:val="18"/>
              </w:rPr>
              <w:t>API entry shows 5xx</w:t>
            </w:r>
          </w:p>
        </w:tc>
        <w:tc>
          <w:tcPr>
            <w:tcW w:type="dxa" w:w="4816"/>
            <w:vAlign w:val="center"/>
          </w:tcPr>
          <w:p>
            <w:pPr>
              <w:spacing w:after="0"/>
            </w:pPr>
            <w:r/>
            <w:r>
              <w:rPr>
                <w:rFonts w:ascii="Calibri" w:hAnsi="Calibri"/>
                <w:b w:val="0"/>
                <w:sz w:val="18"/>
              </w:rPr>
              <w:t>Record the exact route and status; investigate the service condition.</w:t>
            </w:r>
          </w:p>
        </w:tc>
      </w:tr>
      <w:tr>
        <w:tc>
          <w:tcPr>
            <w:tcW w:type="dxa" w:w="4816"/>
            <w:vAlign w:val="center"/>
          </w:tcPr>
          <w:p>
            <w:pPr>
              <w:spacing w:after="0"/>
            </w:pPr>
            <w:r/>
            <w:r>
              <w:rPr>
                <w:rFonts w:ascii="Calibri" w:hAnsi="Calibri"/>
                <w:b w:val="0"/>
                <w:sz w:val="18"/>
              </w:rPr>
              <w:t>Saved view does not restore</w:t>
            </w:r>
          </w:p>
        </w:tc>
        <w:tc>
          <w:tcPr>
            <w:tcW w:type="dxa" w:w="4816"/>
            <w:vAlign w:val="center"/>
          </w:tcPr>
          <w:p>
            <w:pPr>
              <w:spacing w:after="0"/>
            </w:pPr>
            <w:r/>
            <w:r>
              <w:rPr>
                <w:rFonts w:ascii="Calibri" w:hAnsi="Calibri"/>
                <w:b w:val="0"/>
                <w:sz w:val="18"/>
              </w:rPr>
              <w:t>Confirm the view was saved and referenced layers still exist.</w:t>
            </w:r>
          </w:p>
        </w:tc>
      </w:tr>
    </w:tbl>
    <w:p>
      <w:pPr>
        <w:spacing w:after="20"/>
      </w:pPr>
    </w:p>
    <w:p>
      <w:pPr>
        <w:pStyle w:val="Heading1"/>
        <w:keepNext/>
      </w:pPr>
      <w:r>
        <w:t>10. Quick reference for support</w:t>
      </w:r>
    </w:p>
    <w:p>
      <w:r>
        <w:t>When escalating a problem, include:</w:t>
      </w:r>
    </w:p>
    <w:p>
      <w:pPr>
        <w:pStyle w:val="ListBullet"/>
      </w:pPr>
      <w:r>
        <w:t>Environment URL and date/time including timezone.</w:t>
      </w:r>
    </w:p>
    <w:p>
      <w:pPr>
        <w:pStyle w:val="ListBullet"/>
      </w:pPr>
      <w:r>
        <w:t>Module, visible screen and action being attempted.</w:t>
      </w:r>
    </w:p>
    <w:p>
      <w:pPr>
        <w:pStyle w:val="ListBullet"/>
      </w:pPr>
      <w:r>
        <w:t>Account role or permission context; never share passwords or MFA codes.</w:t>
      </w:r>
    </w:p>
    <w:p>
      <w:pPr>
        <w:pStyle w:val="ListBullet"/>
      </w:pPr>
      <w:r>
        <w:t>Exact visible error or empty-state message.</w:t>
      </w:r>
    </w:p>
    <w:p>
      <w:pPr>
        <w:pStyle w:val="ListBullet"/>
      </w:pPr>
      <w:r>
        <w:t>API method, route and status when shown in API Request Audit.</w:t>
      </w:r>
    </w:p>
    <w:p>
      <w:pPr>
        <w:pStyle w:val="ListBullet"/>
      </w:pPr>
      <w:r>
        <w:t>Whether the problem reproduced after one controlled retry.</w:t>
      </w:r>
    </w:p>
    <w:p>
      <w:pPr>
        <w:pStyle w:val="ListBullet"/>
      </w:pPr>
      <w:r>
        <w:t>A redacted screenshot when it adds useful evidence.</w:t>
      </w:r>
    </w:p>
    <w:p>
      <w:pPr>
        <w:pStyle w:val="Heading1"/>
        <w:keepNext/>
      </w:pPr>
      <w:r>
        <w:t>Appendix A – Example verification checklist</w:t>
      </w:r>
    </w:p>
    <w:tbl>
      <w:tblPr>
        <w:tblStyle w:val="TableGrid"/>
        <w:tblW w:type="auto" w:w="0"/>
        <w:jc w:val="center"/>
        <w:tblLook w:firstColumn="1" w:firstRow="1" w:lastColumn="0" w:lastRow="0" w:noHBand="0" w:noVBand="1" w:val="04A0"/>
      </w:tblPr>
      <w:tblGrid>
        <w:gridCol w:w="3211"/>
        <w:gridCol w:w="3211"/>
        <w:gridCol w:w="3211"/>
      </w:tblGrid>
      <w:tr>
        <w:tc>
          <w:tcPr>
            <w:tcW w:type="dxa" w:w="3211"/>
            <w:vAlign w:val="center"/>
            <w:shd w:fill="1F4E79"/>
          </w:tcPr>
          <w:p>
            <w:pPr>
              <w:spacing w:after="0"/>
            </w:pPr>
            <w:r/>
            <w:r>
              <w:rPr>
                <w:rFonts w:ascii="Calibri" w:hAnsi="Calibri"/>
                <w:b/>
                <w:color w:val="FFFFFF"/>
                <w:sz w:val="18"/>
              </w:rPr>
              <w:t>Check</w:t>
            </w:r>
          </w:p>
        </w:tc>
        <w:tc>
          <w:tcPr>
            <w:tcW w:type="dxa" w:w="3211"/>
            <w:vAlign w:val="center"/>
            <w:shd w:fill="1F4E79"/>
          </w:tcPr>
          <w:p>
            <w:pPr>
              <w:spacing w:after="0"/>
            </w:pPr>
            <w:r/>
            <w:r>
              <w:rPr>
                <w:rFonts w:ascii="Calibri" w:hAnsi="Calibri"/>
                <w:b/>
                <w:color w:val="FFFFFF"/>
                <w:sz w:val="18"/>
              </w:rPr>
              <w:t>Expected result</w:t>
            </w:r>
          </w:p>
        </w:tc>
        <w:tc>
          <w:tcPr>
            <w:tcW w:type="dxa" w:w="3211"/>
            <w:vAlign w:val="center"/>
            <w:shd w:fill="1F4E79"/>
          </w:tcPr>
          <w:p>
            <w:pPr>
              <w:spacing w:after="0"/>
            </w:pPr>
            <w:r/>
            <w:r>
              <w:rPr>
                <w:rFonts w:ascii="Calibri" w:hAnsi="Calibri"/>
                <w:b/>
                <w:color w:val="FFFFFF"/>
                <w:sz w:val="18"/>
              </w:rPr>
              <w:t>Status</w:t>
            </w:r>
          </w:p>
        </w:tc>
      </w:tr>
      <w:tr>
        <w:tc>
          <w:tcPr>
            <w:tcW w:type="dxa" w:w="3211"/>
            <w:vAlign w:val="center"/>
          </w:tcPr>
          <w:p>
            <w:pPr>
              <w:spacing w:after="0"/>
            </w:pPr>
            <w:r/>
            <w:r>
              <w:rPr>
                <w:rFonts w:ascii="Calibri" w:hAnsi="Calibri"/>
                <w:b w:val="0"/>
                <w:sz w:val="18"/>
              </w:rPr>
              <w:t>Login</w:t>
            </w:r>
          </w:p>
        </w:tc>
        <w:tc>
          <w:tcPr>
            <w:tcW w:type="dxa" w:w="3211"/>
            <w:vAlign w:val="center"/>
          </w:tcPr>
          <w:p>
            <w:pPr>
              <w:spacing w:after="0"/>
            </w:pPr>
            <w:r/>
            <w:r>
              <w:rPr>
                <w:rFonts w:ascii="Calibri" w:hAnsi="Calibri"/>
                <w:b w:val="0"/>
                <w:sz w:val="18"/>
              </w:rPr>
              <w:t>Authentication completes and launcher is visible.</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Launcher</w:t>
            </w:r>
          </w:p>
        </w:tc>
        <w:tc>
          <w:tcPr>
            <w:tcW w:type="dxa" w:w="3211"/>
            <w:vAlign w:val="center"/>
          </w:tcPr>
          <w:p>
            <w:pPr>
              <w:spacing w:after="0"/>
            </w:pPr>
            <w:r/>
            <w:r>
              <w:rPr>
                <w:rFonts w:ascii="Calibri" w:hAnsi="Calibri"/>
                <w:b w:val="0"/>
                <w:sz w:val="18"/>
              </w:rPr>
              <w:t>Expected cards are visible by name.</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GIS</w:t>
            </w:r>
          </w:p>
        </w:tc>
        <w:tc>
          <w:tcPr>
            <w:tcW w:type="dxa" w:w="3211"/>
            <w:vAlign w:val="center"/>
          </w:tcPr>
          <w:p>
            <w:pPr>
              <w:spacing w:after="0"/>
            </w:pPr>
            <w:r/>
            <w:r>
              <w:rPr>
                <w:rFonts w:ascii="Calibri" w:hAnsi="Calibri"/>
                <w:b w:val="0"/>
                <w:sz w:val="18"/>
              </w:rPr>
              <w:t>A permitted layer can be opened and inspected.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Agentic AI</w:t>
            </w:r>
          </w:p>
        </w:tc>
        <w:tc>
          <w:tcPr>
            <w:tcW w:type="dxa" w:w="3211"/>
            <w:vAlign w:val="center"/>
          </w:tcPr>
          <w:p>
            <w:pPr>
              <w:spacing w:after="0"/>
            </w:pPr>
            <w:r/>
            <w:r>
              <w:rPr>
                <w:rFonts w:ascii="Calibri" w:hAnsi="Calibri"/>
                <w:b w:val="0"/>
                <w:sz w:val="18"/>
              </w:rPr>
              <w:t>A permitted investigation can be submitted and reviewed.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RPO</w:t>
            </w:r>
          </w:p>
        </w:tc>
        <w:tc>
          <w:tcPr>
            <w:tcW w:type="dxa" w:w="3211"/>
            <w:vAlign w:val="center"/>
          </w:tcPr>
          <w:p>
            <w:pPr>
              <w:spacing w:after="0"/>
            </w:pPr>
            <w:r/>
            <w:r>
              <w:rPr>
                <w:rFonts w:ascii="Calibri" w:hAnsi="Calibri"/>
                <w:b w:val="0"/>
                <w:sz w:val="18"/>
              </w:rPr>
              <w:t>Permitted read-only views load.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Data Management</w:t>
            </w:r>
          </w:p>
        </w:tc>
        <w:tc>
          <w:tcPr>
            <w:tcW w:type="dxa" w:w="3211"/>
            <w:vAlign w:val="center"/>
          </w:tcPr>
          <w:p>
            <w:pPr>
              <w:spacing w:after="0"/>
            </w:pPr>
            <w:r/>
            <w:r>
              <w:rPr>
                <w:rFonts w:ascii="Calibri" w:hAnsi="Calibri"/>
                <w:b w:val="0"/>
                <w:sz w:val="18"/>
              </w:rPr>
              <w:t>Actual dataset availability is recorded.</w:t>
            </w:r>
          </w:p>
        </w:tc>
        <w:tc>
          <w:tcPr>
            <w:tcW w:type="dxa" w:w="3211"/>
            <w:vAlign w:val="center"/>
          </w:tcPr>
          <w:p>
            <w:pPr>
              <w:spacing w:after="0"/>
            </w:pPr>
            <w:r/>
            <w:r>
              <w:rPr>
                <w:rFonts w:ascii="Calibri" w:hAnsi="Calibri"/>
                <w:b w:val="0"/>
                <w:sz w:val="18"/>
              </w:rPr>
              <w:t>Not run</w:t>
            </w:r>
          </w:p>
        </w:tc>
      </w:tr>
      <w:tr>
        <w:tc>
          <w:tcPr>
            <w:tcW w:type="dxa" w:w="3211"/>
            <w:vAlign w:val="center"/>
          </w:tcPr>
          <w:p>
            <w:pPr>
              <w:spacing w:after="0"/>
            </w:pPr>
            <w:r/>
            <w:r>
              <w:rPr>
                <w:rFonts w:ascii="Calibri" w:hAnsi="Calibri"/>
                <w:b w:val="0"/>
                <w:sz w:val="18"/>
              </w:rPr>
              <w:t>API Audit</w:t>
            </w:r>
          </w:p>
        </w:tc>
        <w:tc>
          <w:tcPr>
            <w:tcW w:type="dxa" w:w="3211"/>
            <w:vAlign w:val="center"/>
          </w:tcPr>
          <w:p>
            <w:pPr>
              <w:spacing w:after="0"/>
            </w:pPr>
            <w:r/>
            <w:r>
              <w:rPr>
                <w:rFonts w:ascii="Calibri" w:hAnsi="Calibri"/>
                <w:b w:val="0"/>
                <w:sz w:val="18"/>
              </w:rPr>
              <w:t>A request can be located and described accurately.</w:t>
            </w:r>
          </w:p>
        </w:tc>
        <w:tc>
          <w:tcPr>
            <w:tcW w:type="dxa" w:w="3211"/>
            <w:vAlign w:val="center"/>
          </w:tcPr>
          <w:p>
            <w:pPr>
              <w:spacing w:after="0"/>
            </w:pPr>
            <w:r/>
            <w:r>
              <w:rPr>
                <w:rFonts w:ascii="Calibri" w:hAnsi="Calibri"/>
                <w:b w:val="0"/>
                <w:sz w:val="18"/>
              </w:rPr>
              <w:t>Not run</w:t>
            </w:r>
          </w:p>
        </w:tc>
      </w:tr>
    </w:tbl>
    <w:p>
      <w:pPr>
        <w:spacing w:after="20"/>
      </w:pPr>
    </w:p>
    <w:p>
      <w:pPr>
        <w:pStyle w:val="Caption"/>
      </w:pPr>
      <w:r>
        <w:t>End of example guide. Review this document against the target V4 deployment before issuing it as an official manual.</w:t>
      </w:r>
    </w:p>
    <w:sectPr w:rsidR="00FC693F" w:rsidRPr="0006063C" w:rsidSect="00034616">
      <w:footerReference w:type="default" r:id="rId9"/>
      <w:pgSz w:w="11909" w:h="16834"/>
      <w:pgMar w:top="850" w:right="1138" w:bottom="1411" w:left="11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Metricell V4 Example User Guide  |  Draft example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