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69C49CB" w14:textId="55BD6B4F" w:rsidR="006E21DE" w:rsidRDefault="00480197" w:rsidP="00101674">
      <w:pPr>
        <w:pStyle w:val="AbsHead"/>
      </w:pPr>
      <w:r w:rsidRPr="00884B1B">
        <w:t>Complex intercellular responses start with binding of a ligand to its cognate receptor to activate specific cell signaling pathways. Mapping ligand-receptor pairs is fundamental to understanding how cell</w:t>
      </w:r>
      <w:r w:rsidR="0086743B">
        <w:t>s</w:t>
      </w:r>
      <w:r w:rsidRPr="00884B1B">
        <w:t xml:space="preserve"> respond to signaling from neighboring cells</w:t>
      </w:r>
      <w:r w:rsidR="00677C46">
        <w:t>.</w:t>
      </w:r>
      <w:r w:rsidRPr="00884B1B">
        <w:t xml:space="preserve"> Single cell </w:t>
      </w:r>
      <w:r w:rsidRPr="00884B1B">
        <w:t xml:space="preserve">RNA-seq technology holds great promise for studying cell-cell 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691AC1" w:rsidRPr="00691AC1">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691AC1" w:rsidRPr="00691AC1">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691AC1" w:rsidRPr="00691AC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w:t>
      </w:r>
      <w:r w:rsidR="004335BF">
        <w:t xml:space="preserve">is needed </w:t>
      </w:r>
      <w:r w:rsidR="00E963B8">
        <w:t>in addition to</w:t>
      </w:r>
      <w:r w:rsidR="00D72328" w:rsidRPr="00D72328">
        <w:t xml:space="preserve"> </w:t>
      </w:r>
      <w:r w:rsidR="00CA4DA2" w:rsidRPr="00D72328">
        <w:t>genetic mutations or intracellular signaling</w:t>
      </w:r>
      <w:r w:rsidR="00D72328">
        <w:t xml:space="preserve"> </w:t>
      </w:r>
      <w:r w:rsidR="00274715">
        <w:t>to better</w:t>
      </w:r>
      <w:r w:rsidR="00D72328">
        <w:t xml:space="preserve"> understand cancer progression</w:t>
      </w:r>
      <w:r w:rsidR="00D72328" w:rsidRPr="00D72328">
        <w:t xml:space="preserve">. </w:t>
      </w:r>
      <w:r w:rsidRPr="00D72328">
        <w:t>Vento-</w:t>
      </w:r>
      <w:proofErr w:type="spellStart"/>
      <w:r w:rsidRPr="00D72328">
        <w:t>Tormo</w:t>
      </w:r>
      <w:proofErr w:type="spellEnd"/>
      <w:r w:rsidRPr="00D72328">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691AC1" w:rsidRPr="00691AC1">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More recently, the cell-</w:t>
      </w:r>
      <w:r w:rsidR="000F3CC9" w:rsidRPr="00471257">
        <w:t xml:space="preserve">cell interaction analysis </w:t>
      </w:r>
      <w:r w:rsidR="00E15E2E" w:rsidRPr="00471257">
        <w:t xml:space="preserve">has gone beyond identifying ligand-receptor pairs to produce </w:t>
      </w:r>
      <w:r w:rsidR="00E963B8" w:rsidRPr="00471257">
        <w:t xml:space="preserve">entire </w:t>
      </w:r>
      <w:r w:rsidR="00E15E2E" w:rsidRPr="00471257">
        <w:t>gene regulation networks</w:t>
      </w:r>
      <w:r w:rsidR="00555907" w:rsidRPr="00471257">
        <w:t xml:space="preserve"> that could model interaction relationships among subpopulations of cells</w:t>
      </w:r>
      <w:r w:rsidR="00E15E2E" w:rsidRPr="00471257">
        <w:t xml:space="preserve">. </w:t>
      </w:r>
      <w:r w:rsidR="00101674" w:rsidRPr="00471257">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691AC1" w:rsidRPr="00691AC1">
            <w:rPr>
              <w:color w:val="000000"/>
            </w:rPr>
            <w:t>[5]</w:t>
          </w:r>
        </w:sdtContent>
      </w:sdt>
      <w:r w:rsidR="00101674" w:rsidRPr="00471257">
        <w:t xml:space="preserve"> introduce </w:t>
      </w:r>
      <w:proofErr w:type="spellStart"/>
      <w:r w:rsidR="00101674" w:rsidRPr="00471257">
        <w:t>SoptSC</w:t>
      </w:r>
      <w:proofErr w:type="spellEnd"/>
      <w:r w:rsidR="00101674" w:rsidRPr="00471257">
        <w:t xml:space="preserve"> which</w:t>
      </w:r>
      <w:r w:rsidR="006E21DE">
        <w:t xml:space="preserve"> can predict</w:t>
      </w:r>
      <w:r w:rsidR="006E21DE" w:rsidRPr="00471257">
        <w:t xml:space="preserve"> cell-cell communication networks</w:t>
      </w:r>
      <w:r w:rsidR="00101674" w:rsidRPr="00471257">
        <w:t xml:space="preserve"> </w:t>
      </w:r>
      <w:r w:rsidR="006E21DE">
        <w:t>by constructing</w:t>
      </w:r>
      <w:r w:rsidR="00101674" w:rsidRPr="00471257">
        <w:t xml:space="preserve"> a structured cell-to-cell similarity matrix and. </w:t>
      </w:r>
      <w:proofErr w:type="spellStart"/>
      <w:r w:rsidR="00101674" w:rsidRPr="00471257">
        <w:t>Browaeys</w:t>
      </w:r>
      <w:proofErr w:type="spellEnd"/>
      <w:r w:rsidR="00101674" w:rsidRPr="00471257">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691AC1" w:rsidRPr="00691AC1">
            <w:rPr>
              <w:color w:val="000000"/>
            </w:rPr>
            <w:t>[6]</w:t>
          </w:r>
        </w:sdtContent>
      </w:sdt>
      <w:r w:rsidR="00101674" w:rsidRPr="00471257">
        <w:t xml:space="preserve"> report </w:t>
      </w:r>
      <w:proofErr w:type="spellStart"/>
      <w:r w:rsidR="00101674" w:rsidRPr="00471257">
        <w:t>NicheNet</w:t>
      </w:r>
      <w:proofErr w:type="spellEnd"/>
      <w:r w:rsidR="00101674" w:rsidRPr="00471257">
        <w:t xml:space="preserve"> which aims to identify not only ligand-receptor pairs of interacting cells but also the genes downstream of the</w:t>
      </w:r>
      <w:r w:rsidR="006E21DE">
        <w:t xml:space="preserve"> identified pairs.</w:t>
      </w:r>
      <w:r w:rsidR="00101674" w:rsidRPr="00471257">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691AC1" w:rsidRPr="00691AC1">
            <w:rPr>
              <w:color w:val="000000"/>
            </w:rPr>
            <w:t>[7]</w:t>
          </w:r>
        </w:sdtContent>
      </w:sdt>
      <w:r w:rsidR="00101674" w:rsidRPr="00471257">
        <w:t xml:space="preserve"> present that </w:t>
      </w:r>
      <w:proofErr w:type="spellStart"/>
      <w:r w:rsidR="00101674" w:rsidRPr="00471257">
        <w:t>CytoTalk</w:t>
      </w:r>
      <w:proofErr w:type="spellEnd"/>
      <w:r w:rsidR="00101674" w:rsidRPr="00471257">
        <w:t xml:space="preserve"> can de novo generate a signal transduction network between a pair of cell types, which is basically interconnect</w:t>
      </w:r>
      <w:r w:rsidR="006E21DE">
        <w:t>ing</w:t>
      </w:r>
      <w:r w:rsidR="00101674" w:rsidRPr="00471257">
        <w:t xml:space="preserve"> a pair of GRNs, each constructed for the cell types under consideration. </w:t>
      </w:r>
      <w:r w:rsidR="006E21DE">
        <w:t xml:space="preserve"> </w:t>
      </w:r>
    </w:p>
    <w:p w14:paraId="40A5D058" w14:textId="160E8582" w:rsidR="00101674" w:rsidRPr="007170CB" w:rsidRDefault="00101674" w:rsidP="00101674">
      <w:pPr>
        <w:pStyle w:val="AbsHead"/>
      </w:pPr>
      <w:r w:rsidRPr="00471257">
        <w:t>Among the</w:t>
      </w:r>
      <w:r w:rsidR="006E21DE">
        <w:t>se</w:t>
      </w:r>
      <w:r w:rsidRPr="00471257">
        <w:t xml:space="preserve"> more recent cell-cell communication network discovery methods based on single cell transcriptomics data, our system, namely, </w:t>
      </w:r>
      <w:proofErr w:type="spellStart"/>
      <w:r w:rsidRPr="00471257">
        <w:t>rCom</w:t>
      </w:r>
      <w:proofErr w:type="spellEnd"/>
      <w:r w:rsidRPr="00471257">
        <w:t xml:space="preserve">, is similar to </w:t>
      </w:r>
      <w:proofErr w:type="spellStart"/>
      <w:r w:rsidRPr="00471257">
        <w:t>NicheNet</w:t>
      </w:r>
      <w:proofErr w:type="spellEnd"/>
      <w:r w:rsidRPr="00471257">
        <w:t xml:space="preserve"> in the sense that both uses prior knowledge in identifying cell-cell communication network. One key difference</w:t>
      </w:r>
      <w:r w:rsidR="006E21DE">
        <w:t xml:space="preserve"> between the two systems</w:t>
      </w:r>
      <w:r w:rsidRPr="00471257">
        <w:t xml:space="preserve"> is in the way we use</w:t>
      </w:r>
      <w:r w:rsidR="006E21DE">
        <w:t xml:space="preserve"> the prior knowledge</w:t>
      </w:r>
      <w:r w:rsidRPr="00471257">
        <w:t xml:space="preserve"> curated </w:t>
      </w:r>
      <w:r w:rsidR="00957171">
        <w:t xml:space="preserve">into signaling/molecular </w:t>
      </w:r>
      <w:r w:rsidRPr="00471257">
        <w:t xml:space="preserve">pathways </w:t>
      </w:r>
      <w:r w:rsidR="00957171">
        <w:t>for</w:t>
      </w:r>
      <w:r w:rsidRPr="00471257">
        <w:t xml:space="preserve"> the analysis. In </w:t>
      </w:r>
      <w:proofErr w:type="spellStart"/>
      <w:r w:rsidRPr="00471257">
        <w:t>rCom</w:t>
      </w:r>
      <w:proofErr w:type="spellEnd"/>
      <w:r w:rsidRPr="00471257">
        <w:t xml:space="preserve">, </w:t>
      </w:r>
      <w:r w:rsidR="00957171" w:rsidRPr="00E91CE6">
        <w:rPr>
          <w:rFonts w:ascii="Cambria Math" w:hAnsi="Cambria Math"/>
          <w:lang w:eastAsia="ja-JP"/>
        </w:rPr>
        <w:t xml:space="preserve">inferring cell-cell interactions </w:t>
      </w:r>
      <w:r w:rsidR="00957171">
        <w:rPr>
          <w:rFonts w:ascii="Cambria Math" w:hAnsi="Cambria Math"/>
          <w:lang w:eastAsia="ja-JP"/>
        </w:rPr>
        <w:t xml:space="preserve">is decomposed into three parts, analysis of the </w:t>
      </w:r>
      <w:r w:rsidR="00957171" w:rsidRPr="00E91CE6">
        <w:rPr>
          <w:rFonts w:ascii="Cambria Math" w:hAnsi="Cambria Math"/>
          <w:lang w:eastAsia="ja-JP"/>
        </w:rPr>
        <w:t>upstream of the ligand</w:t>
      </w:r>
      <w:r w:rsidR="00957171">
        <w:rPr>
          <w:rFonts w:ascii="Cambria Math" w:hAnsi="Cambria Math"/>
          <w:lang w:eastAsia="ja-JP"/>
        </w:rPr>
        <w:t>,</w:t>
      </w:r>
      <w:r w:rsidR="00957171" w:rsidRPr="00E91CE6">
        <w:rPr>
          <w:rFonts w:ascii="Cambria Math" w:hAnsi="Cambria Math"/>
          <w:lang w:eastAsia="ja-JP"/>
        </w:rPr>
        <w:t xml:space="preserve"> </w:t>
      </w:r>
      <w:r w:rsidR="00957171">
        <w:rPr>
          <w:rFonts w:ascii="Cambria Math" w:hAnsi="Cambria Math"/>
          <w:lang w:eastAsia="ja-JP"/>
        </w:rPr>
        <w:t xml:space="preserve">analysis of the </w:t>
      </w:r>
      <w:r w:rsidR="00957171" w:rsidRPr="00E91CE6">
        <w:rPr>
          <w:rFonts w:ascii="Cambria Math" w:hAnsi="Cambria Math"/>
          <w:lang w:eastAsia="ja-JP"/>
        </w:rPr>
        <w:t>downstream of receptors</w:t>
      </w:r>
      <w:r w:rsidR="00B009A8">
        <w:rPr>
          <w:rFonts w:ascii="Cambria Math" w:hAnsi="Cambria Math"/>
          <w:lang w:eastAsia="ja-JP"/>
        </w:rPr>
        <w:t xml:space="preserve">, and analysis of the most plausible ligand-receptor pairing. Our approach assumes subtyping cells are performed a priori and the labels for each cell subtype are known. Thanks to this refinement, </w:t>
      </w:r>
      <w:proofErr w:type="spellStart"/>
      <w:r w:rsidR="00B009A8">
        <w:rPr>
          <w:rFonts w:ascii="Cambria Math" w:hAnsi="Cambria Math"/>
          <w:lang w:eastAsia="ja-JP"/>
        </w:rPr>
        <w:t>rCom</w:t>
      </w:r>
      <w:proofErr w:type="spellEnd"/>
      <w:r w:rsidR="00B009A8">
        <w:rPr>
          <w:rFonts w:ascii="Cambria Math" w:hAnsi="Cambria Math"/>
          <w:lang w:eastAsia="ja-JP"/>
        </w:rPr>
        <w:t xml:space="preserve"> </w:t>
      </w:r>
      <w:r w:rsidR="007170CB">
        <w:rPr>
          <w:rFonts w:ascii="Cambria Math" w:hAnsi="Cambria Math"/>
          <w:lang w:eastAsia="ja-JP"/>
        </w:rPr>
        <w:t xml:space="preserve">takes advantage of estimating if a certain route (branch) of a curated pathway is activated/ inhibited which in turn provides clues for picking which ligand-receptor pairs are more likely utilized in the regulatory </w:t>
      </w:r>
      <w:r w:rsidR="007170CB">
        <w:rPr>
          <w:rFonts w:ascii="Cambria Math" w:hAnsi="Cambria Math"/>
          <w:lang w:eastAsia="ja-JP"/>
        </w:rPr>
        <w:lastRenderedPageBreak/>
        <w:t xml:space="preserve">system.  </w:t>
      </w:r>
      <w:r w:rsidR="007170CB" w:rsidRPr="007170CB">
        <w:t>In</w:t>
      </w:r>
      <w:r w:rsidR="007170CB">
        <w:t xml:space="preserve"> contrast,</w:t>
      </w:r>
      <w:r w:rsidR="007170CB" w:rsidRPr="007170CB">
        <w:t xml:space="preserve"> </w:t>
      </w:r>
      <w:proofErr w:type="spellStart"/>
      <w:r w:rsidRPr="007170CB">
        <w:t>NicheNet</w:t>
      </w:r>
      <w:proofErr w:type="spellEnd"/>
      <w:r w:rsidRPr="007170CB">
        <w:t xml:space="preserve"> </w:t>
      </w:r>
      <w:r w:rsidR="007D7623">
        <w:t xml:space="preserve">does not use gene regulation notions such as activation/inhibition in pathway scoring and simply uses </w:t>
      </w:r>
      <w:r w:rsidR="00EF3281" w:rsidRPr="007170CB">
        <w:rPr>
          <w:noProof/>
        </w:rPr>
        <mc:AlternateContent>
          <mc:Choice Requires="wps">
            <w:drawing>
              <wp:anchor distT="45720" distB="45720" distL="114300" distR="114300" simplePos="0" relativeHeight="251612160" behindDoc="0" locked="0" layoutInCell="1" allowOverlap="1" wp14:anchorId="1F09DBED" wp14:editId="1C199F9B">
                <wp:simplePos x="0" y="0"/>
                <wp:positionH relativeFrom="margin">
                  <wp:posOffset>47625</wp:posOffset>
                </wp:positionH>
                <wp:positionV relativeFrom="paragraph">
                  <wp:posOffset>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2.3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Pr="007170CB">
        <w:t xml:space="preserve">aggregation of pathways sources </w:t>
      </w:r>
      <w:r w:rsidR="007D7623">
        <w:t xml:space="preserve">based on gene expression values. </w:t>
      </w:r>
    </w:p>
    <w:p w14:paraId="2F0C7599" w14:textId="4BA891A5" w:rsidR="000838DE" w:rsidRDefault="009479B0" w:rsidP="00101674">
      <w:pPr>
        <w:pStyle w:val="AbsHead"/>
      </w:pPr>
      <w:r>
        <w:t xml:space="preserve">Creating </w:t>
      </w:r>
      <w:proofErr w:type="spellStart"/>
      <w:r w:rsidR="007D7623">
        <w:t>rCom</w:t>
      </w:r>
      <w:proofErr w:type="spellEnd"/>
      <w:r w:rsidR="007D7623">
        <w:t xml:space="preserve"> is based on our earlier works</w:t>
      </w:r>
      <w:r>
        <w:t xml:space="preserve"> in which </w:t>
      </w:r>
      <w:r w:rsidR="00101674" w:rsidRPr="007170CB">
        <w:t xml:space="preserve">pathway </w:t>
      </w:r>
      <w:r w:rsidR="00101674" w:rsidRPr="00471257">
        <w:t xml:space="preserve">analysis </w:t>
      </w:r>
      <w:r>
        <w:t xml:space="preserve">uses </w:t>
      </w:r>
      <w:r w:rsidR="00101674" w:rsidRPr="00471257">
        <w:t>routes of pathways</w:t>
      </w:r>
      <w:r>
        <w:t>,</w:t>
      </w:r>
      <w:r w:rsidR="00101674" w:rsidRPr="00471257">
        <w:t xml:space="preserve"> i.e., branches of curated pathways</w:t>
      </w:r>
      <w:r>
        <w:t xml:space="preserve"> (</w:t>
      </w:r>
      <w:r w:rsidR="00101674" w:rsidRPr="00471257">
        <w:t>e.g., KEGG) as the unit for the analysis as opposed to the entire assembled genes of a pathway</w:t>
      </w:r>
      <w:r>
        <w:t>. This idea is based on the observation that the relationships between signaling/molecular pathways and biological processes are N:M</w:t>
      </w:r>
      <w:r w:rsidR="006F5943">
        <w:t xml:space="preserve">, and thus the granularity of pathway analysis should be “routes”, i.e., which particular branch of pathway could be responsible for exerting the biological process under question. </w:t>
      </w:r>
      <w:r w:rsidR="00101674" w:rsidRPr="00471257">
        <w:t xml:space="preserve">Our </w:t>
      </w:r>
      <w:r w:rsidR="006F5943">
        <w:t xml:space="preserve">previous route-based pathway analysis </w:t>
      </w:r>
      <w:r w:rsidR="00101674" w:rsidRPr="00471257">
        <w:t xml:space="preserve">works include </w:t>
      </w:r>
      <w:proofErr w:type="spellStart"/>
      <w:r w:rsidR="00101674" w:rsidRPr="00471257">
        <w:t>BioTarget</w:t>
      </w:r>
      <w:proofErr w:type="spellEnd"/>
      <w:r w:rsidR="00101674" w:rsidRPr="00471257">
        <w:t xml:space="preserve"> which uses the route-based pathway method to extend existing Th1</w:t>
      </w:r>
      <w:r w:rsidR="006F5943">
        <w:t>/Th2 pathways</w:t>
      </w:r>
      <w:r w:rsidR="0022284A">
        <w:t xml:space="preserve"> using </w:t>
      </w:r>
      <w:r w:rsidR="00101674" w:rsidRPr="00471257">
        <w:t>TCGA data sets</w:t>
      </w:r>
      <w:r w:rsidR="0022284A">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Content>
          <w:r w:rsidR="00691AC1" w:rsidRPr="00691AC1">
            <w:rPr>
              <w:color w:val="000000"/>
            </w:rPr>
            <w:t>[8]</w:t>
          </w:r>
        </w:sdtContent>
      </w:sdt>
      <w:r w:rsidR="0022284A">
        <w:t xml:space="preserve"> and </w:t>
      </w:r>
      <w:proofErr w:type="spellStart"/>
      <w:r w:rsidR="0022284A">
        <w:t>rPAC</w:t>
      </w:r>
      <w:proofErr w:type="spellEnd"/>
      <w:r w:rsidR="0058028B">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Content>
          <w:r w:rsidR="00691AC1" w:rsidRPr="00691AC1">
            <w:rPr>
              <w:color w:val="000000"/>
            </w:rPr>
            <w:t>[9]</w:t>
          </w:r>
        </w:sdtContent>
      </w:sdt>
      <w:r w:rsidR="0022284A">
        <w:t xml:space="preserve"> which</w:t>
      </w:r>
      <w:r w:rsidR="0022284A" w:rsidRPr="0022284A">
        <w:t xml:space="preserve"> </w:t>
      </w:r>
      <w:r w:rsidR="00AF3ADB">
        <w:t>use</w:t>
      </w:r>
      <w:r w:rsidR="0022284A">
        <w:t xml:space="preserve"> a transcription factor (TF) centric analysis to identify</w:t>
      </w:r>
      <w:r w:rsidR="0022284A" w:rsidRPr="0022284A">
        <w:t xml:space="preserve"> </w:t>
      </w:r>
      <w:r w:rsidR="00AF3ADB">
        <w:t>more refined</w:t>
      </w:r>
      <w:r w:rsidR="0022284A" w:rsidRPr="0022284A">
        <w:t xml:space="preserve"> cancer</w:t>
      </w:r>
      <w:r w:rsidR="00AF3ADB">
        <w:t xml:space="preserve"> sub</w:t>
      </w:r>
      <w:r w:rsidR="0022284A" w:rsidRPr="0022284A">
        <w:t>type signatures</w:t>
      </w:r>
      <w:r w:rsidR="00AF3ADB">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691AC1" w:rsidRPr="00691AC1">
            <w:rPr>
              <w:color w:val="000000"/>
            </w:rPr>
            <w:t>[9]</w:t>
          </w:r>
        </w:sdtContent>
      </w:sdt>
      <w:r w:rsidR="00101674" w:rsidRPr="00471257">
        <w:t xml:space="preserve">. </w:t>
      </w:r>
      <w:r w:rsidR="008B1AD4">
        <w:t xml:space="preserve">Development of </w:t>
      </w:r>
      <w:proofErr w:type="spellStart"/>
      <w:r w:rsidR="008B1AD4">
        <w:t>rCom</w:t>
      </w:r>
      <w:proofErr w:type="spellEnd"/>
      <w:r w:rsidR="008B1AD4">
        <w:t xml:space="preserve"> was motivated to use this</w:t>
      </w:r>
      <w:r w:rsidR="00101674" w:rsidRPr="00471257">
        <w:t xml:space="preserve"> route-based pathway analysis to </w:t>
      </w:r>
      <w:r w:rsidR="008B1AD4">
        <w:t>estimate</w:t>
      </w:r>
      <w:r w:rsidR="00101674" w:rsidRPr="00471257">
        <w:t xml:space="preserve"> how two cells </w:t>
      </w:r>
      <w:r w:rsidR="008B1AD4">
        <w:t xml:space="preserve">may </w:t>
      </w:r>
      <w:r w:rsidR="00101674" w:rsidRPr="00471257">
        <w:t>interact with each other through ligand-receptor</w:t>
      </w:r>
      <w:r w:rsidR="008B1AD4">
        <w:t xml:space="preserve"> pairing.</w:t>
      </w:r>
      <w:r w:rsidR="00101674" w:rsidRPr="00471257">
        <w:t xml:space="preserve"> </w:t>
      </w:r>
    </w:p>
    <w:p w14:paraId="17A8E365" w14:textId="66293315" w:rsidR="00480197" w:rsidRPr="00884B1B" w:rsidRDefault="005121DC" w:rsidP="00085324">
      <w:pPr>
        <w:pStyle w:val="AbsHead"/>
      </w:pPr>
      <w:r>
        <w:t>The rest of the paper is organized in the following way. In Section 2,</w:t>
      </w:r>
      <w:r w:rsidR="00830793">
        <w:t xml:space="preserve"> we present</w:t>
      </w:r>
      <w:r>
        <w:t xml:space="preserve"> </w:t>
      </w:r>
      <w:r w:rsidR="008B1AD4">
        <w:t xml:space="preserve">the overview framework of </w:t>
      </w:r>
      <w:proofErr w:type="spellStart"/>
      <w:r w:rsidR="008B1AD4">
        <w:t>rCom</w:t>
      </w:r>
      <w:proofErr w:type="spellEnd"/>
      <w:r w:rsidR="008B1AD4">
        <w:t xml:space="preserve"> and </w:t>
      </w:r>
      <w:r w:rsidR="00230FD1">
        <w:t>key</w:t>
      </w:r>
      <w:r w:rsidR="008B1AD4">
        <w:t xml:space="preserve"> technical details</w:t>
      </w:r>
      <w:r w:rsidR="00230FD1">
        <w:t xml:space="preserve"> of the system. </w:t>
      </w:r>
      <w:r>
        <w:t xml:space="preserve">In Section 3 </w:t>
      </w:r>
      <w:r w:rsidR="008B1AD4">
        <w:t xml:space="preserve">we summarize the results of </w:t>
      </w:r>
      <w:r w:rsidR="00830793">
        <w:t xml:space="preserve">applying </w:t>
      </w:r>
      <w:proofErr w:type="spellStart"/>
      <w:r w:rsidR="00830793">
        <w:t>rCom</w:t>
      </w:r>
      <w:proofErr w:type="spellEnd"/>
      <w:r w:rsidR="00830793">
        <w:t xml:space="preserve"> to two different single cell transcriptomics data sets produced by the bone biology field. Section 4 is Discussion and Conclusion. </w:t>
      </w:r>
    </w:p>
    <w:p w14:paraId="45284899" w14:textId="1E73402E" w:rsidR="00480197" w:rsidRDefault="00480197" w:rsidP="00480538">
      <w:pPr>
        <w:pStyle w:val="Head1"/>
        <w:spacing w:before="240"/>
        <w:ind w:left="274" w:hanging="274"/>
      </w:pPr>
      <w:r>
        <w:rPr>
          <w:rStyle w:val="Label"/>
          <w14:ligatures w14:val="standard"/>
        </w:rPr>
        <w:t>2</w:t>
      </w:r>
      <w:r w:rsidRPr="00586A35">
        <w:t> </w:t>
      </w:r>
      <w:r>
        <w:t>System and Methods</w:t>
      </w:r>
    </w:p>
    <w:p w14:paraId="3575E42F" w14:textId="06DA04E0" w:rsidR="00480197" w:rsidRDefault="00480197" w:rsidP="00085324">
      <w:pPr>
        <w:pStyle w:val="AbsHead"/>
      </w:pPr>
      <w:r w:rsidRPr="00884B1B">
        <w:t>The over</w:t>
      </w:r>
      <w:r w:rsidR="005121DC">
        <w:t>view</w:t>
      </w:r>
      <w:r w:rsidRPr="00884B1B">
        <w:t xml:space="preserve"> of the </w:t>
      </w:r>
      <w:proofErr w:type="spellStart"/>
      <w:r w:rsidRPr="00884B1B">
        <w:t>rCom</w:t>
      </w:r>
      <w:proofErr w:type="spellEnd"/>
      <w:r w:rsidRPr="00884B1B">
        <w:t xml:space="preserve"> framework is </w:t>
      </w:r>
      <w:r w:rsidR="005121DC">
        <w:t>given</w:t>
      </w:r>
      <w:r w:rsidRPr="00884B1B">
        <w:t xml:space="preserve"> in Fig. 1. </w:t>
      </w:r>
      <w:r w:rsidR="005121DC">
        <w:t>Fig 1a shows that t</w:t>
      </w:r>
      <w:r w:rsidRPr="00884B1B">
        <w:t>hree different</w:t>
      </w:r>
      <w:r w:rsidR="004B3C7A">
        <w:t xml:space="preserve"> </w:t>
      </w:r>
      <w:r w:rsidR="005121DC">
        <w:t>types</w:t>
      </w:r>
      <w:r w:rsidRPr="00884B1B">
        <w:t xml:space="preserve"> databases</w:t>
      </w:r>
      <w:r w:rsidR="00C9376C">
        <w:t xml:space="preserve">, </w:t>
      </w:r>
      <w:r w:rsidRPr="00884B1B">
        <w:t>TF-target database, ligand-receptor pairs database and</w:t>
      </w:r>
      <w:r w:rsidR="00C9376C">
        <w:t xml:space="preserve"> </w:t>
      </w:r>
      <w:r w:rsidRPr="00884B1B">
        <w:t>gene signaling regulated route databases</w:t>
      </w:r>
      <w:r w:rsidR="00987402">
        <w:t>,</w:t>
      </w:r>
      <w:r w:rsidRPr="00884B1B">
        <w:t xml:space="preserve"> are </w:t>
      </w:r>
      <w:r w:rsidR="00C9376C">
        <w:t>examined</w:t>
      </w:r>
      <w:r w:rsidRPr="00884B1B">
        <w:t xml:space="preserve"> </w:t>
      </w:r>
      <w:r w:rsidR="00E13049">
        <w:t xml:space="preserve">as </w:t>
      </w:r>
      <w:r w:rsidR="00E13049" w:rsidRPr="00E13049">
        <w:t xml:space="preserve">prior knowledge in </w:t>
      </w:r>
      <w:r w:rsidRPr="00E13049">
        <w:t>build</w:t>
      </w:r>
      <w:r w:rsidR="00E13049" w:rsidRPr="00E13049">
        <w:t>ing ligand-receptor (denoted as</w:t>
      </w:r>
      <w:r w:rsidRPr="00E13049">
        <w:t xml:space="preserve"> </w:t>
      </w:r>
      <w:r w:rsidR="00C9376C" w:rsidRPr="00E13049">
        <w:t>L-R</w:t>
      </w:r>
      <w:r w:rsidR="00E13049" w:rsidRPr="00E13049">
        <w:t xml:space="preserve"> from here on)</w:t>
      </w:r>
      <w:r w:rsidR="00C9376C" w:rsidRPr="00E13049">
        <w:t xml:space="preserve"> </w:t>
      </w:r>
      <w:r w:rsidRPr="00E13049">
        <w:t>communication</w:t>
      </w:r>
      <w:r w:rsidR="00C9376C" w:rsidRPr="00E13049">
        <w:t xml:space="preserve"> </w:t>
      </w:r>
      <w:r w:rsidRPr="00E13049">
        <w:t>routes. The</w:t>
      </w:r>
      <w:r w:rsidR="00E13049" w:rsidRPr="00E13049">
        <w:t>se</w:t>
      </w:r>
      <w:r w:rsidRPr="00E13049">
        <w:t xml:space="preserve"> source databases are downloaded in text or KGML format</w:t>
      </w:r>
      <w:r w:rsidR="00C9376C" w:rsidRPr="00E13049">
        <w:t xml:space="preserve"> and parsed to build a network graph</w:t>
      </w:r>
      <w:r w:rsidR="00E13049">
        <w:t xml:space="preserve"> where</w:t>
      </w:r>
      <w:r w:rsidR="00C9376C" w:rsidRPr="00E13049">
        <w:t xml:space="preserve"> </w:t>
      </w:r>
      <w:r w:rsidRPr="00E13049">
        <w:t>ligands, receptor</w:t>
      </w:r>
      <w:r w:rsidR="00E13049">
        <w:t>s</w:t>
      </w:r>
      <w:r w:rsidRPr="00E13049">
        <w:t>, gene</w:t>
      </w:r>
      <w:r w:rsidR="00E13049">
        <w:t>s</w:t>
      </w:r>
      <w:r w:rsidR="004036E4" w:rsidRPr="00E13049">
        <w:t>,</w:t>
      </w:r>
      <w:r w:rsidRPr="00E13049">
        <w:t xml:space="preserve"> and TF</w:t>
      </w:r>
      <w:r w:rsidR="00E13049">
        <w:t>s</w:t>
      </w:r>
      <w:r w:rsidR="00C9376C" w:rsidRPr="00E13049">
        <w:t xml:space="preserve"> become</w:t>
      </w:r>
      <w:r w:rsidRPr="00E13049">
        <w:t xml:space="preserve"> </w:t>
      </w:r>
      <w:r w:rsidR="00C9376C" w:rsidRPr="00E13049">
        <w:t xml:space="preserve">nodes </w:t>
      </w:r>
      <w:r w:rsidRPr="00E13049">
        <w:t xml:space="preserve">and </w:t>
      </w:r>
      <w:r w:rsidR="00E13049">
        <w:t>their</w:t>
      </w:r>
      <w:r w:rsidRPr="00E13049">
        <w:t xml:space="preserve"> regulated relationship</w:t>
      </w:r>
      <w:r w:rsidR="00C9376C" w:rsidRPr="00E13049">
        <w:t>s are formed into edges interconnecting nodes</w:t>
      </w:r>
      <w:r w:rsidR="007A5622" w:rsidRPr="00E13049">
        <w:t xml:space="preserve">. </w:t>
      </w:r>
      <w:r w:rsidRPr="00E13049">
        <w:t xml:space="preserve">In </w:t>
      </w:r>
      <w:proofErr w:type="spellStart"/>
      <w:r w:rsidR="00E13049">
        <w:t>rCom’s</w:t>
      </w:r>
      <w:proofErr w:type="spellEnd"/>
      <w:r w:rsidRPr="00E13049">
        <w:t xml:space="preserve"> graph structure, </w:t>
      </w:r>
      <w:r w:rsidR="00EA7F67">
        <w:t>edges</w:t>
      </w:r>
      <w:r w:rsidRPr="00E13049">
        <w:t xml:space="preserve"> are directional encod</w:t>
      </w:r>
      <w:r w:rsidR="00EA7F67">
        <w:t>ing</w:t>
      </w:r>
      <w:r w:rsidRPr="00E13049">
        <w:t xml:space="preserve"> either activation or inhibition</w:t>
      </w:r>
      <w:r w:rsidR="00EA7F67">
        <w:t xml:space="preserve"> relationships</w:t>
      </w:r>
      <w:r w:rsidRPr="00E13049">
        <w:t xml:space="preserve"> (Fig.1a, 1c).</w:t>
      </w:r>
    </w:p>
    <w:p w14:paraId="2DD316BC" w14:textId="2A9E8E56" w:rsidR="00230FD1" w:rsidRPr="00884B1B" w:rsidRDefault="00230FD1" w:rsidP="00230FD1">
      <w:pPr>
        <w:pStyle w:val="AbsHead"/>
      </w:pPr>
      <w:r>
        <w:t xml:space="preserve">Fig </w:t>
      </w:r>
      <w:r w:rsidRPr="00884B1B">
        <w:t>1b</w:t>
      </w:r>
      <w:r>
        <w:t xml:space="preserve"> shows the use </w:t>
      </w:r>
      <w:r w:rsidR="00A82908">
        <w:t>of three</w:t>
      </w:r>
      <w:r>
        <w:t xml:space="preserve"> types of input data, single cell gene expression </w:t>
      </w:r>
      <w:r w:rsidRPr="00435D8F">
        <w:t xml:space="preserve">matrix </w:t>
      </w:r>
      <w:r>
        <w:t xml:space="preserve">which is obtained </w:t>
      </w:r>
      <w:r w:rsidRPr="00435D8F">
        <w:t>through quality control, normalization, scal</w:t>
      </w:r>
      <w:r>
        <w:t>ing</w:t>
      </w:r>
      <w:r w:rsidRPr="00435D8F">
        <w:t xml:space="preserve"> and log transform using </w:t>
      </w:r>
      <w:r>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691AC1" w:rsidRPr="00691AC1">
            <w:rPr>
              <w:color w:val="000000"/>
            </w:rPr>
            <w:t>[10]</w:t>
          </w:r>
        </w:sdtContent>
      </w:sdt>
      <w:r w:rsidRPr="00884B1B">
        <w:t xml:space="preserve">. In the matrix, columns indicate cells and rows indicate genes. After log transformed, </w:t>
      </w:r>
      <w:proofErr w:type="spellStart"/>
      <w:r w:rsidRPr="00884B1B">
        <w:t>rCom</w:t>
      </w:r>
      <w:proofErr w:type="spellEnd"/>
      <w:r w:rsidRPr="00884B1B">
        <w:t xml:space="preserve"> treated gene with negative value as inhibited genes and gene with positive value as activated genes. </w:t>
      </w:r>
    </w:p>
    <w:p w14:paraId="3F3706A4" w14:textId="77777777" w:rsidR="00230FD1" w:rsidRDefault="00230FD1" w:rsidP="00230FD1">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Cell-Cell communication routes</w:t>
      </w:r>
    </w:p>
    <w:p w14:paraId="3D068E15" w14:textId="65CC72D8" w:rsidR="00230FD1" w:rsidRPr="00884B1B" w:rsidRDefault="00230FD1" w:rsidP="00230FD1">
      <w:pPr>
        <w:pStyle w:val="AbsHead"/>
      </w:pPr>
      <w:r>
        <w:t>Fig</w:t>
      </w:r>
      <w:r w:rsidRPr="00884B1B">
        <w:t xml:space="preserve"> </w:t>
      </w:r>
      <w:r>
        <w:t>2 provides the detailed view of the conceptually depicted cell-cell communication given in Fig 1d. This model labels two interacting cells as</w:t>
      </w:r>
      <w:r w:rsidRPr="00884B1B">
        <w:t xml:space="preserve"> </w:t>
      </w:r>
      <w:r>
        <w:t>“Secretor” denoting the cell secreting a ligand and “Receiver” denoting the cell in which the ligand binds to its cognate receptor. This binding is represented as the green dashed line in Fig 2. We call the two cells as an L-R pair.  W</w:t>
      </w:r>
      <w:r w:rsidRPr="00884B1B">
        <w:t xml:space="preserve">e show how we generate communication routes from four different biological knowledge databases including: </w:t>
      </w:r>
      <w:r w:rsidRPr="009C68FE">
        <w:rPr>
          <w:highlight w:val="yellow"/>
        </w:rPr>
        <w:t xml:space="preserve">Chip-seq </w:t>
      </w:r>
      <w:sdt>
        <w:sdtPr>
          <w:rPr>
            <w:color w:val="000000"/>
            <w:highlight w:val="yellow"/>
          </w:rPr>
          <w:tag w:val="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B0F5CE0D875A4358A76C775FE1CF9A21"/>
          </w:placeholder>
        </w:sdtPr>
        <w:sdtEndPr/>
        <w:sdtContent>
          <w:r w:rsidR="00691AC1" w:rsidRPr="00691AC1">
            <w:rPr>
              <w:color w:val="000000"/>
              <w:highlight w:val="yellow"/>
            </w:rPr>
            <w:t>[11]</w:t>
          </w:r>
        </w:sdtContent>
      </w:sdt>
      <w:r w:rsidRPr="009C68FE">
        <w:rPr>
          <w:highlight w:val="yellow"/>
        </w:rPr>
        <w:t xml:space="preserve">, </w:t>
      </w:r>
      <w:proofErr w:type="spellStart"/>
      <w:proofErr w:type="gramStart"/>
      <w:r w:rsidRPr="009C68FE">
        <w:rPr>
          <w:highlight w:val="yellow"/>
        </w:rPr>
        <w:t>CellChat</w:t>
      </w:r>
      <w:proofErr w:type="spellEnd"/>
      <w:r w:rsidRPr="009C68FE">
        <w:rPr>
          <w:highlight w:val="yellow"/>
        </w:rPr>
        <w:t xml:space="preserve"> ,</w:t>
      </w:r>
      <w:proofErr w:type="gramEnd"/>
      <w:r w:rsidRPr="009C68FE">
        <w:rPr>
          <w:highlight w:val="yellow"/>
        </w:rPr>
        <w:t xml:space="preserve"> </w:t>
      </w:r>
      <w:proofErr w:type="spellStart"/>
      <w:r w:rsidRPr="009C68FE">
        <w:rPr>
          <w:highlight w:val="yellow"/>
        </w:rPr>
        <w:t>CellTalkDB</w:t>
      </w:r>
      <w:proofErr w:type="spellEnd"/>
      <w:r w:rsidRPr="009C68FE">
        <w:rPr>
          <w:highlight w:val="yellow"/>
        </w:rPr>
        <w:t xml:space="preserve"> and </w:t>
      </w:r>
      <w:proofErr w:type="spellStart"/>
      <w:r w:rsidRPr="009C68FE">
        <w:rPr>
          <w:highlight w:val="yellow"/>
        </w:rPr>
        <w:t>rPAC</w:t>
      </w:r>
      <w:proofErr w:type="spellEnd"/>
      <w:r w:rsidRPr="009C68FE">
        <w:rPr>
          <w:highlight w:val="yellow"/>
        </w:rPr>
        <w:t>.</w:t>
      </w:r>
      <w:r w:rsidRPr="00884B1B">
        <w:t xml:space="preserve">  Unlike other methods that only consider </w:t>
      </w:r>
    </w:p>
    <w:p w14:paraId="74F9CA4E" w14:textId="77777777" w:rsidR="00230FD1" w:rsidRDefault="00230FD1" w:rsidP="00085324">
      <w:pPr>
        <w:pStyle w:val="AbsHead"/>
      </w:pPr>
    </w:p>
    <w:p w14:paraId="06BFA74F" w14:textId="1B4C2F2D" w:rsidR="00480197" w:rsidRPr="00884B1B" w:rsidRDefault="00EF3281" w:rsidP="00085324">
      <w:pPr>
        <w:pStyle w:val="AbsHead"/>
      </w:pPr>
      <w:r w:rsidRPr="00D81AC0">
        <w:rPr>
          <w:noProof/>
        </w:rPr>
        <mc:AlternateContent>
          <mc:Choice Requires="wps">
            <w:drawing>
              <wp:anchor distT="45720" distB="45720" distL="114300" distR="114300" simplePos="0" relativeHeight="251615232" behindDoc="0" locked="0" layoutInCell="1" allowOverlap="1" wp14:anchorId="42AE3FFB" wp14:editId="2DA595BF">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p>
    <w:p w14:paraId="15BF7E39" w14:textId="77777777" w:rsidR="00230FD1" w:rsidRDefault="00230FD1" w:rsidP="00085324">
      <w:pPr>
        <w:pStyle w:val="AbsHead"/>
      </w:pPr>
      <w:r w:rsidRPr="00884B1B">
        <w:t xml:space="preserve">ligand-receptor, the </w:t>
      </w:r>
      <w:proofErr w:type="spellStart"/>
      <w:r w:rsidRPr="00884B1B">
        <w:t>rCom</w:t>
      </w:r>
      <w:proofErr w:type="spellEnd"/>
      <w:r w:rsidRPr="00884B1B">
        <w:t xml:space="preserve"> infer cell communication based on the communication routes that are extended from L-R pairs.</w:t>
      </w:r>
    </w:p>
    <w:p w14:paraId="4CE701B4" w14:textId="0DF5475D" w:rsidR="001634A0" w:rsidRPr="00884B1B" w:rsidRDefault="009C68FE" w:rsidP="00085324">
      <w:pPr>
        <w:pStyle w:val="AbsHead"/>
      </w:pPr>
      <w:r>
        <w:t>Each L-R</w:t>
      </w:r>
      <w:r w:rsidR="00480197" w:rsidRPr="00884B1B">
        <w:t xml:space="preserve"> pair has two routes: (</w:t>
      </w:r>
      <w:proofErr w:type="spellStart"/>
      <w:r w:rsidR="00480197" w:rsidRPr="00884B1B">
        <w:t>i</w:t>
      </w:r>
      <w:proofErr w:type="spellEnd"/>
      <w:r w:rsidR="00480197" w:rsidRPr="00884B1B">
        <w:t xml:space="preserve">) </w:t>
      </w:r>
      <w:r>
        <w:t>upstream</w:t>
      </w:r>
      <w:r w:rsidR="00480197" w:rsidRPr="00884B1B">
        <w:t xml:space="preserve"> ligand route (</w:t>
      </w:r>
      <w:r>
        <w:t>U</w:t>
      </w:r>
      <w:r w:rsidR="00480197" w:rsidRPr="00884B1B">
        <w:t xml:space="preserve">LR) and (ii) </w:t>
      </w:r>
      <w:r>
        <w:t>downstream</w:t>
      </w:r>
      <w:r w:rsidR="00480197" w:rsidRPr="00884B1B">
        <w:t xml:space="preserve"> receptor route (</w:t>
      </w:r>
      <w:r>
        <w:t>D</w:t>
      </w:r>
      <w:r w:rsidR="00480197" w:rsidRPr="00884B1B">
        <w:t xml:space="preserve">RR).  </w:t>
      </w:r>
      <w:r>
        <w:t>Upstream</w:t>
      </w:r>
      <w:r w:rsidR="00480197" w:rsidRPr="00884B1B">
        <w:t xml:space="preserve"> ligand route captures the signals which are cell-secreted ligands produced when the transcription factor (TF) binds to the target genes</w:t>
      </w:r>
      <w:r>
        <w:t xml:space="preserve"> and for this reason the</w:t>
      </w:r>
      <w:r w:rsidR="00480197" w:rsidRPr="00884B1B">
        <w:t xml:space="preserve"> cell that secrets ligands </w:t>
      </w:r>
      <w:r w:rsidR="00FB3CCC">
        <w:t>is label a S</w:t>
      </w:r>
      <w:r w:rsidR="00480197" w:rsidRPr="00884B1B">
        <w:t xml:space="preserve">ecretor. </w:t>
      </w:r>
      <w:r w:rsidR="00FB3CCC">
        <w:t>U</w:t>
      </w:r>
      <w:r w:rsidR="00480197" w:rsidRPr="00884B1B">
        <w:t>LR usually starts from TF and follow the path to the ligands. Two biological knowledge database</w:t>
      </w:r>
      <w:r w:rsidR="009B7194">
        <w:t>s</w:t>
      </w:r>
      <w:r w:rsidR="00480197" w:rsidRPr="00884B1B">
        <w:t xml:space="preserve"> are used to generate </w:t>
      </w:r>
      <w:r w:rsidR="00FB3CCC">
        <w:t>ULR</w:t>
      </w:r>
      <w:r w:rsidR="00480197" w:rsidRPr="00884B1B">
        <w:t xml:space="preserve">, </w:t>
      </w:r>
      <w:proofErr w:type="spellStart"/>
      <w:r w:rsidR="00480197" w:rsidRPr="00884B1B">
        <w:t>rPAC</w:t>
      </w:r>
      <w:proofErr w:type="spellEnd"/>
      <w:r w:rsidR="00480197" w:rsidRPr="00884B1B">
        <w:t xml:space="preserve"> routes and </w:t>
      </w:r>
      <w:proofErr w:type="spellStart"/>
      <w:r w:rsidR="00480197" w:rsidRPr="00884B1B">
        <w:t>Ch</w:t>
      </w:r>
      <w:r w:rsidR="00FB3CCC">
        <w:t>IP</w:t>
      </w:r>
      <w:proofErr w:type="spellEnd"/>
      <w:r w:rsidR="00480197" w:rsidRPr="00884B1B">
        <w:t xml:space="preserve">-seq DB. The </w:t>
      </w:r>
      <w:r w:rsidR="00FB3CCC">
        <w:t>ULR</w:t>
      </w:r>
      <w:r w:rsidR="00480197" w:rsidRPr="00884B1B">
        <w:t xml:space="preserve"> is like effector routes in </w:t>
      </w:r>
      <w:proofErr w:type="spellStart"/>
      <w:r w:rsidR="00480197" w:rsidRPr="00884B1B">
        <w:t>rPAC</w:t>
      </w:r>
      <w:proofErr w:type="spellEnd"/>
      <w:r w:rsidR="00480197" w:rsidRPr="00884B1B">
        <w:t xml:space="preserve">, but the primary TFs of </w:t>
      </w:r>
      <w:r w:rsidR="00FB3CCC">
        <w:t>ULR</w:t>
      </w:r>
      <w:r w:rsidR="00480197" w:rsidRPr="00884B1B">
        <w:t xml:space="preserve">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00480197" w:rsidRPr="00884B1B">
        <w:t xml:space="preserve"> is known as receiver. </w:t>
      </w:r>
      <w:r w:rsidR="00FB3CCC">
        <w:t>DRR</w:t>
      </w:r>
      <w:r w:rsidR="00480197" w:rsidRPr="00884B1B">
        <w:t xml:space="preserve"> are transformed from signaling routes in </w:t>
      </w:r>
      <w:proofErr w:type="spellStart"/>
      <w:r w:rsidR="00480197" w:rsidRPr="00884B1B">
        <w:t>rPAC</w:t>
      </w:r>
      <w:proofErr w:type="spellEnd"/>
      <w:r w:rsidR="00480197" w:rsidRPr="00884B1B">
        <w:t xml:space="preserve"> (KEGG). The connection of </w:t>
      </w:r>
      <w:r w:rsidR="00FB3CCC">
        <w:t>ULR</w:t>
      </w:r>
      <w:r w:rsidR="00480197" w:rsidRPr="00884B1B">
        <w:t xml:space="preserve"> and </w:t>
      </w:r>
      <w:r w:rsidR="00FB3CCC">
        <w:t>DRR</w:t>
      </w:r>
      <w:r w:rsidR="00480197" w:rsidRPr="00884B1B">
        <w:t xml:space="preserve"> are ligand and receptor pairs derived from two ligand-receptors pairs databases: </w:t>
      </w:r>
      <w:proofErr w:type="spellStart"/>
      <w:r w:rsidR="00480197" w:rsidRPr="00884B1B">
        <w:t>CellChatDB</w:t>
      </w:r>
      <w:proofErr w:type="spellEnd"/>
      <w:r w:rsidR="00480197" w:rsidRPr="00884B1B">
        <w:t xml:space="preserve">, </w:t>
      </w:r>
      <w:proofErr w:type="spellStart"/>
      <w:r w:rsidR="00480197" w:rsidRPr="00884B1B">
        <w:t>CellTalk</w:t>
      </w:r>
      <w:proofErr w:type="spellEnd"/>
      <w:r w:rsidR="00480197" w:rsidRPr="00884B1B">
        <w:t xml:space="preserve"> and ligand-receptors pairs in </w:t>
      </w:r>
      <w:r w:rsidR="001F0205">
        <w:t>signaling</w:t>
      </w:r>
      <w:r w:rsidR="00480197" w:rsidRPr="00884B1B">
        <w:t xml:space="preserve"> routes of </w:t>
      </w:r>
      <w:proofErr w:type="spellStart"/>
      <w:r w:rsidR="00480197" w:rsidRPr="00884B1B">
        <w:t>rPAC</w:t>
      </w:r>
      <w:proofErr w:type="spellEnd"/>
      <w:r w:rsidR="00480197" w:rsidRPr="00884B1B">
        <w:t xml:space="preserve">. Totally 104004 communication route pairs are </w:t>
      </w:r>
      <w:r w:rsidR="00FA295D">
        <w:t>identified</w:t>
      </w:r>
      <w:r w:rsidR="00480197" w:rsidRPr="00884B1B">
        <w:t xml:space="preserve"> and stored in graph structure in </w:t>
      </w:r>
      <w:proofErr w:type="spellStart"/>
      <w:r w:rsidR="00480197" w:rsidRPr="00884B1B">
        <w:t>rCom</w:t>
      </w:r>
      <w:proofErr w:type="spellEnd"/>
      <w:r w:rsidR="00480197"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487B8E0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xml:space="preserve">) is either +1 or -1 which indicates whether node should be up-regulated or down-regulated in the route to activate ligand or activated by receptor. A node is assigned an expected value using propagation method which starts from ligands in </w:t>
      </w:r>
      <w:r w:rsidR="00FB3CCC">
        <w:t>ULR</w:t>
      </w:r>
      <w:r w:rsidRPr="00884B1B">
        <w:t xml:space="preserve"> or receptors in </w:t>
      </w:r>
      <w:r w:rsidR="00FB3CCC">
        <w:t>DRR</w:t>
      </w:r>
      <w:r w:rsidRPr="00884B1B">
        <w:t xml:space="preserve"> to the end node of the route (TF in both </w:t>
      </w:r>
      <w:r w:rsidR="00FB3CCC">
        <w:t>ULR</w:t>
      </w:r>
      <w:r w:rsidRPr="00884B1B">
        <w:t xml:space="preserve"> and </w:t>
      </w:r>
      <w:r w:rsidR="00FB3CCC">
        <w:t>DRR</w:t>
      </w:r>
      <w:r w:rsidRPr="00884B1B">
        <w:t>).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1058A1F8"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w:t>
      </w:r>
      <w:proofErr w:type="gramStart"/>
      <w:r>
        <w:rPr>
          <w14:ligatures w14:val="standard"/>
        </w:rPr>
        <w:t xml:space="preserve">starte </w:t>
      </w:r>
      <w:r w:rsidR="003A2619">
        <w:rPr>
          <w14:ligatures w14:val="standard"/>
        </w:rPr>
        <w:t xml:space="preserve"> node</w:t>
      </w:r>
      <w:proofErr w:type="gramEnd"/>
      <w:r w:rsidR="003A2619">
        <w:rPr>
          <w14:ligatures w14:val="standard"/>
        </w:rPr>
        <w:t xml:space="preserve"> </w:t>
      </w:r>
      <w:r>
        <w:rPr>
          <w14:ligatures w14:val="standard"/>
        </w:rPr>
        <w:t xml:space="preserve">(ligand in </w:t>
      </w:r>
      <w:r w:rsidR="00FB3CCC">
        <w:rPr>
          <w14:ligatures w14:val="standard"/>
        </w:rPr>
        <w:t>ULR</w:t>
      </w:r>
      <w:r>
        <w:rPr>
          <w14:ligatures w14:val="standard"/>
        </w:rPr>
        <w:t xml:space="preserve"> and receptor in </w:t>
      </w:r>
      <w:r w:rsidR="00FB3CCC">
        <w:rPr>
          <w14:ligatures w14:val="standard"/>
        </w:rPr>
        <w:t>DRR</w:t>
      </w:r>
      <w:r>
        <w:rPr>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AE2012"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47841912"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xml:space="preserve">. A cell with high </w:t>
      </w:r>
      <w:r w:rsidR="00FB3CCC">
        <w:t>ULR</w:t>
      </w:r>
      <w:r w:rsidRPr="00884B1B">
        <w:t xml:space="preserve"> score means it has a high capability to secret ligand which are highly regulated in this specific route</w:t>
      </w:r>
      <w:r w:rsidR="007D5D13">
        <w:t xml:space="preserve">, whereas </w:t>
      </w:r>
      <w:r w:rsidR="001879E8">
        <w:t xml:space="preserve">a cell </w:t>
      </w:r>
      <w:r w:rsidRPr="00884B1B">
        <w:t xml:space="preserve">with a high </w:t>
      </w:r>
      <w:r w:rsidR="00FB3CCC">
        <w:t>DRR</w:t>
      </w:r>
      <w:r w:rsidRPr="00884B1B">
        <w:t xml:space="preserve">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10AEC454" w:rsidR="00480197"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w:t>
      </w:r>
      <w:r w:rsidR="00FB3CCC">
        <w:t>ULR</w:t>
      </w:r>
      <w:r w:rsidRPr="00884B1B">
        <w:t xml:space="preserve"> or </w:t>
      </w:r>
      <w:proofErr w:type="gramStart"/>
      <w:r w:rsidR="00FB3CCC">
        <w:t>DRR</w:t>
      </w:r>
      <w:r w:rsidRPr="00884B1B">
        <w:t>.</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103B49EA" w14:textId="4D8F4E6E" w:rsidR="00230FD1" w:rsidRPr="005A5391" w:rsidRDefault="00230FD1" w:rsidP="00230FD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Inferencing cell type communication</w:t>
      </w:r>
    </w:p>
    <w:p w14:paraId="7E1DCCD3" w14:textId="5FDEF83D" w:rsidR="00230FD1" w:rsidRPr="00013FED"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w:t>
      </w:r>
      <w:r>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cellular communications,</w:t>
      </w:r>
      <w:r>
        <w:rPr>
          <w:rFonts w:ascii="Linux Biolinum" w:eastAsia="SimSun" w:hAnsi="Linux Biolinum" w:cs="Linux Biolinum"/>
          <w:bCs/>
          <w:iCs/>
          <w:szCs w:val="18"/>
          <w:lang w:eastAsia="zh-CN"/>
          <w14:ligatures w14:val="standard"/>
        </w:rPr>
        <w:t xml:space="preserve"> we introduce </w:t>
      </w:r>
      <w:r w:rsidRPr="00AE584C">
        <w:rPr>
          <w:rFonts w:ascii="Linux Biolinum" w:eastAsia="SimSun" w:hAnsi="Linux Biolinum" w:cs="Linux Biolinum"/>
          <w:bCs/>
          <w:iCs/>
          <w:szCs w:val="18"/>
          <w:highlight w:val="yellow"/>
          <w:lang w:eastAsia="zh-CN"/>
          <w14:ligatures w14:val="standard"/>
        </w:rPr>
        <w:t>a heuristic rule</w:t>
      </w:r>
      <w:r>
        <w:rPr>
          <w:rFonts w:ascii="Linux Biolinum" w:eastAsia="SimSun" w:hAnsi="Linux Biolinum" w:cs="Linux Biolinum"/>
          <w:bCs/>
          <w:iCs/>
          <w:szCs w:val="18"/>
          <w:lang w:eastAsia="zh-CN"/>
          <w14:ligatures w14:val="standard"/>
        </w:rPr>
        <w:t xml:space="preserve"> which can model two distinct types of cell-cell communication known as autocrine signaling and paracrine signaling. </w:t>
      </w:r>
      <w:r w:rsidRPr="003D1FEA">
        <w:rPr>
          <w:rFonts w:ascii="Linux Biolinum" w:eastAsia="SimSun" w:hAnsi="Linux Biolinum" w:cs="Linux Biolinum"/>
          <w:bCs/>
          <w:iCs/>
          <w:szCs w:val="18"/>
          <w:highlight w:val="yellow"/>
          <w:lang w:eastAsia="zh-CN"/>
          <w14:ligatures w14:val="standard"/>
        </w:rPr>
        <w:t xml:space="preserve">In autocrine signaling, a cell secretes a messenger molecule (ligand) that binds to receptors on the same cell. While in paracrine signaling, the ligand binds to receptors on a different </w:t>
      </w:r>
      <w:r w:rsidRPr="00EB3109">
        <w:rPr>
          <w:rFonts w:ascii="Linux Biolinum" w:eastAsia="SimSun" w:hAnsi="Linux Biolinum" w:cs="Linux Biolinum"/>
          <w:bCs/>
          <w:iCs/>
          <w:szCs w:val="18"/>
          <w:highlight w:val="yellow"/>
          <w:lang w:eastAsia="zh-CN"/>
          <w14:ligatures w14:val="standard"/>
        </w:rPr>
        <w:t xml:space="preserve">cell. </w:t>
      </w:r>
      <w:sdt>
        <w:sdtPr>
          <w:rPr>
            <w:rFonts w:ascii="Linux Biolinum" w:eastAsia="SimSun" w:hAnsi="Linux Biolinum" w:cs="Linux Biolinum"/>
            <w:bCs/>
            <w:iCs/>
            <w:color w:val="000000"/>
            <w:szCs w:val="18"/>
            <w:highlight w:val="yellow"/>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691AC1" w:rsidRPr="00EB3109">
            <w:rPr>
              <w:rFonts w:ascii="Linux Biolinum" w:eastAsia="SimSun" w:hAnsi="Linux Biolinum" w:cs="Linux Biolinum"/>
              <w:bCs/>
              <w:iCs/>
              <w:color w:val="000000"/>
              <w:szCs w:val="18"/>
              <w:highlight w:val="yellow"/>
              <w:lang w:eastAsia="zh-CN"/>
              <w14:ligatures w14:val="standard"/>
            </w:rPr>
            <w:t>[12]</w:t>
          </w:r>
        </w:sdtContent>
      </w:sdt>
      <w:r w:rsidRPr="00EB3109">
        <w:rPr>
          <w:rFonts w:ascii="Linux Biolinum" w:eastAsia="SimSun" w:hAnsi="Linux Biolinum" w:cs="Linux Biolinum"/>
          <w:bCs/>
          <w:iCs/>
          <w:color w:val="000000"/>
          <w:szCs w:val="18"/>
          <w:highlight w:val="yellow"/>
          <w:lang w:eastAsia="zh-CN"/>
          <w14:ligatures w14:val="standard"/>
        </w:rPr>
        <w:t xml:space="preserve"> As </w:t>
      </w:r>
      <w:r w:rsidRPr="003D1FEA">
        <w:rPr>
          <w:rFonts w:ascii="Linux Biolinum" w:eastAsia="SimSun" w:hAnsi="Linux Biolinum" w:cs="Linux Biolinum"/>
          <w:bCs/>
          <w:iCs/>
          <w:color w:val="000000"/>
          <w:szCs w:val="18"/>
          <w:highlight w:val="yellow"/>
          <w:lang w:eastAsia="zh-CN"/>
          <w14:ligatures w14:val="standard"/>
        </w:rPr>
        <w:t>a mass of ligand secreted by a cell is constant, a strong autocrine will lead a week paracrine and vice versa.</w:t>
      </w:r>
      <w:r>
        <w:rPr>
          <w:rFonts w:ascii="Linux Biolinum" w:eastAsia="SimSun" w:hAnsi="Linux Biolinum" w:cs="Linux Biolinum"/>
          <w:bCs/>
          <w:iCs/>
          <w:color w:val="000000"/>
          <w:szCs w:val="18"/>
          <w:lang w:eastAsia="zh-CN"/>
          <w14:ligatures w14:val="standard"/>
        </w:rPr>
        <w:t xml:space="preserve"> </w:t>
      </w:r>
      <w:r w:rsidRPr="00CD1D78">
        <w:rPr>
          <w:rFonts w:ascii="Linux Biolinum" w:eastAsia="SimSun" w:hAnsi="Linux Biolinum" w:cs="Linux Biolinum"/>
          <w:bCs/>
          <w:iCs/>
          <w:color w:val="000000"/>
          <w:szCs w:val="18"/>
          <w:highlight w:val="yellow"/>
          <w:lang w:eastAsia="zh-CN"/>
          <w14:ligatures w14:val="standard"/>
        </w:rPr>
        <w:t>This rule can be easily modified in measuring cell type communication.</w:t>
      </w:r>
      <w:r w:rsidRPr="00013FED">
        <w:rPr>
          <w:rFonts w:ascii="Linux Biolinum" w:eastAsia="SimSun" w:hAnsi="Linux Biolinum" w:cs="Linux Biolinum"/>
          <w:bCs/>
          <w:iCs/>
          <w:szCs w:val="18"/>
          <w:lang w:eastAsia="zh-CN"/>
          <w14:ligatures w14:val="standard"/>
        </w:rPr>
        <w:t xml:space="preserve"> </w:t>
      </w:r>
      <w:r w:rsidRPr="00CD1D78">
        <w:rPr>
          <w:rFonts w:ascii="Linux Biolinum" w:eastAsia="SimSun" w:hAnsi="Linux Biolinum" w:cs="Linux Biolinum"/>
          <w:bCs/>
          <w:iCs/>
          <w:szCs w:val="18"/>
          <w:highlight w:val="yellow"/>
          <w:lang w:eastAsia="zh-CN"/>
          <w14:ligatures w14:val="standard"/>
        </w:rPr>
        <w:t>As</w:t>
      </w:r>
      <w:r w:rsidRPr="00013FED">
        <w:rPr>
          <w:rFonts w:ascii="Linux Biolinum" w:eastAsia="SimSun" w:hAnsi="Linux Biolinum" w:cs="Linux Biolinum"/>
          <w:bCs/>
          <w:iCs/>
          <w:szCs w:val="18"/>
          <w:lang w:eastAsia="zh-CN"/>
          <w14:ligatures w14:val="standard"/>
        </w:rPr>
        <w:t xml:space="preserve"> the</w:t>
      </w:r>
      <w:r>
        <w:rPr>
          <w:rFonts w:ascii="Linux Biolinum" w:eastAsia="SimSun" w:hAnsi="Linux Biolinum" w:cs="Linux Biolinum"/>
          <w:bCs/>
          <w:iCs/>
          <w:szCs w:val="18"/>
          <w:lang w:eastAsia="zh-CN"/>
          <w14:ligatures w14:val="standard"/>
        </w:rPr>
        <w:t xml:space="preserve"> </w:t>
      </w:r>
      <w:r w:rsidRPr="003F61C9">
        <w:rPr>
          <w:rFonts w:ascii="Linux Biolinum" w:eastAsia="SimSun" w:hAnsi="Linux Biolinum" w:cs="Linux Biolinum"/>
          <w:bCs/>
          <w:iCs/>
          <w:szCs w:val="18"/>
          <w:highlight w:val="yellow"/>
          <w:lang w:eastAsia="zh-CN"/>
          <w14:ligatures w14:val="standard"/>
        </w:rPr>
        <w:t>total</w:t>
      </w:r>
      <w:r w:rsidRPr="00013FED">
        <w:rPr>
          <w:rFonts w:ascii="Linux Biolinum" w:eastAsia="SimSun" w:hAnsi="Linux Biolinum" w:cs="Linux Biolinum"/>
          <w:bCs/>
          <w:iCs/>
          <w:szCs w:val="18"/>
          <w:lang w:eastAsia="zh-CN"/>
          <w14:ligatures w14:val="standard"/>
        </w:rPr>
        <w:t xml:space="preserv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 xml:space="preserve">intra cell </w:t>
      </w:r>
      <w:r w:rsidR="00EB3109" w:rsidRPr="009B3DD3">
        <w:rPr>
          <w:noProof/>
        </w:rPr>
        <w:lastRenderedPageBreak/>
        <mc:AlternateContent>
          <mc:Choice Requires="wps">
            <w:drawing>
              <wp:anchor distT="0" distB="0" distL="114300" distR="114300" simplePos="0" relativeHeight="251658240" behindDoc="0" locked="0" layoutInCell="1" allowOverlap="1" wp14:anchorId="515ABB6D" wp14:editId="07E624FD">
                <wp:simplePos x="0" y="0"/>
                <wp:positionH relativeFrom="margin">
                  <wp:align>right</wp:align>
                </wp:positionH>
                <wp:positionV relativeFrom="paragraph">
                  <wp:posOffset>0</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8" type="#_x0000_t202" style="position:absolute;margin-left:187.9pt;margin-top:0;width:239.1pt;height:240.7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">
                <v:textbo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v:textbox>
                <w10:wrap type="square" anchorx="margin"/>
              </v:shape>
            </w:pict>
          </mc:Fallback>
        </mc:AlternateContent>
      </w:r>
      <w:r>
        <w:rPr>
          <w:rFonts w:ascii="Linux Biolinum" w:eastAsia="SimSun" w:hAnsi="Linux Biolinum" w:cs="Linux Biolinum"/>
          <w:bCs/>
          <w:iCs/>
          <w:szCs w:val="18"/>
          <w:lang w:eastAsia="zh-CN"/>
          <w14:ligatures w14:val="standard"/>
        </w:rPr>
        <w:t>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690CC36C" w14:textId="5366B225" w:rsidR="00480197" w:rsidRPr="005A5391" w:rsidRDefault="00480197" w:rsidP="00B713BA">
      <w:pPr>
        <w:pStyle w:val="Head2"/>
        <w:rPr>
          <w14:ligatures w14:val="standard"/>
        </w:rPr>
      </w:pPr>
      <w:bookmarkStart w:id="0" w:name="_Hlk103459958"/>
    </w:p>
    <w:bookmarkEnd w:id="0"/>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27375762"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w:t>
      </w:r>
      <w:r w:rsidR="00FB3CCC">
        <w:t>ULR</w:t>
      </w:r>
      <w:r w:rsidRPr="00884B1B">
        <w:t xml:space="preserve"> and </w:t>
      </w:r>
      <w:r w:rsidR="00FB3CCC">
        <w:t>DRR</w:t>
      </w:r>
      <w:r w:rsidRPr="00884B1B">
        <w:t xml:space="preserve"> score in cell group </w:t>
      </w:r>
      <m:oMath>
        <m:r>
          <w:rPr>
            <w:rFonts w:ascii="Cambria Math" w:hAnsi="Cambria Math"/>
          </w:rPr>
          <m:t>α</m:t>
        </m:r>
      </m:oMath>
      <w:r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stands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2B2457AB"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C9AF612" w:rsidR="00480197" w:rsidRPr="00884B1B" w:rsidRDefault="00480197" w:rsidP="000853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it is possible to infer the cell</w:t>
      </w:r>
      <w:r w:rsidR="00B03551">
        <w:t xml:space="preserve"> type</w:t>
      </w:r>
      <w:r w:rsidRPr="00884B1B">
        <w:t xml:space="preserve"> communication between</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for a higher probability </w:t>
      </w:r>
      <w:r w:rsidR="00BA69A3">
        <w:t>of</w:t>
      </w:r>
      <w:r w:rsidRPr="00884B1B">
        <w:t xml:space="preserve"> communication between the cell</w:t>
      </w:r>
      <w:r w:rsidR="009D208D">
        <w:t>s</w:t>
      </w:r>
      <w:r w:rsidRPr="00884B1B">
        <w:t xml:space="preserve"> in two cell type</w:t>
      </w:r>
      <w:r w:rsidR="0054599C">
        <w:t>s</w:t>
      </w:r>
      <w:r w:rsidRPr="00884B1B">
        <w:t xml:space="preserve"> through the specific communication routes. </w:t>
      </w:r>
    </w:p>
    <w:p w14:paraId="1908A465" w14:textId="5F48F561" w:rsidR="00480197" w:rsidRDefault="00EB3109" w:rsidP="00660437">
      <w:pPr>
        <w:pStyle w:val="Head2"/>
        <w:rPr>
          <w14:ligatures w14:val="standard"/>
        </w:rPr>
      </w:pPr>
      <w:r w:rsidRPr="00DA04E1">
        <w:rPr>
          <w:noProof/>
        </w:rPr>
        <mc:AlternateContent>
          <mc:Choice Requires="wps">
            <w:drawing>
              <wp:anchor distT="45720" distB="45720" distL="114300" distR="114300" simplePos="0" relativeHeight="251668480" behindDoc="0" locked="0" layoutInCell="1" allowOverlap="1" wp14:anchorId="4447100E" wp14:editId="0CFA7311">
                <wp:simplePos x="0" y="0"/>
                <wp:positionH relativeFrom="margin">
                  <wp:align>right</wp:align>
                </wp:positionH>
                <wp:positionV relativeFrom="paragraph">
                  <wp:posOffset>80010</wp:posOffset>
                </wp:positionV>
                <wp:extent cx="3027680" cy="1400175"/>
                <wp:effectExtent l="0" t="0" r="2032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0175"/>
                        </a:xfrm>
                        <a:prstGeom prst="rect">
                          <a:avLst/>
                        </a:prstGeom>
                        <a:solidFill>
                          <a:srgbClr val="FFFFFF"/>
                        </a:solidFill>
                        <a:ln w="9525">
                          <a:solidFill>
                            <a:srgbClr val="000000"/>
                          </a:solidFill>
                          <a:miter lim="800000"/>
                          <a:headEnd/>
                          <a:tailEnd/>
                        </a:ln>
                      </wps:spPr>
                      <wps:txb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9" type="#_x0000_t202" style="position:absolute;left:0;text-align:left;margin-left:187.2pt;margin-top:6.3pt;width:238.4pt;height:110.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79FQIAACcEAAAOAAAAZHJzL2Uyb0RvYy54bWysk9tu2zAMhu8H7B0E3S8+LGlSI07Rpcsw&#10;oDsA3R5AluVYmCxqkhI7e/pSsptmp5thvhBEU/pJfqTWN0OnyFFYJ0GXNJullAjNoZZ6X9KvX3av&#10;V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">
                <v:textbo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v:textbox>
                <w10:wrap type="square" anchorx="margin"/>
              </v:shape>
            </w:pict>
          </mc:Fallback>
        </mc:AlternateContent>
      </w:r>
      <w:r w:rsidR="00480197">
        <w:rPr>
          <w:rStyle w:val="Label"/>
          <w14:ligatures w14:val="standard"/>
        </w:rPr>
        <w:t>2</w:t>
      </w:r>
      <w:r w:rsidR="00480197" w:rsidRPr="00586A35">
        <w:rPr>
          <w:rStyle w:val="Label"/>
          <w14:ligatures w14:val="standard"/>
        </w:rPr>
        <w:t>.</w:t>
      </w:r>
      <w:r w:rsidR="00480197">
        <w:rPr>
          <w:rStyle w:val="Label"/>
          <w14:ligatures w14:val="standard"/>
        </w:rPr>
        <w:t>5</w:t>
      </w:r>
      <w:r w:rsidR="00480197" w:rsidRPr="00586A35">
        <w:rPr>
          <w14:ligatures w14:val="standard"/>
        </w:rPr>
        <w:t> </w:t>
      </w:r>
      <w:r w:rsidR="00480197">
        <w:rPr>
          <w14:ligatures w14:val="standard"/>
        </w:rPr>
        <w:t xml:space="preserve">Identification of statistically significant </w:t>
      </w:r>
      <w:r w:rsidR="00190057">
        <w:rPr>
          <w14:ligatures w14:val="standard"/>
        </w:rPr>
        <w:t>cell type</w:t>
      </w:r>
      <w:r w:rsidR="00480197">
        <w:rPr>
          <w14:ligatures w14:val="standard"/>
        </w:rPr>
        <w:t xml:space="preserve"> communication routes </w:t>
      </w:r>
    </w:p>
    <w:p w14:paraId="7B9766DE" w14:textId="0AD892D9"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07E6206" w:rsidR="00480197" w:rsidRPr="00884B1B" w:rsidRDefault="00EB3109" w:rsidP="00085324">
      <w:pPr>
        <w:pStyle w:val="AbsHead"/>
      </w:pPr>
      <w:r w:rsidRPr="00481C06">
        <w:rPr>
          <w:noProof/>
        </w:rPr>
        <mc:AlternateContent>
          <mc:Choice Requires="wps">
            <w:drawing>
              <wp:anchor distT="45720" distB="45720" distL="114300" distR="114300" simplePos="0" relativeHeight="251646976" behindDoc="0" locked="0" layoutInCell="1" allowOverlap="1" wp14:anchorId="0DB2FAF5" wp14:editId="0B832BCB">
                <wp:simplePos x="0" y="0"/>
                <wp:positionH relativeFrom="column">
                  <wp:align>right</wp:align>
                </wp:positionH>
                <wp:positionV relativeFrom="paragraph">
                  <wp:posOffset>527685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185.5pt;margin-top:41.55pt;width:236.7pt;height:210.25pt;z-index:25164697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">
                <v:textbo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7E6C9CFE" w:rsidR="00480197" w:rsidRDefault="00480197" w:rsidP="00EB656D">
      <w:pPr>
        <w:pStyle w:val="Head1"/>
      </w:pPr>
      <w:r>
        <w:rPr>
          <w:rStyle w:val="Label"/>
          <w14:ligatures w14:val="standard"/>
        </w:rPr>
        <w:t>3</w:t>
      </w:r>
      <w:r w:rsidRPr="00586A35">
        <w:t> </w:t>
      </w:r>
      <w:r>
        <w:t xml:space="preserve">Experiment results </w:t>
      </w:r>
    </w:p>
    <w:p w14:paraId="0E73F839" w14:textId="452F66A6" w:rsidR="00480197" w:rsidRPr="00884B1B" w:rsidRDefault="00480197" w:rsidP="00085324">
      <w:pPr>
        <w:pStyle w:val="AbsHead"/>
      </w:pPr>
      <w:r w:rsidRPr="00884B1B">
        <w:t xml:space="preserve">We </w:t>
      </w:r>
      <w:r w:rsidR="007F1C03">
        <w:t xml:space="preserve">experimented </w:t>
      </w:r>
      <w:proofErr w:type="spellStart"/>
      <w:r w:rsidR="007F1C03">
        <w:t>rC</w:t>
      </w:r>
      <w:r w:rsidR="00AB7468">
        <w:t>om</w:t>
      </w:r>
      <w:proofErr w:type="spellEnd"/>
      <w:r w:rsidR="007F1C03">
        <w:t xml:space="preserve"> with two </w:t>
      </w:r>
      <w:r w:rsidR="00AB7468">
        <w:t xml:space="preserve">sets of </w:t>
      </w:r>
      <w:r w:rsidRPr="00884B1B">
        <w:t xml:space="preserve">independent single cell </w:t>
      </w:r>
      <w:r w:rsidR="007F1C03">
        <w:t xml:space="preserve">transcriptomics </w:t>
      </w:r>
      <w:proofErr w:type="spellStart"/>
      <w:r w:rsidRPr="00884B1B">
        <w:t>datas</w:t>
      </w:r>
      <w:proofErr w:type="spellEnd"/>
      <w:r w:rsidR="00D841F0">
        <w:t xml:space="preserve"> related to bone biology</w:t>
      </w:r>
      <w:r w:rsidR="00254968">
        <w:t xml:space="preserve">, one from xxx and one from NCBI GEO. Two sets of independent but related data sets are used to demonstrate the generality of </w:t>
      </w:r>
      <w:proofErr w:type="spellStart"/>
      <w:r w:rsidR="00254968">
        <w:t>rCOM</w:t>
      </w:r>
      <w:proofErr w:type="spellEnd"/>
      <w:r w:rsidR="00254968">
        <w:t xml:space="preserve"> and if common cell type specific communication relationships can be derived from studies done by two independent laboratories.</w:t>
      </w:r>
    </w:p>
    <w:p w14:paraId="12065D61" w14:textId="720C5C97"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04777C4E" w:rsidR="00480197" w:rsidRDefault="00480197" w:rsidP="00085324">
      <w:pPr>
        <w:pStyle w:val="AbsHead"/>
      </w:pPr>
      <w:r w:rsidRPr="00884B1B">
        <w:t xml:space="preserve">The first </w:t>
      </w:r>
      <w:r w:rsidR="00D841F0" w:rsidRPr="00884B1B">
        <w:t xml:space="preserve">single cell </w:t>
      </w:r>
      <w:r w:rsidR="00D841F0">
        <w:t xml:space="preserve">transcriptomics </w:t>
      </w:r>
      <w:r w:rsidR="00D841F0" w:rsidRPr="00884B1B">
        <w:t xml:space="preserve">datasets </w:t>
      </w:r>
      <w:r w:rsidR="00D841F0">
        <w:t xml:space="preserve">we applied </w:t>
      </w:r>
      <w:proofErr w:type="spellStart"/>
      <w:r w:rsidR="00D841F0">
        <w:t>rCOM</w:t>
      </w:r>
      <w:proofErr w:type="spellEnd"/>
      <w:r w:rsidRPr="00884B1B">
        <w:t xml:space="preserve"> </w:t>
      </w:r>
      <w:r w:rsidR="00CA0EC9">
        <w:t xml:space="preserve">analyze how subtypes of </w:t>
      </w:r>
      <w:r w:rsidRPr="00884B1B">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691AC1" w:rsidRPr="00691AC1">
            <w:rPr>
              <w:color w:val="000000"/>
            </w:rPr>
            <w:t>[13]</w:t>
          </w:r>
        </w:sdtContent>
      </w:sdt>
      <w:r w:rsidRPr="00884B1B">
        <w:t xml:space="preserve">. After </w:t>
      </w:r>
      <w:r w:rsidR="00CA0EC9">
        <w:t xml:space="preserve">the QC </w:t>
      </w:r>
      <w:r w:rsidRPr="00884B1B">
        <w:t>preprocess</w:t>
      </w:r>
      <w:r w:rsidR="00254968">
        <w:t>ing</w:t>
      </w:r>
      <w:r w:rsidR="00CA0EC9">
        <w:t xml:space="preserve"> and data formatting</w:t>
      </w:r>
      <w:r w:rsidRPr="00884B1B">
        <w:t xml:space="preserve">, </w:t>
      </w:r>
      <w:r w:rsidR="00CA0EC9">
        <w:t xml:space="preserve">our method creates </w:t>
      </w:r>
      <w:r w:rsidRPr="00884B1B">
        <w:t xml:space="preserve">the scRNA-seq data matrix </w:t>
      </w:r>
      <w:r w:rsidR="00CA0EC9">
        <w:t xml:space="preserve">made up of </w:t>
      </w:r>
      <w:r w:rsidRPr="00884B1B">
        <w:t xml:space="preserve">4397 cells </w:t>
      </w:r>
      <w:r w:rsidR="00CA0EC9">
        <w:t>with</w:t>
      </w:r>
      <w:r w:rsidRPr="00884B1B">
        <w:t xml:space="preserve"> 31053 features (genes). </w:t>
      </w:r>
      <w:proofErr w:type="spellStart"/>
      <w:r w:rsidR="00837BAD" w:rsidRPr="00837BAD">
        <w:t>Vesprey</w:t>
      </w:r>
      <w:proofErr w:type="spellEnd"/>
      <w:r w:rsidR="00837BAD" w:rsidRPr="00837BAD">
        <w:t xml:space="preserve"> et al.</w:t>
      </w:r>
      <w:r w:rsidR="00837BAD">
        <w:t xml:space="preserve">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691AC1" w:rsidRPr="00691AC1">
            <w:rPr>
              <w:color w:val="000000"/>
            </w:rPr>
            <w:t>[13]</w:t>
          </w:r>
        </w:sdtContent>
      </w:sdt>
      <w:r w:rsidR="00837BAD">
        <w:t xml:space="preserve"> provide t</w:t>
      </w:r>
      <w:r w:rsidRPr="00884B1B">
        <w:t xml:space="preserve">he labels of each cell </w:t>
      </w:r>
      <w:r w:rsidR="00CA0EC9">
        <w:t>sub</w:t>
      </w:r>
      <w:r w:rsidRPr="00884B1B">
        <w:t xml:space="preserve">group </w:t>
      </w:r>
      <w:r w:rsidR="00837BAD">
        <w:t>such as:</w:t>
      </w:r>
      <w:r>
        <w:t xml:space="preserv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w:t>
      </w:r>
      <w:r w:rsidR="00EB3109" w:rsidRPr="00994F22">
        <w:rPr>
          <w:noProof/>
        </w:rPr>
        <w:lastRenderedPageBreak/>
        <mc:AlternateContent>
          <mc:Choice Requires="wps">
            <w:drawing>
              <wp:anchor distT="45720" distB="45720" distL="114300" distR="114300" simplePos="0" relativeHeight="251688960" behindDoc="0" locked="0" layoutInCell="1" allowOverlap="1" wp14:anchorId="7F08AE70" wp14:editId="71B4E830">
                <wp:simplePos x="0" y="0"/>
                <wp:positionH relativeFrom="margin">
                  <wp:align>right</wp:align>
                </wp:positionH>
                <wp:positionV relativeFrom="paragraph">
                  <wp:posOffset>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8AE70" id="_x0000_s1031" type="#_x0000_t202" style="position:absolute;margin-left:187.7pt;margin-top:0;width:238.9pt;height:213.8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">
                <v:textbo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v:textbox>
                <w10:wrap type="square" anchorx="margin"/>
              </v:shape>
            </w:pict>
          </mc:Fallback>
        </mc:AlternateContent>
      </w:r>
      <w:r w:rsidR="00EB3109" w:rsidRPr="00994F22">
        <w:rPr>
          <w:noProof/>
        </w:rPr>
        <mc:AlternateContent>
          <mc:Choice Requires="wps">
            <w:drawing>
              <wp:anchor distT="0" distB="0" distL="114300" distR="114300" simplePos="0" relativeHeight="251693056" behindDoc="0" locked="0" layoutInCell="1" allowOverlap="1" wp14:anchorId="7A813260" wp14:editId="7B1EB29B">
                <wp:simplePos x="0" y="0"/>
                <wp:positionH relativeFrom="column">
                  <wp:align>right</wp:align>
                </wp:positionH>
                <wp:positionV relativeFrom="paragraph">
                  <wp:posOffset>0</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A813260" id="_x0000_s1032" type="#_x0000_t202" style="position:absolute;margin-left:187.7pt;margin-top:0;width:238.9pt;height:175.35pt;z-index:25169305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">
                <v:textbo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Pr="00884B1B">
        <w:t xml:space="preserve">marrow (SBM) (1371 cells).  </w:t>
      </w:r>
      <w:r w:rsidR="00837BAD">
        <w:t xml:space="preserve">We were able to reproduce this particular subgrouping of the study cells using the </w:t>
      </w:r>
      <w:r w:rsidRPr="00884B1B">
        <w:t xml:space="preserve">2-D </w:t>
      </w:r>
      <w:r w:rsidR="00220A9F" w:rsidRPr="00884B1B">
        <w:t xml:space="preserve">UMAP </w:t>
      </w:r>
      <w:r w:rsidRPr="00884B1B">
        <w:t xml:space="preserve">visualization </w:t>
      </w:r>
      <w:r w:rsidR="00220A9F">
        <w:t>as</w:t>
      </w:r>
      <w:r w:rsidRPr="00884B1B">
        <w:t xml:space="preserve"> shown in Fig 3</w:t>
      </w:r>
      <w:r w:rsidR="00CA0EC9">
        <w:t xml:space="preserve">, similar to what has been reported </w:t>
      </w:r>
      <w:r w:rsidR="00EB3109" w:rsidRPr="00994F22">
        <w:rPr>
          <w:noProof/>
        </w:rPr>
        <mc:AlternateContent>
          <mc:Choice Requires="wps">
            <w:drawing>
              <wp:anchor distT="45720" distB="45720" distL="114300" distR="114300" simplePos="0" relativeHeight="251691008" behindDoc="0" locked="0" layoutInCell="1" allowOverlap="1" wp14:anchorId="0A9D94FB" wp14:editId="76E873C8">
                <wp:simplePos x="0" y="0"/>
                <wp:positionH relativeFrom="margin">
                  <wp:align>right</wp:align>
                </wp:positionH>
                <wp:positionV relativeFrom="paragraph">
                  <wp:posOffset>2795270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D94FB" id="Text Box 9" o:spid="_x0000_s1033" type="#_x0000_t202" style="position:absolute;margin-left:187.7pt;margin-top:220.1pt;width:238.9pt;height:207.5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">
                <v:textbo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v:textbox>
                <w10:wrap type="square" anchorx="margin"/>
              </v:shape>
            </w:pict>
          </mc:Fallback>
        </mc:AlternateContent>
      </w:r>
      <w:r w:rsidR="00CA0EC9">
        <w:t xml:space="preserve">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691AC1" w:rsidRPr="00691AC1">
            <w:rPr>
              <w:color w:val="000000"/>
            </w:rPr>
            <w:t>[13]</w:t>
          </w:r>
        </w:sdtContent>
      </w:sdt>
      <w:r w:rsidR="00CA0EC9">
        <w:t xml:space="preserve"> </w:t>
      </w:r>
      <w:r w:rsidR="00220A9F">
        <w:t xml:space="preserve"> providing confidence in our use of reported </w:t>
      </w:r>
      <w:r>
        <w:t>cell type label</w:t>
      </w:r>
      <w:r w:rsidR="00220A9F">
        <w:t>s</w:t>
      </w:r>
      <w:r w:rsidR="007644FB">
        <w:t>.</w:t>
      </w:r>
      <w:r w:rsidR="00EB3109" w:rsidRPr="00EB3109">
        <w:rPr>
          <w:noProof/>
        </w:rPr>
        <w:t xml:space="preserve"> </w:t>
      </w:r>
    </w:p>
    <w:p w14:paraId="3CDC88DA" w14:textId="2B9C1D1C" w:rsidR="008B26D0" w:rsidRDefault="00FE18FF" w:rsidP="00085324">
      <w:pPr>
        <w:pStyle w:val="AbsHead"/>
      </w:pPr>
      <w:r w:rsidRPr="00DA04E1">
        <w:rPr>
          <w:noProof/>
        </w:rPr>
        <mc:AlternateContent>
          <mc:Choice Requires="wps">
            <w:drawing>
              <wp:anchor distT="45720" distB="45720" distL="114300" distR="114300" simplePos="0" relativeHeight="251672576" behindDoc="0" locked="0" layoutInCell="1" allowOverlap="1" wp14:anchorId="4632DE28" wp14:editId="03DA78B5">
                <wp:simplePos x="0" y="0"/>
                <wp:positionH relativeFrom="margin">
                  <wp:posOffset>0</wp:posOffset>
                </wp:positionH>
                <wp:positionV relativeFrom="paragraph">
                  <wp:posOffset>4338320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DE28" id="_x0000_s1034" type="#_x0000_t202" style="position:absolute;margin-left:0;margin-top:341.6pt;width:237.95pt;height:279.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Uf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">
                <v:textbo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220A9F">
        <w:t xml:space="preserve">The analysis outcome of applying </w:t>
      </w:r>
      <w:proofErr w:type="spellStart"/>
      <w:r w:rsidR="00220A9F">
        <w:t>rCOM</w:t>
      </w:r>
      <w:proofErr w:type="spellEnd"/>
      <w:r w:rsidR="00220A9F">
        <w:t xml:space="preserve"> to this dataset is summarized in </w:t>
      </w:r>
      <w:r w:rsidR="00D841F0">
        <w:t>Tab 1</w:t>
      </w:r>
      <w:r w:rsidR="00220A9F">
        <w:t>. It</w:t>
      </w:r>
      <w:r w:rsidR="00D841F0">
        <w:t xml:space="preserve"> shows </w:t>
      </w:r>
      <w:r w:rsidR="007644FB">
        <w:t xml:space="preserve">a small </w:t>
      </w:r>
      <w:r w:rsidR="00220A9F">
        <w:t xml:space="preserve">portion of discovered </w:t>
      </w:r>
      <w:r w:rsidR="00480197" w:rsidRPr="00884B1B">
        <w:t xml:space="preserve">communication routes </w:t>
      </w:r>
      <w:r w:rsidR="003104BD">
        <w:t>whose</w:t>
      </w:r>
      <w:r w:rsidR="00480197" w:rsidRPr="00884B1B">
        <w:t xml:space="preserve"> </w:t>
      </w:r>
      <w:r w:rsidR="003104BD">
        <w:t xml:space="preserve">route score </w:t>
      </w:r>
      <w:r w:rsidR="00480197" w:rsidRPr="00884B1B">
        <w:t xml:space="preserve">threshold </w:t>
      </w:r>
      <w:r w:rsidR="007644FB">
        <w:t xml:space="preserve">&gt; </w:t>
      </w:r>
      <w:r w:rsidR="00480197" w:rsidRPr="00884B1B">
        <w:t>8</w:t>
      </w:r>
      <w:r w:rsidR="00E81DFD">
        <w:t>.</w:t>
      </w:r>
      <w:r w:rsidR="00241030">
        <w:t>5</w:t>
      </w:r>
      <w:r w:rsidR="007644FB">
        <w:t xml:space="preserve"> for various of L-R pairs</w:t>
      </w:r>
      <w:r w:rsidR="00480197" w:rsidRPr="00884B1B">
        <w:t>.</w:t>
      </w:r>
      <w:r w:rsidR="00480197">
        <w:t xml:space="preserve"> Fig 4 shows the</w:t>
      </w:r>
      <w:r w:rsidR="007644FB">
        <w:t xml:space="preserve"> network rendering</w:t>
      </w:r>
      <w:r w:rsidR="00480197">
        <w:t xml:space="preserve"> </w:t>
      </w:r>
      <w:proofErr w:type="spellStart"/>
      <w:r w:rsidR="00480197" w:rsidRPr="00884B1B">
        <w:t>rICRN</w:t>
      </w:r>
      <w:proofErr w:type="spellEnd"/>
      <w:r w:rsidR="00480197" w:rsidRPr="00884B1B">
        <w:t xml:space="preserve"> of th</w:t>
      </w:r>
      <w:r w:rsidR="007644FB">
        <w:t>e</w:t>
      </w:r>
      <w:r w:rsidR="00480197" w:rsidRPr="00884B1B">
        <w:t xml:space="preserve"> </w:t>
      </w:r>
      <w:r w:rsidR="00267272">
        <w:t xml:space="preserve">generated </w:t>
      </w:r>
      <w:r w:rsidR="007644FB">
        <w:t xml:space="preserve">communication routes </w:t>
      </w:r>
      <w:r w:rsidR="00267272">
        <w:t xml:space="preserve">using </w:t>
      </w:r>
      <w:proofErr w:type="spellStart"/>
      <w:r w:rsidR="00267272" w:rsidRPr="00EC17DF">
        <w:t>Pyvis</w:t>
      </w:r>
      <w:proofErr w:type="spellEnd"/>
      <w:r w:rsidR="00480197" w:rsidRPr="00EC17DF">
        <w:t>.</w:t>
      </w:r>
      <w:r w:rsidR="007644FB" w:rsidRPr="00EC17DF">
        <w:t xml:space="preserve"> Here e</w:t>
      </w:r>
      <w:r w:rsidR="006E2B58" w:rsidRPr="00EC17DF">
        <w:t xml:space="preserve">ach node </w:t>
      </w:r>
      <w:r w:rsidR="007644FB" w:rsidRPr="00EC17DF">
        <w:t>denotes</w:t>
      </w:r>
      <w:r w:rsidR="006E2B58" w:rsidRPr="00EC17DF">
        <w:t xml:space="preserve"> a cell type and the direct of edges the signaling direction (</w:t>
      </w:r>
      <w:r w:rsidR="007644FB" w:rsidRPr="00EC17DF">
        <w:t>e.g., f</w:t>
      </w:r>
      <w:r w:rsidR="006E2B58" w:rsidRPr="00EC17DF">
        <w:t xml:space="preserve">rom ligand in </w:t>
      </w:r>
      <w:r w:rsidR="00FB3CCC" w:rsidRPr="00EC17DF">
        <w:t>ULR</w:t>
      </w:r>
      <w:r w:rsidR="006E2B58" w:rsidRPr="00EC17DF">
        <w:t xml:space="preserve"> to receptor in </w:t>
      </w:r>
      <w:r w:rsidR="00FB3CCC" w:rsidRPr="00EC17DF">
        <w:t>DRR</w:t>
      </w:r>
      <w:r w:rsidR="006E2B58" w:rsidRPr="00EC17DF">
        <w:t xml:space="preserve">). For example, </w:t>
      </w:r>
      <w:r w:rsidR="007644FB" w:rsidRPr="00EC17DF">
        <w:t>Fig 4 includes</w:t>
      </w:r>
      <w:r w:rsidR="006E2B58" w:rsidRPr="00EC17DF">
        <w:t xml:space="preserve"> two significant route pairs identified between EC and MP</w:t>
      </w:r>
      <w:r w:rsidR="00EC17DF" w:rsidRPr="00EC17DF">
        <w:t xml:space="preserve"> where </w:t>
      </w:r>
      <w:r w:rsidR="006E2B58" w:rsidRPr="00EC17DF">
        <w:t>EC is the secretor and the MP the receiver. The</w:t>
      </w:r>
      <w:r w:rsidR="00EC17DF" w:rsidRPr="00EC17DF">
        <w:t xml:space="preserve"> edge</w:t>
      </w:r>
      <w:r w:rsidR="006E2B58" w:rsidRPr="00EC17DF">
        <w:t xml:space="preserve"> label </w:t>
      </w:r>
      <w:r w:rsidR="00EC17DF" w:rsidRPr="00EC17DF">
        <w:t xml:space="preserve">is given to </w:t>
      </w:r>
      <w:r w:rsidR="006E2B58" w:rsidRPr="00EC17DF">
        <w:t xml:space="preserve">show the number of the significant communication pairs </w:t>
      </w:r>
      <w:r w:rsidR="00EC17DF" w:rsidRPr="00EC17DF">
        <w:t xml:space="preserve">identified </w:t>
      </w:r>
      <w:r w:rsidR="006E2B58" w:rsidRPr="00EC17DF">
        <w:t xml:space="preserve">between </w:t>
      </w:r>
      <w:r w:rsidR="00EC17DF" w:rsidRPr="00EC17DF">
        <w:t xml:space="preserve">the </w:t>
      </w:r>
      <w:r w:rsidR="006E2B58" w:rsidRPr="00EC17DF">
        <w:t xml:space="preserve">two </w:t>
      </w:r>
      <w:r w:rsidR="00EC17DF" w:rsidRPr="00EC17DF">
        <w:t xml:space="preserve">involved </w:t>
      </w:r>
      <w:r w:rsidR="006E2B58" w:rsidRPr="00EC17DF">
        <w:t xml:space="preserve">cell </w:t>
      </w:r>
      <w:r w:rsidR="00EC17DF" w:rsidRPr="00EC17DF">
        <w:t>subtypes</w:t>
      </w:r>
      <w:r w:rsidR="006E2B58" w:rsidRPr="00EC17DF">
        <w:t xml:space="preserve">. </w:t>
      </w:r>
      <w:r w:rsidR="004C6A96" w:rsidRPr="00EC17DF">
        <w:t>From</w:t>
      </w:r>
      <w:r w:rsidR="00480197" w:rsidRPr="00EC17DF">
        <w:t xml:space="preserve"> the networks, we notice that the </w:t>
      </w:r>
      <w:r w:rsidR="00EC17DF">
        <w:t>edges</w:t>
      </w:r>
      <w:r w:rsidR="00480197" w:rsidRPr="00EC17DF">
        <w:t xml:space="preserve"> from SBM to EC, from OB to EC and from CC to EC have the greate</w:t>
      </w:r>
      <w:r w:rsidR="00EC17DF">
        <w:t>r</w:t>
      </w:r>
      <w:r w:rsidR="00480197" w:rsidRPr="00EC17DF">
        <w:t xml:space="preserve"> number</w:t>
      </w:r>
      <w:r w:rsidR="00480197">
        <w:t xml:space="preserve"> </w:t>
      </w:r>
      <w:r w:rsidR="00390A2B">
        <w:t xml:space="preserve">of </w:t>
      </w:r>
      <w:r w:rsidR="00390A2B" w:rsidRPr="00884B1B">
        <w:t>significant</w:t>
      </w:r>
      <w:r w:rsidR="00480197" w:rsidRPr="00884B1B">
        <w:t xml:space="preserve"> communication routes.</w:t>
      </w:r>
      <w:r w:rsidR="00480197">
        <w:t xml:space="preserve"> </w:t>
      </w:r>
      <w:r w:rsidR="00EC17DF">
        <w:t>Among these,</w:t>
      </w:r>
      <w:r w:rsidR="00480197">
        <w:t xml:space="preserve"> the communication</w:t>
      </w:r>
      <w:r w:rsidR="001F6E2A">
        <w:t>s</w:t>
      </w:r>
      <w:r w:rsidR="00480197">
        <w:t xml:space="preserve"> </w:t>
      </w:r>
      <w:r w:rsidR="00322264">
        <w:t>between</w:t>
      </w:r>
      <w:r w:rsidR="00480197">
        <w:t xml:space="preserve"> EC </w:t>
      </w:r>
      <w:r w:rsidR="00322264" w:rsidRPr="00877A7B">
        <w:t>and</w:t>
      </w:r>
      <w:r w:rsidR="00480197" w:rsidRPr="00877A7B">
        <w:t xml:space="preserve"> MP </w:t>
      </w:r>
      <w:r w:rsidR="00EC17DF" w:rsidRPr="00877A7B">
        <w:t>seems</w:t>
      </w:r>
      <w:r w:rsidR="00480197" w:rsidRPr="00877A7B">
        <w:t xml:space="preserve"> well </w:t>
      </w:r>
      <w:r w:rsidR="00EC17DF" w:rsidRPr="00877A7B">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691AC1" w:rsidRPr="00691AC1">
            <w:rPr>
              <w:color w:val="000000"/>
            </w:rPr>
            <w:t>[14]</w:t>
          </w:r>
        </w:sdtContent>
      </w:sdt>
      <w:r w:rsidR="001F6E2A" w:rsidRPr="00877A7B">
        <w:rPr>
          <w:color w:val="000000"/>
        </w:rPr>
        <w:t xml:space="preserve">. </w:t>
      </w:r>
      <w:r w:rsidR="00877A7B" w:rsidRPr="00877A7B">
        <w:rPr>
          <w:color w:val="000000"/>
        </w:rPr>
        <w:t>In Fig 5, we elaborate the particular r</w:t>
      </w:r>
      <w:r w:rsidR="006E2B58" w:rsidRPr="00877A7B">
        <w:rPr>
          <w:color w:val="000000"/>
        </w:rPr>
        <w:t xml:space="preserve">oute </w:t>
      </w:r>
      <w:r w:rsidR="00877A7B" w:rsidRPr="00877A7B">
        <w:rPr>
          <w:color w:val="000000"/>
        </w:rPr>
        <w:t>(I</w:t>
      </w:r>
      <w:r w:rsidR="006E2B58" w:rsidRPr="00877A7B">
        <w:rPr>
          <w:color w:val="000000"/>
        </w:rPr>
        <w:t>d: 70072</w:t>
      </w:r>
      <w:r w:rsidR="00877A7B" w:rsidRPr="00877A7B">
        <w:rPr>
          <w:color w:val="000000"/>
        </w:rPr>
        <w:t>,</w:t>
      </w:r>
      <w:r w:rsidR="006E2B58" w:rsidRPr="00877A7B">
        <w:rPr>
          <w:color w:val="000000"/>
        </w:rPr>
        <w:t xml:space="preserve"> </w:t>
      </w:r>
      <w:r w:rsidR="00877A7B" w:rsidRPr="00877A7B">
        <w:rPr>
          <w:color w:val="000000"/>
        </w:rPr>
        <w:t xml:space="preserve">as </w:t>
      </w:r>
      <w:r w:rsidR="006E2B58" w:rsidRPr="00877A7B">
        <w:rPr>
          <w:color w:val="000000"/>
        </w:rPr>
        <w:t xml:space="preserve">highlighted in Tab. 1) as </w:t>
      </w:r>
      <w:proofErr w:type="spellStart"/>
      <w:r w:rsidR="00877A7B" w:rsidRPr="00877A7B">
        <w:rPr>
          <w:color w:val="000000"/>
        </w:rPr>
        <w:t>rCom</w:t>
      </w:r>
      <w:proofErr w:type="spellEnd"/>
      <w:r w:rsidR="00877A7B" w:rsidRPr="00877A7B">
        <w:rPr>
          <w:color w:val="000000"/>
        </w:rPr>
        <w:t xml:space="preserve"> identified</w:t>
      </w:r>
      <w:r w:rsidR="006E2B58" w:rsidRPr="00877A7B">
        <w:rPr>
          <w:color w:val="000000"/>
        </w:rPr>
        <w:t xml:space="preserve"> significant route between EC and MP</w:t>
      </w:r>
      <w:r w:rsidR="00877A7B" w:rsidRPr="00877A7B">
        <w:rPr>
          <w:color w:val="000000"/>
        </w:rPr>
        <w:t>.</w:t>
      </w:r>
      <w:r w:rsidR="006E2B58" w:rsidRPr="00877A7B">
        <w:rPr>
          <w:color w:val="000000"/>
        </w:rPr>
        <w:t xml:space="preserve"> </w:t>
      </w:r>
      <w:r w:rsidR="00877A7B">
        <w:rPr>
          <w:color w:val="000000"/>
        </w:rPr>
        <w:t xml:space="preserve">This figure shows the identification of the ULR interconnecting the transcription factor </w:t>
      </w:r>
      <w:r w:rsidR="006E2B58" w:rsidRPr="00877A7B">
        <w:rPr>
          <w:color w:val="000000"/>
        </w:rPr>
        <w:t xml:space="preserve">GATA2 </w:t>
      </w:r>
      <w:r w:rsidR="00877A7B">
        <w:rPr>
          <w:color w:val="000000"/>
        </w:rPr>
        <w:t>and its target</w:t>
      </w:r>
      <w:r w:rsidR="006E2B58" w:rsidRPr="00877A7B">
        <w:rPr>
          <w:color w:val="000000"/>
        </w:rPr>
        <w:t xml:space="preserve"> ICAM2 in EC</w:t>
      </w:r>
      <w:r w:rsidR="009517A4">
        <w:rPr>
          <w:color w:val="000000"/>
        </w:rPr>
        <w:t xml:space="preserve">. The route 70072 basically suggests that the </w:t>
      </w:r>
      <w:r w:rsidR="00AC5A1E">
        <w:rPr>
          <w:color w:val="000000"/>
        </w:rPr>
        <w:t>secreted</w:t>
      </w:r>
      <w:r w:rsidR="006E2B58" w:rsidRPr="00877A7B">
        <w:rPr>
          <w:color w:val="000000"/>
        </w:rPr>
        <w:t xml:space="preserve"> ICAM2 by EC </w:t>
      </w:r>
      <w:r w:rsidR="009517A4">
        <w:rPr>
          <w:color w:val="000000"/>
        </w:rPr>
        <w:t xml:space="preserve">may </w:t>
      </w:r>
      <w:r w:rsidR="006E2B58" w:rsidRPr="00877A7B">
        <w:rPr>
          <w:color w:val="000000"/>
        </w:rPr>
        <w:t>bind</w:t>
      </w:r>
      <w:r w:rsidR="009517A4">
        <w:rPr>
          <w:color w:val="000000"/>
        </w:rPr>
        <w:t xml:space="preserve"> to</w:t>
      </w:r>
      <w:r w:rsidR="006E2B58" w:rsidRPr="00877A7B">
        <w:rPr>
          <w:color w:val="000000"/>
        </w:rPr>
        <w:t xml:space="preserve"> its receptor ITGB2 in MP.</w:t>
      </w:r>
      <w:r w:rsidR="009517A4">
        <w:rPr>
          <w:color w:val="000000"/>
        </w:rPr>
        <w:t xml:space="preserve"> ICAM2, a member of intercellular adhesion molecule family is generally know</w:t>
      </w:r>
      <w:r w:rsidR="00AC5A1E">
        <w:rPr>
          <w:color w:val="000000"/>
        </w:rPr>
        <w:t>n</w:t>
      </w:r>
      <w:r w:rsidR="009517A4">
        <w:rPr>
          <w:color w:val="000000"/>
        </w:rPr>
        <w:t xml:space="preserve"> to</w:t>
      </w:r>
      <w:r w:rsidR="006E2B58" w:rsidRPr="00877A7B">
        <w:rPr>
          <w:color w:val="000000"/>
        </w:rPr>
        <w:t xml:space="preserve"> </w:t>
      </w:r>
      <w:r w:rsidR="009517A4" w:rsidRPr="009517A4">
        <w:rPr>
          <w:color w:val="000000"/>
        </w:rPr>
        <w:t xml:space="preserve">bind to the leukocyte adhesion LFA-1 protein. </w:t>
      </w:r>
      <w:r w:rsidR="009517A4">
        <w:rPr>
          <w:color w:val="000000"/>
        </w:rPr>
        <w:t xml:space="preserve">But in this particular context of </w:t>
      </w:r>
      <w:r w:rsidR="00AC5A1E">
        <w:rPr>
          <w:color w:val="000000"/>
        </w:rPr>
        <w:t xml:space="preserve">bone </w:t>
      </w:r>
      <w:r w:rsidR="00AC5A1E" w:rsidRPr="00884B1B">
        <w:t xml:space="preserve">marrow stromal cell populations </w:t>
      </w:r>
      <w:r w:rsidR="00AC5A1E">
        <w:t>designed to form</w:t>
      </w:r>
      <w:r w:rsidR="00AC5A1E" w:rsidRPr="00884B1B">
        <w:t xml:space="preserve"> bone around metal implants</w:t>
      </w:r>
      <w:r w:rsidR="00AC5A1E">
        <w:t xml:space="preserve">, </w:t>
      </w:r>
      <w:r w:rsidR="00AC5A1E">
        <w:rPr>
          <w:color w:val="000000"/>
        </w:rPr>
        <w:t xml:space="preserve">ICAM2 may more likely bind to </w:t>
      </w:r>
      <w:r w:rsidR="00AC5A1E" w:rsidRPr="00877A7B">
        <w:rPr>
          <w:color w:val="000000"/>
        </w:rPr>
        <w:t>ITGB2</w:t>
      </w:r>
      <w:r w:rsidR="00332BD8">
        <w:rPr>
          <w:color w:val="000000"/>
        </w:rPr>
        <w:t xml:space="preserve"> where the role of ITGB2 in differentiation of osteoblast precursor cells has been reported by </w:t>
      </w:r>
      <w:r w:rsidR="00332BD8" w:rsidRPr="007B4C03">
        <w:rPr>
          <w:color w:val="000000"/>
          <w:highlight w:val="green"/>
        </w:rPr>
        <w:t xml:space="preserve">Kim and </w:t>
      </w:r>
      <w:proofErr w:type="spellStart"/>
      <w:r w:rsidR="00332BD8" w:rsidRPr="007B4C03">
        <w:rPr>
          <w:color w:val="000000"/>
          <w:highlight w:val="green"/>
        </w:rPr>
        <w:t>Adchi</w:t>
      </w:r>
      <w:proofErr w:type="spellEnd"/>
      <w:r w:rsidR="00332BD8" w:rsidRPr="007B4C03">
        <w:rPr>
          <w:color w:val="000000"/>
          <w:highlight w:val="green"/>
        </w:rPr>
        <w:t xml:space="preserve"> 2019 </w:t>
      </w:r>
      <w:sdt>
        <w:sdtPr>
          <w:rPr>
            <w:color w:val="000000"/>
            <w:highlight w:val="green"/>
          </w:rPr>
          <w:tag w:val="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Content>
          <w:r w:rsidR="00691AC1" w:rsidRPr="00691AC1">
            <w:rPr>
              <w:color w:val="000000"/>
              <w:highlight w:val="green"/>
            </w:rPr>
            <w:t>[15]</w:t>
          </w:r>
        </w:sdtContent>
      </w:sdt>
      <w:r w:rsidR="00332BD8" w:rsidRPr="007B4C03">
        <w:rPr>
          <w:color w:val="000000"/>
          <w:highlight w:val="green"/>
        </w:rPr>
        <w:t>.</w:t>
      </w:r>
      <w:r w:rsidR="00AC5A1E">
        <w:rPr>
          <w:color w:val="000000"/>
        </w:rPr>
        <w:t xml:space="preserve"> </w:t>
      </w:r>
      <w:r w:rsidR="006E2B58" w:rsidRPr="00877A7B">
        <w:rPr>
          <w:color w:val="000000"/>
        </w:rPr>
        <w:t xml:space="preserve">Finally, </w:t>
      </w:r>
      <w:r w:rsidR="00332BD8">
        <w:rPr>
          <w:color w:val="000000"/>
        </w:rPr>
        <w:t xml:space="preserve">the DRR discovered by </w:t>
      </w:r>
      <w:proofErr w:type="spellStart"/>
      <w:r w:rsidR="00332BD8">
        <w:rPr>
          <w:color w:val="000000"/>
        </w:rPr>
        <w:t>rCom</w:t>
      </w:r>
      <w:proofErr w:type="spellEnd"/>
      <w:r w:rsidR="00332BD8">
        <w:rPr>
          <w:color w:val="000000"/>
        </w:rPr>
        <w:t xml:space="preserve"> suggest</w:t>
      </w:r>
      <w:r w:rsidR="008A1274">
        <w:rPr>
          <w:color w:val="000000"/>
        </w:rPr>
        <w:t>s</w:t>
      </w:r>
      <w:r w:rsidR="00332BD8">
        <w:rPr>
          <w:color w:val="000000"/>
        </w:rPr>
        <w:t xml:space="preserve"> that </w:t>
      </w:r>
      <w:r w:rsidR="006E2B58" w:rsidRPr="00877A7B">
        <w:rPr>
          <w:color w:val="000000"/>
        </w:rPr>
        <w:t xml:space="preserve">ITGB2 </w:t>
      </w:r>
      <w:r w:rsidR="00332BD8">
        <w:rPr>
          <w:color w:val="000000"/>
        </w:rPr>
        <w:t xml:space="preserve">may </w:t>
      </w:r>
      <w:r w:rsidR="006E2B58" w:rsidRPr="00877A7B">
        <w:rPr>
          <w:color w:val="000000"/>
        </w:rPr>
        <w:lastRenderedPageBreak/>
        <w:t xml:space="preserve">regulate its </w:t>
      </w:r>
      <w:r w:rsidR="00332BD8" w:rsidRPr="00877A7B">
        <w:rPr>
          <w:color w:val="000000"/>
        </w:rPr>
        <w:t>downstream</w:t>
      </w:r>
      <w:r w:rsidR="006E2B58" w:rsidRPr="00877A7B">
        <w:rPr>
          <w:color w:val="000000"/>
        </w:rPr>
        <w:t xml:space="preserve"> genes </w:t>
      </w:r>
      <w:r w:rsidR="00332BD8">
        <w:rPr>
          <w:color w:val="000000"/>
        </w:rPr>
        <w:t xml:space="preserve">(e.g., VAV1, </w:t>
      </w:r>
      <w:r w:rsidR="008A1274">
        <w:rPr>
          <w:color w:val="000000"/>
        </w:rPr>
        <w:t xml:space="preserve">RAC1, etc.) </w:t>
      </w:r>
      <w:r w:rsidR="006E2B58" w:rsidRPr="00877A7B">
        <w:rPr>
          <w:color w:val="000000"/>
        </w:rPr>
        <w:t xml:space="preserve">and </w:t>
      </w:r>
      <w:r w:rsidR="008A1274">
        <w:rPr>
          <w:color w:val="000000"/>
        </w:rPr>
        <w:t xml:space="preserve">eventually </w:t>
      </w:r>
      <w:r w:rsidR="006E2B58" w:rsidRPr="00877A7B">
        <w:rPr>
          <w:color w:val="000000"/>
        </w:rPr>
        <w:t>activ</w:t>
      </w:r>
      <w:r w:rsidR="008A1274">
        <w:rPr>
          <w:color w:val="000000"/>
        </w:rPr>
        <w:t>ate</w:t>
      </w:r>
      <w:r w:rsidR="006E2B58" w:rsidRPr="00877A7B">
        <w:rPr>
          <w:color w:val="000000"/>
        </w:rPr>
        <w:t xml:space="preserve"> the MAPK family genes</w:t>
      </w:r>
      <w:r w:rsidR="008A1274">
        <w:rPr>
          <w:color w:val="000000"/>
        </w:rPr>
        <w:t xml:space="preserve"> as</w:t>
      </w:r>
      <w:r w:rsidR="006E2B58" w:rsidRPr="00877A7B">
        <w:rPr>
          <w:color w:val="000000"/>
        </w:rPr>
        <w:t xml:space="preserve"> </w:t>
      </w:r>
      <w:r w:rsidR="008A1274">
        <w:rPr>
          <w:color w:val="000000"/>
        </w:rPr>
        <w:t xml:space="preserve">shown </w:t>
      </w:r>
      <w:r w:rsidR="006E2B58" w:rsidRPr="00877A7B">
        <w:rPr>
          <w:color w:val="000000"/>
        </w:rPr>
        <w:t>at the end of the route</w:t>
      </w:r>
      <w:r w:rsidR="008A1274">
        <w:rPr>
          <w:color w:val="000000"/>
        </w:rPr>
        <w:t xml:space="preserve"> in Fig 5</w:t>
      </w:r>
      <w:r w:rsidR="006E2B58" w:rsidRPr="00877A7B">
        <w:rPr>
          <w:color w:val="000000"/>
        </w:rPr>
        <w:t xml:space="preserve">. </w:t>
      </w:r>
      <w:r w:rsidR="004C6A96" w:rsidRPr="00877A7B">
        <w:rPr>
          <w:color w:val="000000"/>
        </w:rPr>
        <w:t xml:space="preserve"> The violin plots for gene expression of ICAM2 and ITGB2 in different</w:t>
      </w:r>
      <w:r w:rsidR="004C6A96">
        <w:rPr>
          <w:color w:val="000000"/>
        </w:rPr>
        <w:t xml:space="preserve">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w:t>
      </w:r>
      <w:r w:rsidR="008A1274">
        <w:t xml:space="preserve">is </w:t>
      </w:r>
      <w:r w:rsidR="005D4811" w:rsidRPr="00884B1B">
        <w:t xml:space="preserve">highly expressed in EC </w:t>
      </w:r>
      <w:r w:rsidR="008A1274">
        <w:t>but scarcely</w:t>
      </w:r>
      <w:r w:rsidR="005D4811" w:rsidRPr="00884B1B">
        <w:t xml:space="preserve"> expressed in MP while ITGB2 is highly expressed in MP but </w:t>
      </w:r>
      <w:r w:rsidR="008A1274">
        <w:t>scarcely</w:t>
      </w:r>
      <w:r w:rsidR="005D4811" w:rsidRPr="00884B1B">
        <w:t xml:space="preserve"> in EC</w:t>
      </w:r>
      <w:r w:rsidR="008A1274">
        <w:t>, supporting the idea that the route 70072 signifies a paracrine signaling activity.</w:t>
      </w:r>
      <w:r w:rsidR="004C6A96">
        <w:rPr>
          <w:color w:val="000000"/>
        </w:rPr>
        <w:t xml:space="preserve"> </w:t>
      </w:r>
      <w:r w:rsidR="00A25673" w:rsidRPr="00884B1B">
        <w:t xml:space="preserve">Our literature survey </w:t>
      </w:r>
      <w:r w:rsidR="00A25673">
        <w:t xml:space="preserve">also </w:t>
      </w:r>
      <w:r w:rsidR="00715182">
        <w:t>finds</w:t>
      </w:r>
      <w:r w:rsidR="00A25673" w:rsidRPr="00884B1B">
        <w:t xml:space="preserve"> that </w:t>
      </w:r>
      <w:r w:rsidR="003104BD">
        <w:t xml:space="preserve">in their 2011 work </w:t>
      </w:r>
      <w:r w:rsidR="00A25673" w:rsidRPr="00884B1B">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691AC1" w:rsidRPr="00691AC1">
            <w:rPr>
              <w:color w:val="000000"/>
            </w:rPr>
            <w:t>[16]</w:t>
          </w:r>
        </w:sdtContent>
      </w:sdt>
      <w:r w:rsidR="00A25673" w:rsidRPr="00884B1B">
        <w:t xml:space="preserve"> identified the communication between EC and MP through ICAM family gene</w:t>
      </w:r>
      <w:r w:rsidR="00715182">
        <w:t>, although not the details provided in the route 70072 were reported.</w:t>
      </w:r>
      <w:r w:rsidR="00A25673" w:rsidRPr="00884B1B">
        <w:t xml:space="preserve"> </w:t>
      </w:r>
      <w:r w:rsidR="00715182">
        <w:t xml:space="preserve">Lastly, we point out that there are multiple other transcription factors known to regulate ICAM2 such as </w:t>
      </w:r>
      <w:r w:rsidR="00BE34B5">
        <w:rPr>
          <w:color w:val="000000"/>
        </w:rPr>
        <w:t>MYC, TAL1 and SCLY</w:t>
      </w:r>
      <w:r w:rsidR="008901C3">
        <w:rPr>
          <w:color w:val="000000"/>
        </w:rPr>
        <w:t xml:space="preserve"> besides GATA2 as shown in </w:t>
      </w:r>
      <w:r w:rsidR="006928FA">
        <w:rPr>
          <w:color w:val="000000"/>
        </w:rPr>
        <w:t>Fig 5</w:t>
      </w:r>
      <w:r w:rsidR="008901C3">
        <w:rPr>
          <w:color w:val="000000"/>
        </w:rPr>
        <w:t xml:space="preserve">. The ULR picked by </w:t>
      </w:r>
      <w:proofErr w:type="spellStart"/>
      <w:r w:rsidR="008901C3">
        <w:rPr>
          <w:color w:val="000000"/>
        </w:rPr>
        <w:t>rCom</w:t>
      </w:r>
      <w:proofErr w:type="spellEnd"/>
      <w:r w:rsidR="008901C3">
        <w:rPr>
          <w:color w:val="000000"/>
        </w:rPr>
        <w:t xml:space="preserve"> includes only GATA2 and this fact can also be </w:t>
      </w:r>
      <w:r w:rsidR="00AC763E">
        <w:rPr>
          <w:color w:val="000000"/>
        </w:rPr>
        <w:t>verif</w:t>
      </w:r>
      <w:r w:rsidR="008901C3">
        <w:rPr>
          <w:color w:val="000000"/>
        </w:rPr>
        <w:t>ied from</w:t>
      </w:r>
      <w:r w:rsidR="00AC763E">
        <w:rPr>
          <w:color w:val="000000"/>
        </w:rPr>
        <w:t xml:space="preserve"> the violin plots of gene expression for </w:t>
      </w:r>
      <w:r w:rsidR="008901C3">
        <w:rPr>
          <w:color w:val="000000"/>
        </w:rPr>
        <w:t xml:space="preserve">the </w:t>
      </w:r>
      <w:r w:rsidR="00AC763E">
        <w:rPr>
          <w:color w:val="000000"/>
        </w:rPr>
        <w:t xml:space="preserve">upper stream TFs of ICAM2 </w:t>
      </w:r>
      <w:r w:rsidR="008901C3">
        <w:rPr>
          <w:color w:val="000000"/>
        </w:rPr>
        <w:t>as</w:t>
      </w:r>
      <w:r w:rsidR="00AC763E">
        <w:rPr>
          <w:color w:val="000000"/>
        </w:rPr>
        <w:t xml:space="preserve"> shown in Fig 7. </w:t>
      </w:r>
      <w:r w:rsidR="00925191">
        <w:t>GATA2</w:t>
      </w:r>
      <w:r w:rsidR="00CB0799">
        <w:t>’s expression level stands out</w:t>
      </w:r>
      <w:r w:rsidR="00925191">
        <w:t xml:space="preserve"> </w:t>
      </w:r>
      <w:r w:rsidR="00925191" w:rsidRPr="00884B1B">
        <w:t xml:space="preserve">in </w:t>
      </w:r>
      <w:r w:rsidR="00925191">
        <w:t>EC</w:t>
      </w:r>
      <w:r w:rsidR="009D67B5">
        <w:t xml:space="preserve">. </w:t>
      </w:r>
    </w:p>
    <w:p w14:paraId="166627F5" w14:textId="3EF40298"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scRNA-seq of 11 weeks old mice </w:t>
      </w:r>
      <w:r>
        <w:rPr>
          <w:rFonts w:eastAsia="SimSun" w:hint="eastAsia"/>
          <w:lang w:eastAsia="zh-CN"/>
          <w14:ligatures w14:val="standard"/>
        </w:rPr>
        <w:t>data</w:t>
      </w:r>
      <w:r>
        <w:rPr>
          <w:rFonts w:eastAsia="SimSun"/>
          <w:lang w:eastAsia="zh-CN"/>
          <w14:ligatures w14:val="standard"/>
        </w:rPr>
        <w:t>set</w:t>
      </w:r>
    </w:p>
    <w:p w14:paraId="2006D68C" w14:textId="07C18F1F" w:rsidR="00FE18FF" w:rsidRDefault="00FA02E7" w:rsidP="00B5404C">
      <w:pPr>
        <w:pStyle w:val="AbsHead"/>
      </w:pPr>
      <w:r>
        <w:t xml:space="preserve">The second single cell transcriptomics dataset is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691AC1" w:rsidRPr="00691AC1">
            <w:rPr>
              <w:color w:val="000000"/>
            </w:rPr>
            <w:t>[17]</w:t>
          </w:r>
        </w:sdtContent>
      </w:sdt>
      <w:r w:rsidR="00480197" w:rsidRPr="00884B1B">
        <w:t xml:space="preserve"> which explored osteogenesis in adult mice and show that a bone-targeting, high affinity without causing adverse effects in other organs, which are known to reply on intact Notch signaling interactions.</w:t>
      </w:r>
      <w:r w:rsidR="00B5404C">
        <w:t xml:space="preserve"> </w:t>
      </w:r>
      <w:r w:rsidR="00B5404C" w:rsidRPr="00B5404C">
        <w:rPr>
          <w:highlight w:val="yellow"/>
        </w:rPr>
        <w:t>Single cell analysis of bone stromal cells indicates t GEO GSE152285.</w:t>
      </w:r>
      <w:r w:rsidR="00480197" w:rsidRPr="00884B1B">
        <w:t xml:space="preserve"> A</w:t>
      </w:r>
      <w:r w:rsidR="00480197" w:rsidRPr="00884B1B">
        <w:rPr>
          <w:rFonts w:hint="eastAsia"/>
        </w:rPr>
        <w:t>fter</w:t>
      </w:r>
      <w:r w:rsidR="00480197" w:rsidRPr="00884B1B">
        <w:t xml:space="preserve"> preprocess</w:t>
      </w:r>
      <w:r>
        <w:t>ing</w:t>
      </w:r>
      <w:r w:rsidR="00480197" w:rsidRPr="00884B1B">
        <w:t>, the scRNA-seq data matrix has 17015 cells and 15046 features(genes).</w:t>
      </w:r>
      <w:r w:rsidR="00B5404C">
        <w:t xml:space="preserve"> The authors of the study also provide</w:t>
      </w:r>
      <w:r w:rsidR="00480197" w:rsidRPr="00884B1B">
        <w:t xml:space="preserve"> </w:t>
      </w:r>
      <w:r w:rsidR="00B5404C">
        <w:t>t</w:t>
      </w:r>
      <w:r w:rsidR="00480197" w:rsidRPr="00884B1B">
        <w:rPr>
          <w:rFonts w:hint="eastAsia"/>
        </w:rPr>
        <w:t>he</w:t>
      </w:r>
      <w:r w:rsidR="00480197" w:rsidRPr="00884B1B">
        <w:t xml:space="preserve"> labels of each cell </w:t>
      </w:r>
      <w:r w:rsidR="00B5404C">
        <w:t>subtype</w:t>
      </w:r>
      <w:r w:rsidR="00480197" w:rsidRPr="00884B1B">
        <w:t xml:space="preserve"> </w:t>
      </w:r>
      <w:r w:rsidR="00B5404C">
        <w:t>such as</w:t>
      </w:r>
      <w:r w:rsidR="00480197" w:rsidRPr="00884B1B">
        <w:t xml:space="preserve"> CC (2270 cells), EC (1677 cells), Hematopoietic (HP) (849 cells), </w:t>
      </w:r>
      <w:r w:rsidR="000008F6">
        <w:t>mesenchymal stromal cells (</w:t>
      </w:r>
      <w:r w:rsidR="00480197" w:rsidRPr="00884B1B">
        <w:t>MSC</w:t>
      </w:r>
      <w:r w:rsidR="000008F6">
        <w:t>)</w:t>
      </w:r>
      <w:r w:rsidR="00480197" w:rsidRPr="00884B1B">
        <w:t xml:space="preserve"> (9168 cells), </w:t>
      </w:r>
      <w:r w:rsidR="000008F6">
        <w:t>osteoblast (</w:t>
      </w:r>
      <w:r w:rsidR="00480197" w:rsidRPr="00884B1B">
        <w:t>OB</w:t>
      </w:r>
      <w:r w:rsidR="000008F6">
        <w:t>)</w:t>
      </w:r>
      <w:r w:rsidR="00480197" w:rsidRPr="00884B1B">
        <w:t xml:space="preserve"> (971 cells), platelets (PL) (232 cells), proliferating Hem (PH) (1532 cells), </w:t>
      </w:r>
      <w:r w:rsidR="000008F6">
        <w:t>smooth muscle cells (</w:t>
      </w:r>
      <w:r w:rsidR="00480197" w:rsidRPr="00884B1B">
        <w:t>SMC</w:t>
      </w:r>
      <w:r w:rsidR="000008F6">
        <w:t>)</w:t>
      </w:r>
      <w:r w:rsidR="00480197" w:rsidRPr="00884B1B">
        <w:t xml:space="preserve"> (238 cells), MC (78 cells). </w:t>
      </w:r>
      <w:r>
        <w:t xml:space="preserve">We </w:t>
      </w:r>
      <w:r w:rsidR="00B5404C">
        <w:t>repeated their cell subtyping and show</w:t>
      </w:r>
      <w:r>
        <w:t xml:space="preserve"> in Fig 9 that our UMAP analysis approximately reproduces the authors’ sin</w:t>
      </w:r>
      <w:r w:rsidR="00480197" w:rsidRPr="00884B1B">
        <w:t>gle cell 2-D visualization</w:t>
      </w:r>
      <w:r>
        <w:t>.</w:t>
      </w:r>
      <w:r w:rsidR="00AE56DA" w:rsidRPr="00DA04E1">
        <w:rPr>
          <w:noProof/>
        </w:rPr>
        <mc:AlternateContent>
          <mc:Choice Requires="wps">
            <w:drawing>
              <wp:anchor distT="45720" distB="45720" distL="114300" distR="114300" simplePos="0" relativeHeight="251682816" behindDoc="0" locked="0" layoutInCell="1" allowOverlap="1" wp14:anchorId="526D1135" wp14:editId="54F66FD3">
                <wp:simplePos x="0" y="0"/>
                <wp:positionH relativeFrom="column">
                  <wp:posOffset>3415725</wp:posOffset>
                </wp:positionH>
                <wp:positionV relativeFrom="paragraph">
                  <wp:posOffset>1903695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D1135" id="_x0000_s1035" type="#_x0000_t202" style="position:absolute;margin-left:268.95pt;margin-top:149.9pt;width:235.3pt;height:264.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qJ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">
                <v:textbo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AE56DA" w:rsidRPr="00DA04E1">
        <w:rPr>
          <w:noProof/>
        </w:rPr>
        <mc:AlternateContent>
          <mc:Choice Requires="wps">
            <w:drawing>
              <wp:anchor distT="45720" distB="45720" distL="114300" distR="114300" simplePos="0" relativeHeight="251680768" behindDoc="0" locked="0" layoutInCell="1" allowOverlap="1" wp14:anchorId="419AAAD9" wp14:editId="322C52B6">
                <wp:simplePos x="0" y="0"/>
                <wp:positionH relativeFrom="margin">
                  <wp:align>right</wp:align>
                </wp:positionH>
                <wp:positionV relativeFrom="paragraph">
                  <wp:posOffset>12</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AAD9" id="_x0000_s1036" type="#_x0000_t202" style="position:absolute;margin-left:184.1pt;margin-top:0;width:235.3pt;height:138.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">
                <v:textbo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p>
    <w:p w14:paraId="7784A88D" w14:textId="279C4E10" w:rsidR="006437AD" w:rsidRDefault="00EB3109" w:rsidP="00085324">
      <w:pPr>
        <w:pStyle w:val="AbsHead"/>
      </w:pPr>
      <w:r w:rsidRPr="004C03C0">
        <w:rPr>
          <w:noProof/>
          <w:highlight w:val="green"/>
        </w:rPr>
        <mc:AlternateContent>
          <mc:Choice Requires="wps">
            <w:drawing>
              <wp:anchor distT="45720" distB="45720" distL="114300" distR="114300" simplePos="0" relativeHeight="251678720" behindDoc="0" locked="0" layoutInCell="1" allowOverlap="1" wp14:anchorId="45900022" wp14:editId="326B7F53">
                <wp:simplePos x="0" y="0"/>
                <wp:positionH relativeFrom="margin">
                  <wp:align>left</wp:align>
                </wp:positionH>
                <wp:positionV relativeFrom="paragraph">
                  <wp:posOffset>1514475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0022" id="_x0000_s1037" type="#_x0000_t202" style="position:absolute;margin-left:0;margin-top:119.25pt;width:235.3pt;height:137.4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">
                <v:textbo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8F1AB8">
        <w:t xml:space="preserve">The outcome of applying </w:t>
      </w:r>
      <w:proofErr w:type="spellStart"/>
      <w:r w:rsidR="008F1AB8">
        <w:t>rCom</w:t>
      </w:r>
      <w:proofErr w:type="spellEnd"/>
      <w:r w:rsidR="008F1AB8">
        <w:t xml:space="preserve"> to this dataset is summarized in </w:t>
      </w:r>
      <w:r w:rsidR="00FA02E7" w:rsidRPr="00884B1B">
        <w:t>Tab.</w:t>
      </w:r>
      <w:r w:rsidR="008F1AB8">
        <w:t xml:space="preserve"> </w:t>
      </w:r>
      <w:r w:rsidR="00FA02E7">
        <w:t>2</w:t>
      </w:r>
      <w:r w:rsidR="00FA02E7" w:rsidRPr="00884B1B">
        <w:t xml:space="preserve"> </w:t>
      </w:r>
      <w:r w:rsidR="008F1AB8">
        <w:t xml:space="preserve">in which only a portion of </w:t>
      </w:r>
      <w:r w:rsidR="00480197" w:rsidRPr="00884B1B">
        <w:t xml:space="preserve">communication routes with </w:t>
      </w:r>
      <w:r w:rsidR="008F1AB8">
        <w:t>their route score &gt;</w:t>
      </w:r>
      <w:r w:rsidR="00480197" w:rsidRPr="00884B1B">
        <w:t xml:space="preserve"> </w:t>
      </w:r>
      <w:r w:rsidR="00241030">
        <w:t>9</w:t>
      </w:r>
      <w:r w:rsidR="008F1AB8">
        <w:t xml:space="preserve"> </w:t>
      </w:r>
      <w:r w:rsidR="004164FF">
        <w:t>is</w:t>
      </w:r>
      <w:r w:rsidR="008F1AB8">
        <w:t xml:space="preserve"> shown</w:t>
      </w:r>
      <w:r w:rsidR="00FA02E7">
        <w:t xml:space="preserve">. </w:t>
      </w:r>
      <w:r w:rsidR="008F1AB8">
        <w:t xml:space="preserve">The network rendering </w:t>
      </w:r>
      <w:proofErr w:type="spellStart"/>
      <w:r w:rsidR="008F1AB8" w:rsidRPr="00884B1B">
        <w:t>rICRN</w:t>
      </w:r>
      <w:proofErr w:type="spellEnd"/>
      <w:r w:rsidR="008F1AB8" w:rsidRPr="00884B1B">
        <w:t xml:space="preserve"> of th</w:t>
      </w:r>
      <w:r w:rsidR="008F1AB8">
        <w:t>e</w:t>
      </w:r>
      <w:r w:rsidR="008F1AB8" w:rsidRPr="00884B1B">
        <w:t xml:space="preserve"> </w:t>
      </w:r>
      <w:r w:rsidR="008F1AB8">
        <w:t xml:space="preserve">generated </w:t>
      </w:r>
      <w:r w:rsidR="008F1AB8" w:rsidRPr="00D9594B">
        <w:t xml:space="preserve">communication routes using </w:t>
      </w:r>
      <w:proofErr w:type="spellStart"/>
      <w:r w:rsidR="008F1AB8" w:rsidRPr="00D9594B">
        <w:t>Pyvis</w:t>
      </w:r>
      <w:proofErr w:type="spellEnd"/>
      <w:r w:rsidR="008F1AB8" w:rsidRPr="00D9594B">
        <w:t xml:space="preserve"> is </w:t>
      </w:r>
      <w:r w:rsidR="004164FF">
        <w:t>given</w:t>
      </w:r>
      <w:r w:rsidR="008F1AB8" w:rsidRPr="00D9594B">
        <w:t xml:space="preserve"> </w:t>
      </w:r>
      <w:r w:rsidR="00480197" w:rsidRPr="00D9594B">
        <w:t xml:space="preserve">in </w:t>
      </w:r>
      <w:r w:rsidR="00A825BA" w:rsidRPr="00D9594B">
        <w:t>Fig</w:t>
      </w:r>
      <w:r w:rsidR="001226C1" w:rsidRPr="00D9594B">
        <w:t>.</w:t>
      </w:r>
      <w:r w:rsidR="002B214E" w:rsidRPr="00D9594B">
        <w:t>1</w:t>
      </w:r>
      <w:r w:rsidR="00D9594B">
        <w:t>1</w:t>
      </w:r>
      <w:r w:rsidR="00480197" w:rsidRPr="00D9594B">
        <w:t xml:space="preserve">. </w:t>
      </w:r>
      <w:r w:rsidR="00D9594B" w:rsidRPr="00D9594B">
        <w:t>Noticeable in the figure is that the</w:t>
      </w:r>
      <w:r w:rsidR="00480197" w:rsidRPr="00D9594B">
        <w:t xml:space="preserve"> communication between</w:t>
      </w:r>
      <w:r w:rsidR="00EA534F" w:rsidRPr="00D9594B">
        <w:t xml:space="preserve"> </w:t>
      </w:r>
      <w:r w:rsidR="00480197" w:rsidRPr="00D9594B">
        <w:t>SMC and PL has the largest</w:t>
      </w:r>
      <w:r w:rsidR="00480197" w:rsidRPr="00884B1B">
        <w:t xml:space="preserve"> number of </w:t>
      </w:r>
      <w:r w:rsidR="00480197" w:rsidRPr="00D9594B">
        <w:t>significant route pairs</w:t>
      </w:r>
      <w:r w:rsidR="00D9594B" w:rsidRPr="00D9594B">
        <w:t xml:space="preserve"> whereas</w:t>
      </w:r>
      <w:r w:rsidR="00480197" w:rsidRPr="00D9594B">
        <w:t xml:space="preserve"> the communication from MC to PH </w:t>
      </w:r>
      <w:r w:rsidR="00D9594B" w:rsidRPr="00D9594B">
        <w:t xml:space="preserve">has </w:t>
      </w:r>
      <w:r w:rsidR="00480197" w:rsidRPr="00D9594B">
        <w:t>only 2 route pairs.</w:t>
      </w:r>
      <w:r w:rsidR="00D9594B" w:rsidRPr="00D9594B">
        <w:t xml:space="preserve"> </w:t>
      </w:r>
      <w:r w:rsidR="004164FF">
        <w:t xml:space="preserve">In fact, the interaction between </w:t>
      </w:r>
      <w:r w:rsidR="004164FF" w:rsidRPr="00D9594B">
        <w:t xml:space="preserve">SMC and PL </w:t>
      </w:r>
      <w:r w:rsidR="008F6AD1">
        <w:t>appears to be well documented in the bone biology field</w:t>
      </w:r>
      <w:r w:rsidR="004164FF" w:rsidRPr="00D9594B">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691AC1" w:rsidRPr="00691AC1">
            <w:rPr>
              <w:color w:val="000000"/>
            </w:rPr>
            <w:t>[18]</w:t>
          </w:r>
        </w:sdtContent>
      </w:sdt>
      <w:r w:rsidR="004164FF" w:rsidRPr="00D9594B">
        <w:t xml:space="preserve">. </w:t>
      </w:r>
      <w:r w:rsidR="00D9594B" w:rsidRPr="00D9594B">
        <w:t xml:space="preserve">We elaborate on the </w:t>
      </w:r>
      <w:r w:rsidR="008F6AD1">
        <w:t xml:space="preserve">specific </w:t>
      </w:r>
      <w:r w:rsidR="00D9594B" w:rsidRPr="00D9594B">
        <w:t xml:space="preserve">route </w:t>
      </w:r>
      <w:r w:rsidR="0045290D" w:rsidRPr="00D9594B">
        <w:t>(</w:t>
      </w:r>
      <w:r w:rsidR="00D9594B" w:rsidRPr="00D9594B">
        <w:t>ID</w:t>
      </w:r>
      <w:r w:rsidR="0045290D" w:rsidRPr="00D9594B">
        <w:t>: 95696)</w:t>
      </w:r>
      <w:r w:rsidR="00D9594B">
        <w:t xml:space="preserve"> which acquired the highest route score </w:t>
      </w:r>
      <w:r w:rsidR="00D9594B">
        <w:t>12.64</w:t>
      </w:r>
      <w:r w:rsidR="004164FF">
        <w:t xml:space="preserve"> </w:t>
      </w:r>
      <w:r w:rsidR="008F6AD1">
        <w:t xml:space="preserve">by </w:t>
      </w:r>
      <w:proofErr w:type="spellStart"/>
      <w:r w:rsidR="008F6AD1">
        <w:t>rCom</w:t>
      </w:r>
      <w:proofErr w:type="spellEnd"/>
      <w:r w:rsidR="008F6AD1">
        <w:t xml:space="preserve"> </w:t>
      </w:r>
      <w:r w:rsidR="004164FF">
        <w:t xml:space="preserve">as shown in Tab 2. </w:t>
      </w:r>
      <w:r w:rsidR="00A825BA" w:rsidRPr="00D9594B">
        <w:t xml:space="preserve"> </w:t>
      </w:r>
      <w:r w:rsidR="008F6AD1">
        <w:t>The</w:t>
      </w:r>
      <w:r w:rsidR="004164FF">
        <w:t xml:space="preserve"> pictorial presentation of this route is shown in Fig 10</w:t>
      </w:r>
      <w:r w:rsidR="008F6AD1">
        <w:t xml:space="preserve"> which highlights </w:t>
      </w:r>
      <w:r w:rsidR="006E2B58" w:rsidRPr="00D9594B">
        <w:t xml:space="preserve">SMC as </w:t>
      </w:r>
      <w:r w:rsidR="008F6AD1">
        <w:t>the S</w:t>
      </w:r>
      <w:r w:rsidR="006E2B58" w:rsidRPr="00D9594B">
        <w:t>ecretor</w:t>
      </w:r>
      <w:r w:rsidR="008F6AD1">
        <w:t xml:space="preserve"> and </w:t>
      </w:r>
      <w:r w:rsidR="006E2B58" w:rsidRPr="00D9594B">
        <w:t>PL</w:t>
      </w:r>
      <w:r w:rsidR="008F6AD1">
        <w:t xml:space="preserve"> as the Receiver</w:t>
      </w:r>
      <w:r w:rsidR="006E2B58" w:rsidRPr="00D9594B">
        <w:t xml:space="preserve">. </w:t>
      </w:r>
      <w:r w:rsidR="008F6AD1">
        <w:t>In its ULR identification, the transcription factor</w:t>
      </w:r>
      <w:r w:rsidR="006E2B58" w:rsidRPr="00D9594B">
        <w:t xml:space="preserve"> </w:t>
      </w:r>
      <w:r w:rsidR="006E2B58" w:rsidRPr="00D9594B">
        <w:rPr>
          <w:color w:val="000000"/>
        </w:rPr>
        <w:t xml:space="preserve">TBX3 </w:t>
      </w:r>
      <w:r w:rsidR="008F6AD1">
        <w:rPr>
          <w:color w:val="000000"/>
        </w:rPr>
        <w:t>is estimated to target</w:t>
      </w:r>
      <w:r w:rsidR="006E2B58" w:rsidRPr="00D9594B">
        <w:rPr>
          <w:color w:val="000000"/>
        </w:rPr>
        <w:t xml:space="preserve"> COL18A</w:t>
      </w:r>
      <w:r w:rsidR="00290295">
        <w:rPr>
          <w:color w:val="000000"/>
        </w:rPr>
        <w:t xml:space="preserve"> in SMC, and then this</w:t>
      </w:r>
      <w:r w:rsidR="006E2B58" w:rsidRPr="00D9594B">
        <w:rPr>
          <w:color w:val="000000"/>
        </w:rPr>
        <w:t xml:space="preserve"> COL18A1 </w:t>
      </w:r>
      <w:r w:rsidR="00290295">
        <w:rPr>
          <w:color w:val="000000"/>
        </w:rPr>
        <w:t>binds to</w:t>
      </w:r>
      <w:r w:rsidR="006E2B58" w:rsidRPr="00D9594B">
        <w:rPr>
          <w:color w:val="000000"/>
        </w:rPr>
        <w:t xml:space="preserve"> </w:t>
      </w:r>
      <w:r w:rsidR="00290295">
        <w:rPr>
          <w:color w:val="000000"/>
        </w:rPr>
        <w:t xml:space="preserve">ITGB3 in PL. In the DRR identification, </w:t>
      </w:r>
      <w:r w:rsidR="006E2B58" w:rsidRPr="00D9594B">
        <w:rPr>
          <w:color w:val="000000"/>
        </w:rPr>
        <w:t xml:space="preserve">ITGB3 regulates its </w:t>
      </w:r>
      <w:r w:rsidR="00290295" w:rsidRPr="00D9594B">
        <w:rPr>
          <w:color w:val="000000"/>
        </w:rPr>
        <w:t>downstream</w:t>
      </w:r>
      <w:r w:rsidR="006E2B58" w:rsidRPr="00D9594B">
        <w:rPr>
          <w:color w:val="000000"/>
        </w:rPr>
        <w:t xml:space="preserve"> genes and </w:t>
      </w:r>
      <w:r w:rsidR="006E2B58" w:rsidRPr="00290295">
        <w:rPr>
          <w:color w:val="000000"/>
        </w:rPr>
        <w:t>activ</w:t>
      </w:r>
      <w:r w:rsidR="00290295" w:rsidRPr="00290295">
        <w:rPr>
          <w:color w:val="000000"/>
        </w:rPr>
        <w:t>at</w:t>
      </w:r>
      <w:r w:rsidR="006E2B58" w:rsidRPr="00290295">
        <w:rPr>
          <w:color w:val="000000"/>
        </w:rPr>
        <w:t xml:space="preserve">es the PIK family genes </w:t>
      </w:r>
      <w:r w:rsidR="00290295" w:rsidRPr="00290295">
        <w:rPr>
          <w:color w:val="000000"/>
        </w:rPr>
        <w:t xml:space="preserve">in PL as shown </w:t>
      </w:r>
      <w:r w:rsidR="006E2B58" w:rsidRPr="00290295">
        <w:rPr>
          <w:color w:val="000000"/>
        </w:rPr>
        <w:t>at the end of the route</w:t>
      </w:r>
      <w:r w:rsidR="00290295" w:rsidRPr="00290295">
        <w:rPr>
          <w:color w:val="000000"/>
        </w:rPr>
        <w:t xml:space="preserve"> </w:t>
      </w:r>
      <w:r w:rsidR="00290295">
        <w:rPr>
          <w:color w:val="000000"/>
        </w:rPr>
        <w:t>given</w:t>
      </w:r>
      <w:r w:rsidR="00290295" w:rsidRPr="00290295">
        <w:rPr>
          <w:color w:val="000000"/>
        </w:rPr>
        <w:t xml:space="preserve"> in Fig 10</w:t>
      </w:r>
      <w:r w:rsidR="006E2B58" w:rsidRPr="00290295">
        <w:rPr>
          <w:color w:val="000000"/>
        </w:rPr>
        <w:t>. T</w:t>
      </w:r>
      <w:r w:rsidR="006E2B58" w:rsidRPr="00290295">
        <w:t>he gene expression value</w:t>
      </w:r>
      <w:r w:rsidR="007B39C1">
        <w:t xml:space="preserve"> distribution for</w:t>
      </w:r>
      <w:r w:rsidR="006E2B58" w:rsidRPr="00290295">
        <w:t xml:space="preserve"> COL18A1 and ITGB3</w:t>
      </w:r>
      <w:r w:rsidR="007B39C1">
        <w:t xml:space="preserve"> is shown for all identified cell subtypes </w:t>
      </w:r>
      <w:r w:rsidR="006E2B58" w:rsidRPr="00290295">
        <w:t>using violin plot</w:t>
      </w:r>
      <w:r w:rsidR="007B39C1">
        <w:t>s</w:t>
      </w:r>
      <w:r w:rsidR="006E2B58">
        <w:t xml:space="preserve"> in Fig. 11</w:t>
      </w:r>
      <w:r w:rsidR="006E2B58" w:rsidRPr="00884B1B">
        <w:t>.</w:t>
      </w:r>
      <w:r w:rsidR="006E2B58" w:rsidRPr="00097A55">
        <w:t xml:space="preserve"> </w:t>
      </w:r>
      <w:r w:rsidR="007B39C1">
        <w:t xml:space="preserve">Noticeable here are that </w:t>
      </w:r>
      <w:r w:rsidR="00195992">
        <w:t>among</w:t>
      </w:r>
      <w:r w:rsidR="00097A55" w:rsidRPr="00884B1B">
        <w:t xml:space="preserve"> all cell </w:t>
      </w:r>
      <w:r w:rsidR="007B39C1">
        <w:t>subtypes</w:t>
      </w:r>
      <w:r w:rsidR="00097A55" w:rsidRPr="00884B1B">
        <w:t xml:space="preserve">, COL18A1 </w:t>
      </w:r>
      <w:r w:rsidR="007B4C03">
        <w:t xml:space="preserve">and ITGB3 are predominantly </w:t>
      </w:r>
      <w:r w:rsidR="00097A55" w:rsidRPr="00884B1B">
        <w:t>expressed</w:t>
      </w:r>
      <w:r w:rsidR="007B39C1">
        <w:t xml:space="preserve"> </w:t>
      </w:r>
      <w:r w:rsidR="00097A55" w:rsidRPr="00884B1B">
        <w:t>in the SMC and ITGB3</w:t>
      </w:r>
      <w:r w:rsidR="007B4C03">
        <w:t xml:space="preserve">, respectively. </w:t>
      </w:r>
      <w:r w:rsidR="00480197" w:rsidRPr="00884B1B">
        <w:t xml:space="preserve">Our literature </w:t>
      </w:r>
      <w:r w:rsidR="00195992">
        <w:t xml:space="preserve">survey reveals </w:t>
      </w:r>
      <w:r w:rsidR="00480197" w:rsidRPr="00884B1B">
        <w:t xml:space="preserve">that </w:t>
      </w:r>
      <w:r w:rsidR="001230E0">
        <w:t xml:space="preserve">according to </w:t>
      </w:r>
      <w:r w:rsidR="00480197" w:rsidRPr="00884B1B">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691AC1" w:rsidRPr="00691AC1">
            <w:rPr>
              <w:color w:val="000000"/>
            </w:rPr>
            <w:t>[19]</w:t>
          </w:r>
        </w:sdtContent>
      </w:sdt>
      <w:r w:rsidR="00480197" w:rsidRPr="00884B1B">
        <w:t xml:space="preserve"> </w:t>
      </w:r>
      <w:r w:rsidR="001230E0">
        <w:t xml:space="preserve">SMC and PL are interacting with each other and </w:t>
      </w:r>
      <w:r w:rsidR="001230E0" w:rsidRPr="00884B1B">
        <w:t xml:space="preserve">ITGB3 </w:t>
      </w:r>
      <w:r w:rsidR="00480197" w:rsidRPr="00884B1B">
        <w:t xml:space="preserve">plays </w:t>
      </w:r>
      <w:r w:rsidR="001230E0">
        <w:t xml:space="preserve">an </w:t>
      </w:r>
      <w:r w:rsidR="00480197" w:rsidRPr="00884B1B">
        <w:t xml:space="preserve">important role </w:t>
      </w:r>
      <w:r w:rsidR="00E82234">
        <w:t>in</w:t>
      </w:r>
      <w:r w:rsidR="00480197" w:rsidRPr="00884B1B">
        <w:t xml:space="preserve"> smoothing muscle-derived atherosclerotic plaque cells</w:t>
      </w:r>
      <w:r w:rsidR="001230E0">
        <w:t xml:space="preserve">. A similar report about the interface between SMC and PL is also </w:t>
      </w:r>
      <w:r w:rsidR="00772C80">
        <w:t xml:space="preserve">reported </w:t>
      </w:r>
      <w:r w:rsidR="001230E0" w:rsidRPr="007B4C03">
        <w:rPr>
          <w:highlight w:val="green"/>
        </w:rPr>
        <w:t xml:space="preserve">by </w:t>
      </w:r>
      <w:r w:rsidR="007B4C03" w:rsidRPr="007B4C03">
        <w:rPr>
          <w:highlight w:val="green"/>
        </w:rPr>
        <w:t xml:space="preserve">Inoue et al 2015 </w:t>
      </w:r>
      <w:sdt>
        <w:sdtPr>
          <w:rPr>
            <w:color w:val="000000"/>
            <w:highlight w:val="green"/>
          </w:rPr>
          <w:tag w:val="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Content>
          <w:r w:rsidR="00691AC1" w:rsidRPr="00691AC1">
            <w:rPr>
              <w:color w:val="000000"/>
              <w:highlight w:val="green"/>
            </w:rPr>
            <w:t>[20]</w:t>
          </w:r>
        </w:sdtContent>
      </w:sdt>
      <w:r w:rsidR="001230E0">
        <w:t xml:space="preserve"> </w:t>
      </w:r>
      <w:r w:rsidR="00772C80">
        <w:t>who state that</w:t>
      </w:r>
      <w:r w:rsidR="00E82234">
        <w:t xml:space="preserve"> </w:t>
      </w:r>
      <w:r w:rsidR="007B4C03">
        <w:t>smooth muscle c</w:t>
      </w:r>
      <w:r w:rsidR="00E82234">
        <w:t xml:space="preserve">ells </w:t>
      </w:r>
      <w:r w:rsidR="007B4C03">
        <w:t xml:space="preserve">stimulate </w:t>
      </w:r>
      <w:r w:rsidR="00E82234">
        <w:t xml:space="preserve">platelets </w:t>
      </w:r>
      <w:r w:rsidR="007B4C03">
        <w:t>in atherothrombosis.</w:t>
      </w:r>
      <w:r w:rsidR="00480197" w:rsidRPr="00884B1B">
        <w:t xml:space="preserve"> </w:t>
      </w:r>
      <w:r w:rsidR="002B214E" w:rsidRPr="00884B1B">
        <w:t xml:space="preserve">We </w:t>
      </w:r>
      <w:r w:rsidR="00E82234">
        <w:t>show</w:t>
      </w:r>
      <w:r w:rsidR="002B214E" w:rsidRPr="00884B1B">
        <w:t xml:space="preserve"> the gene expression value </w:t>
      </w:r>
      <w:r w:rsidR="00E82234">
        <w:t xml:space="preserve">distribution for </w:t>
      </w:r>
      <w:r w:rsidR="002B214E" w:rsidRPr="00884B1B">
        <w:t xml:space="preserve">all the TFs that </w:t>
      </w:r>
      <w:r w:rsidR="00E82234">
        <w:t xml:space="preserve">are known to </w:t>
      </w:r>
      <w:r w:rsidR="002B214E" w:rsidRPr="00884B1B">
        <w:t>regulate the COL18A1 includ</w:t>
      </w:r>
      <w:r w:rsidR="00E82234">
        <w:t xml:space="preserve">ing </w:t>
      </w:r>
      <w:r w:rsidR="002B214E" w:rsidRPr="00884B1B">
        <w:t>TFAP2A, TBX3, NUCKS1, SOX11 and RCOR2 in Fig 1</w:t>
      </w:r>
      <w:r w:rsidR="00DF5633">
        <w:t>3</w:t>
      </w:r>
      <w:r w:rsidR="002B214E" w:rsidRPr="00884B1B">
        <w:t xml:space="preserve">. Only </w:t>
      </w:r>
      <w:r w:rsidR="002B214E" w:rsidRPr="00884B1B">
        <w:lastRenderedPageBreak/>
        <w:t xml:space="preserve">TBX3 are highly expressed in the SMC </w:t>
      </w:r>
      <w:r w:rsidR="00B62B1C">
        <w:t>suggesting a support for</w:t>
      </w:r>
      <w:r w:rsidR="002B214E" w:rsidRPr="00884B1B">
        <w:t xml:space="preserve"> </w:t>
      </w:r>
      <w:proofErr w:type="spellStart"/>
      <w:r w:rsidR="002B214E" w:rsidRPr="00884B1B">
        <w:t>rCOM</w:t>
      </w:r>
      <w:r w:rsidR="00B62B1C">
        <w:t>’s</w:t>
      </w:r>
      <w:proofErr w:type="spellEnd"/>
      <w:r w:rsidR="002B214E" w:rsidRPr="00884B1B">
        <w:t xml:space="preserve"> pick</w:t>
      </w:r>
      <w:r w:rsidR="00B62B1C">
        <w:t xml:space="preserve"> of</w:t>
      </w:r>
      <w:r w:rsidR="002B214E" w:rsidRPr="00884B1B">
        <w:t xml:space="preserve"> TBX3 as the upstream for COL18A.</w:t>
      </w:r>
      <w:r w:rsidR="00772C80">
        <w:t xml:space="preserve"> </w:t>
      </w:r>
      <w:r w:rsidR="00F46E54">
        <w:t xml:space="preserve">Lastly, </w:t>
      </w:r>
      <w:r w:rsidR="00772C80" w:rsidRPr="007B4C03">
        <w:rPr>
          <w:highlight w:val="green"/>
        </w:rPr>
        <w:t xml:space="preserve">Sipola et al (2009) </w:t>
      </w:r>
      <w:sdt>
        <w:sdtPr>
          <w:rPr>
            <w:color w:val="000000"/>
            <w:highlight w:val="green"/>
          </w:rPr>
          <w:tag w:val="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Content>
          <w:r w:rsidR="00691AC1" w:rsidRPr="00691AC1">
            <w:rPr>
              <w:color w:val="000000"/>
              <w:highlight w:val="green"/>
            </w:rPr>
            <w:t>[21]</w:t>
          </w:r>
        </w:sdtContent>
      </w:sdt>
      <w:r w:rsidR="00772C80">
        <w:t xml:space="preserve"> </w:t>
      </w:r>
      <w:r w:rsidR="00F46E54">
        <w:t xml:space="preserve">report that </w:t>
      </w:r>
      <w:r w:rsidR="00772C80">
        <w:t>COL18A1 affects osteoblast behavior.</w:t>
      </w:r>
      <w:r w:rsidR="00F46E54">
        <w:t xml:space="preserve"> It remains to be seen how and if COL18A1 may play a role in interfacing SMC and PL in osteoblast driven bone biology.</w:t>
      </w:r>
    </w:p>
    <w:p w14:paraId="464D1EB5" w14:textId="79E71A20"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7F46D865" w14:textId="6E0BB0A9" w:rsidR="004C03C0" w:rsidRDefault="004C03C0" w:rsidP="00085324">
      <w:pPr>
        <w:pStyle w:val="AbsHead"/>
      </w:pPr>
      <w:r w:rsidRPr="004C03C0">
        <w:rPr>
          <w:highlight w:val="green"/>
        </w:rPr>
        <w:t xml:space="preserve">The key outcome from the case studies is that </w:t>
      </w:r>
      <w:proofErr w:type="spellStart"/>
      <w:r w:rsidRPr="004C03C0">
        <w:rPr>
          <w:highlight w:val="green"/>
        </w:rPr>
        <w:t>rCOM</w:t>
      </w:r>
      <w:proofErr w:type="spellEnd"/>
      <w:r w:rsidRPr="004C03C0">
        <w:rPr>
          <w:highlight w:val="green"/>
        </w:rPr>
        <w:t xml:space="preserve"> can be effective in inferring partially or incompletely known regulatory relationships to be filled based on the observation obtained from the single cell transcriptomics data.</w:t>
      </w:r>
    </w:p>
    <w:p w14:paraId="179FF28D" w14:textId="3D87013A" w:rsidR="00480197" w:rsidRPr="00884B1B" w:rsidRDefault="00480197" w:rsidP="00085324">
      <w:pPr>
        <w:pStyle w:val="AbsHead"/>
      </w:pPr>
      <w:r w:rsidRPr="00884B1B">
        <w:t xml:space="preserve">Developing </w:t>
      </w:r>
      <w:proofErr w:type="spellStart"/>
      <w:r w:rsidRPr="00884B1B">
        <w:t>rCom</w:t>
      </w:r>
      <w:proofErr w:type="spellEnd"/>
      <w:r w:rsidRPr="00884B1B">
        <w:t xml:space="preserve"> was motivated by inferencing the cell type communication at route-based level through gene signaling pathway route with ligand-receptor pairs mapped. Among all the existing methods, </w:t>
      </w:r>
      <w:proofErr w:type="spellStart"/>
      <w:r w:rsidRPr="00884B1B">
        <w:t>Ctyotalk</w:t>
      </w:r>
      <w:proofErr w:type="spellEnd"/>
      <w:r w:rsidRPr="00884B1B">
        <w:t xml:space="preserve"> returns a signal transduction network between cell types which is similar to </w:t>
      </w:r>
      <w:proofErr w:type="spellStart"/>
      <w:r w:rsidRPr="00884B1B">
        <w:t>rCOM</w:t>
      </w:r>
      <w:proofErr w:type="spellEnd"/>
      <w:r w:rsidRPr="00884B1B">
        <w:t xml:space="preserve">. The difference between </w:t>
      </w:r>
      <w:proofErr w:type="spellStart"/>
      <w:r w:rsidRPr="00884B1B">
        <w:t>rCom</w:t>
      </w:r>
      <w:proofErr w:type="spellEnd"/>
      <w:r w:rsidRPr="00884B1B">
        <w:t xml:space="preserve"> and </w:t>
      </w:r>
      <w:proofErr w:type="spellStart"/>
      <w:r w:rsidRPr="00884B1B">
        <w:t>Cytoalk</w:t>
      </w:r>
      <w:proofErr w:type="spellEnd"/>
      <w:r w:rsidRPr="00884B1B">
        <w:t xml:space="preserve"> </w:t>
      </w:r>
      <w:r w:rsidR="00DE5834">
        <w:t xml:space="preserve">is </w:t>
      </w:r>
      <w:r w:rsidRPr="00884B1B">
        <w:t xml:space="preserve">how we borrow the strength of prior knowledge. The network inferred by </w:t>
      </w:r>
      <w:proofErr w:type="spellStart"/>
      <w:r w:rsidRPr="00884B1B">
        <w:t>Cytotalk</w:t>
      </w:r>
      <w:proofErr w:type="spellEnd"/>
      <w:r w:rsidRPr="00884B1B">
        <w:t xml:space="preserve"> is data driven while </w:t>
      </w:r>
      <w:proofErr w:type="spellStart"/>
      <w:r w:rsidRPr="00884B1B">
        <w:t>rCom</w:t>
      </w:r>
      <w:proofErr w:type="spellEnd"/>
      <w:r w:rsidRPr="00884B1B">
        <w:t xml:space="preserve"> try to identify the meaningful network by connecting routes which are already well studied and supported by wet lab experiment</w:t>
      </w:r>
      <w:r w:rsidR="004B5D46">
        <w:t>s</w:t>
      </w:r>
      <w:r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Pr="00884B1B">
        <w:t xml:space="preserve"> The </w:t>
      </w:r>
      <w:proofErr w:type="spellStart"/>
      <w:r w:rsidRPr="00884B1B">
        <w:t>rCom</w:t>
      </w:r>
      <w:proofErr w:type="spellEnd"/>
      <w:r w:rsidR="00512250">
        <w:t xml:space="preserve"> framework</w:t>
      </w:r>
      <w:r w:rsidRPr="00884B1B">
        <w:t xml:space="preserve"> provides a new way of using well-established prior knowledge to translate the communication behavior. </w:t>
      </w:r>
    </w:p>
    <w:p w14:paraId="6E28DB2B" w14:textId="59828677" w:rsidR="00480197" w:rsidRPr="00884B1B" w:rsidRDefault="00480197" w:rsidP="00085324">
      <w:pPr>
        <w:pStyle w:val="AbsHead"/>
      </w:pPr>
      <w:proofErr w:type="spellStart"/>
      <w:r w:rsidRPr="00884B1B">
        <w:t>rCOM</w:t>
      </w:r>
      <w:proofErr w:type="spellEnd"/>
      <w:r w:rsidRPr="00884B1B">
        <w:t xml:space="preserve"> also provide a new way for combining biological knowledge databases </w:t>
      </w:r>
      <w:r w:rsidR="00BF05D1">
        <w:t>to study</w:t>
      </w:r>
      <w:r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Ml3igJNbMjR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691AC1" w:rsidRPr="00691AC1">
            <w:rPr>
              <w:color w:val="000000"/>
            </w:rPr>
            <w:t>[22]</w:t>
          </w:r>
          <w:proofErr w:type="gramStart"/>
          <w:r w:rsidR="00691AC1" w:rsidRPr="00691AC1">
            <w:rPr>
              <w:color w:val="000000"/>
            </w:rPr>
            <w:t>–[</w:t>
          </w:r>
          <w:proofErr w:type="gramEnd"/>
          <w:r w:rsidR="00691AC1" w:rsidRPr="00691AC1">
            <w:rPr>
              <w:color w:val="000000"/>
            </w:rPr>
            <w:t>24]</w:t>
          </w:r>
        </w:sdtContent>
      </w:sdt>
      <w:r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V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691AC1" w:rsidRPr="00691AC1">
            <w:rPr>
              <w:color w:val="000000"/>
            </w:rPr>
            <w:t>[25]</w:t>
          </w:r>
        </w:sdtContent>
      </w:sdt>
      <w:r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Nl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691AC1" w:rsidRPr="00691AC1">
            <w:rPr>
              <w:color w:val="000000"/>
            </w:rPr>
            <w:t>[26]</w:t>
          </w:r>
        </w:sdtContent>
      </w:sdt>
      <w:r w:rsidRPr="00884B1B">
        <w:t xml:space="preserve">. In our previous work, </w:t>
      </w:r>
      <w:proofErr w:type="spellStart"/>
      <w:r w:rsidRPr="00884B1B">
        <w:t>ctBuilder</w:t>
      </w:r>
      <w:proofErr w:type="spellEnd"/>
      <w:r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N1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691AC1" w:rsidRPr="00691AC1">
            <w:rPr>
              <w:color w:val="000000"/>
            </w:rPr>
            <w:t>[27]</w:t>
          </w:r>
        </w:sdtContent>
      </w:sdt>
      <w:r w:rsidRPr="00884B1B">
        <w:t xml:space="preserve"> is developed to identify a subnetwork interconnecting two pathways. However, with combination of ligand-receptor pairs databases and curated gene signaling pathway databases, the </w:t>
      </w:r>
      <w:proofErr w:type="spellStart"/>
      <w:r w:rsidRPr="00884B1B">
        <w:t>rCom</w:t>
      </w:r>
      <w:proofErr w:type="spellEnd"/>
      <w:r w:rsidRPr="00884B1B">
        <w:t xml:space="preserve"> </w:t>
      </w:r>
      <w:r w:rsidR="00152BC0">
        <w:t xml:space="preserve">framework </w:t>
      </w:r>
      <w:r w:rsidRPr="00884B1B">
        <w:t xml:space="preserve">can provide a novel aspect of exploring and identifying pathway crosstalk, which is the connection between ligand and receptor pairs. More </w:t>
      </w:r>
      <w:r w:rsidR="0018593F">
        <w:t>specifically</w:t>
      </w:r>
      <w:r w:rsidRPr="00884B1B">
        <w:t xml:space="preserve">, without finding NIC, signal </w:t>
      </w:r>
      <w:r w:rsidR="00876C7D">
        <w:t>originating</w:t>
      </w:r>
      <w:r w:rsidRPr="00884B1B">
        <w:t xml:space="preserve"> from </w:t>
      </w:r>
      <w:r w:rsidR="00FB3CCC">
        <w:t>ULR</w:t>
      </w:r>
      <w:r w:rsidRPr="00884B1B">
        <w:t xml:space="preserve"> </w:t>
      </w:r>
      <w:r w:rsidR="00FD387B">
        <w:t>of</w:t>
      </w:r>
      <w:r w:rsidRPr="00884B1B">
        <w:t xml:space="preserve"> pathway A </w:t>
      </w:r>
      <w:r w:rsidR="00FD387B">
        <w:t xml:space="preserve">in one cell </w:t>
      </w:r>
      <w:r w:rsidRPr="00884B1B">
        <w:t xml:space="preserve">can impact its downstream gene in </w:t>
      </w:r>
      <w:r w:rsidR="00FB3CCC">
        <w:t>DRR</w:t>
      </w:r>
      <w:r w:rsidRPr="00884B1B">
        <w:t xml:space="preserve"> which is derived from a different pathway B</w:t>
      </w:r>
      <w:r w:rsidR="004F1912">
        <w:t xml:space="preserve"> in another cell</w:t>
      </w:r>
      <w:r w:rsidR="00421D28">
        <w:t>. These two routes can be connected</w:t>
      </w:r>
      <w:r w:rsidRPr="00884B1B">
        <w:t xml:space="preserve"> through the ligand-receptor pairs which is not originally </w:t>
      </w:r>
      <w:r w:rsidR="00421D28">
        <w:t>annotated in</w:t>
      </w:r>
      <w:r w:rsidRPr="00884B1B">
        <w:t xml:space="preserve"> pathways b</w:t>
      </w:r>
      <w:r w:rsidR="00045009">
        <w:t>ut</w:t>
      </w:r>
      <w:r w:rsidRPr="00884B1B">
        <w:t xml:space="preserve"> supported by curated ligand-receptor databases. By analyzing the communication route pairs, unknown crosstalk between two independent pathways might be identified. </w:t>
      </w:r>
    </w:p>
    <w:p w14:paraId="6538F89E" w14:textId="45C300BF"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yO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691AC1" w:rsidRPr="00691AC1">
            <w:rPr>
              <w:color w:val="000000"/>
            </w:rPr>
            <w:t>[28]</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787AF3">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w:t>
      </w:r>
      <w:r w:rsidR="0001493D">
        <w:t xml:space="preserve">the spatial genomic data, </w:t>
      </w:r>
      <w:r w:rsidR="00461A78">
        <w:t>the interaction between cells instead of cell types may be identified and validated</w:t>
      </w:r>
      <w:r w:rsidR="00FC445F">
        <w:t xml:space="preserve">.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56C590CA" w14:textId="77777777" w:rsidR="00691AC1" w:rsidRDefault="00691AC1">
          <w:pPr>
            <w:autoSpaceDE w:val="0"/>
            <w:autoSpaceDN w:val="0"/>
            <w:ind w:hanging="640"/>
            <w:divId w:val="1694457313"/>
            <w:rPr>
              <w:rFonts w:eastAsia="Times New Roman"/>
              <w:sz w:val="24"/>
              <w:szCs w:val="24"/>
            </w:rPr>
          </w:pPr>
          <w:r>
            <w:rPr>
              <w:rFonts w:eastAsia="Times New Roman"/>
            </w:rPr>
            <w:t>[1]</w:t>
          </w:r>
          <w:r>
            <w:rPr>
              <w:rFonts w:eastAsia="Times New Roman"/>
            </w:rPr>
            <w:tab/>
            <w:t xml:space="preserve">D. A. Skelly </w:t>
          </w:r>
          <w:r>
            <w:rPr>
              <w:rFonts w:eastAsia="Times New Roman"/>
              <w:i/>
              <w:iCs/>
            </w:rPr>
            <w:t>et al.</w:t>
          </w:r>
          <w:r>
            <w:rPr>
              <w:rFonts w:eastAsia="Times New Roman"/>
            </w:rPr>
            <w:t xml:space="preserve">, “Single-Cell Transcriptional Profiling Reveals Cellular Diversity and Intercommunication in the Mouse Heart,” </w:t>
          </w:r>
          <w:r>
            <w:rPr>
              <w:rFonts w:eastAsia="Times New Roman"/>
              <w:i/>
              <w:iCs/>
            </w:rPr>
            <w:t>Cell Reports</w:t>
          </w:r>
          <w:r>
            <w:rPr>
              <w:rFonts w:eastAsia="Times New Roman"/>
            </w:rPr>
            <w:t xml:space="preserve">, vol. 22, no. 3, pp. 600–610, Jan. 2018, </w:t>
          </w:r>
          <w:proofErr w:type="spellStart"/>
          <w:r>
            <w:rPr>
              <w:rFonts w:eastAsia="Times New Roman"/>
            </w:rPr>
            <w:t>doi</w:t>
          </w:r>
          <w:proofErr w:type="spellEnd"/>
          <w:r>
            <w:rPr>
              <w:rFonts w:eastAsia="Times New Roman"/>
            </w:rPr>
            <w:t>: 10.1016/J.CELREP.2017.12.072.</w:t>
          </w:r>
        </w:p>
        <w:p w14:paraId="74507BE2" w14:textId="77777777" w:rsidR="00691AC1" w:rsidRDefault="00691AC1">
          <w:pPr>
            <w:autoSpaceDE w:val="0"/>
            <w:autoSpaceDN w:val="0"/>
            <w:ind w:hanging="640"/>
            <w:divId w:val="616066497"/>
            <w:rPr>
              <w:rFonts w:eastAsia="Times New Roman"/>
            </w:rPr>
          </w:pPr>
          <w:r>
            <w:rPr>
              <w:rFonts w:eastAsia="Times New Roman"/>
            </w:rPr>
            <w:t>[2]</w:t>
          </w:r>
          <w:r>
            <w:rPr>
              <w:rFonts w:eastAsia="Times New Roman"/>
            </w:rPr>
            <w:tab/>
            <w:t xml:space="preserve">M. P. Kumar </w:t>
          </w:r>
          <w:r>
            <w:rPr>
              <w:rFonts w:eastAsia="Times New Roman"/>
              <w:i/>
              <w:iCs/>
            </w:rPr>
            <w:t>et al.</w:t>
          </w:r>
          <w:r>
            <w:rPr>
              <w:rFonts w:eastAsia="Times New Roman"/>
            </w:rPr>
            <w:t xml:space="preserve">, “Analysis of Single-Cell RNA-Seq Identifies Cell-Cell Communication Associated with Tumor Characteristics,” </w:t>
          </w:r>
          <w:r>
            <w:rPr>
              <w:rFonts w:eastAsia="Times New Roman"/>
              <w:i/>
              <w:iCs/>
            </w:rPr>
            <w:t>Cell Reports</w:t>
          </w:r>
          <w:r>
            <w:rPr>
              <w:rFonts w:eastAsia="Times New Roman"/>
            </w:rPr>
            <w:t xml:space="preserve">, vol. 25, no. 6, pp. 1458-1468.e4, Nov. 2018, </w:t>
          </w:r>
          <w:proofErr w:type="spellStart"/>
          <w:r>
            <w:rPr>
              <w:rFonts w:eastAsia="Times New Roman"/>
            </w:rPr>
            <w:t>doi</w:t>
          </w:r>
          <w:proofErr w:type="spellEnd"/>
          <w:r>
            <w:rPr>
              <w:rFonts w:eastAsia="Times New Roman"/>
            </w:rPr>
            <w:t>: 10.1016/J.CELREP.2018.10.047.</w:t>
          </w:r>
        </w:p>
        <w:p w14:paraId="4EAD7986" w14:textId="77777777" w:rsidR="00691AC1" w:rsidRDefault="00691AC1">
          <w:pPr>
            <w:autoSpaceDE w:val="0"/>
            <w:autoSpaceDN w:val="0"/>
            <w:ind w:hanging="640"/>
            <w:divId w:val="870538051"/>
            <w:rPr>
              <w:rFonts w:eastAsia="Times New Roman"/>
            </w:rPr>
          </w:pPr>
          <w:r>
            <w:rPr>
              <w:rFonts w:eastAsia="Times New Roman"/>
            </w:rPr>
            <w:t>[3]</w:t>
          </w:r>
          <w:r>
            <w:rPr>
              <w:rFonts w:eastAsia="Times New Roman"/>
            </w:rPr>
            <w:tab/>
            <w:t xml:space="preserve">J. X. Zhou, R. </w:t>
          </w:r>
          <w:proofErr w:type="spellStart"/>
          <w:r>
            <w:rPr>
              <w:rFonts w:eastAsia="Times New Roman"/>
            </w:rPr>
            <w:t>Taramelli</w:t>
          </w:r>
          <w:proofErr w:type="spellEnd"/>
          <w:r>
            <w:rPr>
              <w:rFonts w:eastAsia="Times New Roman"/>
            </w:rPr>
            <w:t xml:space="preserve">, E. Pedrini, T. </w:t>
          </w:r>
          <w:proofErr w:type="spellStart"/>
          <w:r>
            <w:rPr>
              <w:rFonts w:eastAsia="Times New Roman"/>
            </w:rPr>
            <w:t>Knijnenburg</w:t>
          </w:r>
          <w:proofErr w:type="spellEnd"/>
          <w:r>
            <w:rPr>
              <w:rFonts w:eastAsia="Times New Roman"/>
            </w:rPr>
            <w:t xml:space="preserve">, and S. Huang, “Extracting Intercellular Signaling Network of Cancer Tissues using Ligand-Receptor Expression Patterns from Whole-tumor and Single-cell Transcriptomes,” </w:t>
          </w:r>
          <w:r>
            <w:rPr>
              <w:rFonts w:eastAsia="Times New Roman"/>
              <w:i/>
              <w:iCs/>
            </w:rPr>
            <w:t>Scientific Reports 2017 7:1</w:t>
          </w:r>
          <w:r>
            <w:rPr>
              <w:rFonts w:eastAsia="Times New Roman"/>
            </w:rPr>
            <w:t xml:space="preserve">, vol. 7, no. 1, pp. 1–15, Aug. 2017, </w:t>
          </w:r>
          <w:proofErr w:type="spellStart"/>
          <w:r>
            <w:rPr>
              <w:rFonts w:eastAsia="Times New Roman"/>
            </w:rPr>
            <w:t>doi</w:t>
          </w:r>
          <w:proofErr w:type="spellEnd"/>
          <w:r>
            <w:rPr>
              <w:rFonts w:eastAsia="Times New Roman"/>
            </w:rPr>
            <w:t>: 10.1038/s41598-017-09307-w.</w:t>
          </w:r>
        </w:p>
        <w:p w14:paraId="701BDD39" w14:textId="77777777" w:rsidR="00691AC1" w:rsidRDefault="00691AC1">
          <w:pPr>
            <w:autoSpaceDE w:val="0"/>
            <w:autoSpaceDN w:val="0"/>
            <w:ind w:hanging="640"/>
            <w:divId w:val="840126931"/>
            <w:rPr>
              <w:rFonts w:eastAsia="Times New Roman"/>
            </w:rPr>
          </w:pPr>
          <w:r>
            <w:rPr>
              <w:rFonts w:eastAsia="Times New Roman"/>
            </w:rPr>
            <w:t>[4]</w:t>
          </w:r>
          <w:r>
            <w:rPr>
              <w:rFonts w:eastAsia="Times New Roman"/>
            </w:rPr>
            <w:tab/>
            <w:t>R. Vento-</w:t>
          </w:r>
          <w:proofErr w:type="spellStart"/>
          <w:r>
            <w:rPr>
              <w:rFonts w:eastAsia="Times New Roman"/>
            </w:rPr>
            <w:t>Tormo</w:t>
          </w:r>
          <w:proofErr w:type="spellEnd"/>
          <w:r>
            <w:rPr>
              <w:rFonts w:eastAsia="Times New Roman"/>
            </w:rPr>
            <w:t xml:space="preserve"> </w:t>
          </w:r>
          <w:r>
            <w:rPr>
              <w:rFonts w:eastAsia="Times New Roman"/>
              <w:i/>
              <w:iCs/>
            </w:rPr>
            <w:t>et al.</w:t>
          </w:r>
          <w:r>
            <w:rPr>
              <w:rFonts w:eastAsia="Times New Roman"/>
            </w:rPr>
            <w:t xml:space="preserve">, “Single-cell reconstruction of the early maternal–fetal interface in humans,” </w:t>
          </w:r>
          <w:r>
            <w:rPr>
              <w:rFonts w:eastAsia="Times New Roman"/>
              <w:i/>
              <w:iCs/>
            </w:rPr>
            <w:t>Nature 2018 563:7731</w:t>
          </w:r>
          <w:r>
            <w:rPr>
              <w:rFonts w:eastAsia="Times New Roman"/>
            </w:rPr>
            <w:t xml:space="preserve">, vol. 563, no. 7731, pp. 347–353, Nov. 2018, </w:t>
          </w:r>
          <w:proofErr w:type="spellStart"/>
          <w:r>
            <w:rPr>
              <w:rFonts w:eastAsia="Times New Roman"/>
            </w:rPr>
            <w:t>doi</w:t>
          </w:r>
          <w:proofErr w:type="spellEnd"/>
          <w:r>
            <w:rPr>
              <w:rFonts w:eastAsia="Times New Roman"/>
            </w:rPr>
            <w:t>: 10.1038/s41586-018-0698-6.</w:t>
          </w:r>
        </w:p>
        <w:p w14:paraId="7802C1D9" w14:textId="77777777" w:rsidR="00691AC1" w:rsidRDefault="00691AC1">
          <w:pPr>
            <w:autoSpaceDE w:val="0"/>
            <w:autoSpaceDN w:val="0"/>
            <w:ind w:hanging="640"/>
            <w:divId w:val="758261041"/>
            <w:rPr>
              <w:rFonts w:eastAsia="Times New Roman"/>
            </w:rPr>
          </w:pPr>
          <w:r>
            <w:rPr>
              <w:rFonts w:eastAsia="Times New Roman"/>
            </w:rPr>
            <w:t>[5]</w:t>
          </w:r>
          <w:r>
            <w:rPr>
              <w:rFonts w:eastAsia="Times New Roman"/>
            </w:rPr>
            <w:tab/>
            <w:t xml:space="preserve">S. Wang, M. </w:t>
          </w:r>
          <w:proofErr w:type="spellStart"/>
          <w:r>
            <w:rPr>
              <w:rFonts w:eastAsia="Times New Roman"/>
            </w:rPr>
            <w:t>Karikomi</w:t>
          </w:r>
          <w:proofErr w:type="spellEnd"/>
          <w:r>
            <w:rPr>
              <w:rFonts w:eastAsia="Times New Roman"/>
            </w:rPr>
            <w:t xml:space="preserve">, A. L. Maclean, and Q. Nie, “Cell lineage and communication network inference via optimization for single-cell transcriptomics,” </w:t>
          </w:r>
          <w:r>
            <w:rPr>
              <w:rFonts w:eastAsia="Times New Roman"/>
              <w:i/>
              <w:iCs/>
            </w:rPr>
            <w:t>Nucleic Acids Research</w:t>
          </w:r>
          <w:r>
            <w:rPr>
              <w:rFonts w:eastAsia="Times New Roman"/>
            </w:rPr>
            <w:t xml:space="preserve">, vol. 47, no. 11, pp. e66–e66, Jun. 2019, </w:t>
          </w:r>
          <w:proofErr w:type="spellStart"/>
          <w:r>
            <w:rPr>
              <w:rFonts w:eastAsia="Times New Roman"/>
            </w:rPr>
            <w:t>doi</w:t>
          </w:r>
          <w:proofErr w:type="spellEnd"/>
          <w:r>
            <w:rPr>
              <w:rFonts w:eastAsia="Times New Roman"/>
            </w:rPr>
            <w:t>: 10.1093/NAR/GKZ204.</w:t>
          </w:r>
        </w:p>
        <w:p w14:paraId="1CD3A2A3" w14:textId="77777777" w:rsidR="00691AC1" w:rsidRDefault="00691AC1">
          <w:pPr>
            <w:autoSpaceDE w:val="0"/>
            <w:autoSpaceDN w:val="0"/>
            <w:ind w:hanging="640"/>
            <w:divId w:val="1572346218"/>
            <w:rPr>
              <w:rFonts w:eastAsia="Times New Roman"/>
            </w:rPr>
          </w:pPr>
          <w:r>
            <w:rPr>
              <w:rFonts w:eastAsia="Times New Roman"/>
            </w:rPr>
            <w:t>[6]</w:t>
          </w:r>
          <w:r>
            <w:rPr>
              <w:rFonts w:eastAsia="Times New Roman"/>
            </w:rPr>
            <w:tab/>
            <w:t xml:space="preserve">R. </w:t>
          </w:r>
          <w:proofErr w:type="spellStart"/>
          <w:r>
            <w:rPr>
              <w:rFonts w:eastAsia="Times New Roman"/>
            </w:rPr>
            <w:t>Browaeys</w:t>
          </w:r>
          <w:proofErr w:type="spellEnd"/>
          <w:r>
            <w:rPr>
              <w:rFonts w:eastAsia="Times New Roman"/>
            </w:rPr>
            <w:t xml:space="preserve">, W. Saelens, and Y. </w:t>
          </w:r>
          <w:proofErr w:type="spellStart"/>
          <w:r>
            <w:rPr>
              <w:rFonts w:eastAsia="Times New Roman"/>
            </w:rPr>
            <w:t>Saeys</w:t>
          </w:r>
          <w:proofErr w:type="spellEnd"/>
          <w:r>
            <w:rPr>
              <w:rFonts w:eastAsia="Times New Roman"/>
            </w:rPr>
            <w:t>, “</w:t>
          </w:r>
          <w:proofErr w:type="spellStart"/>
          <w:r>
            <w:rPr>
              <w:rFonts w:eastAsia="Times New Roman"/>
            </w:rPr>
            <w:t>NicheNet</w:t>
          </w:r>
          <w:proofErr w:type="spellEnd"/>
          <w:r>
            <w:rPr>
              <w:rFonts w:eastAsia="Times New Roman"/>
            </w:rPr>
            <w:t xml:space="preserve">: modeling intercellular communication by linking ligands to target genes,” </w:t>
          </w:r>
          <w:r>
            <w:rPr>
              <w:rFonts w:eastAsia="Times New Roman"/>
              <w:i/>
              <w:iCs/>
            </w:rPr>
            <w:t>Nature Methods 2019 17:2</w:t>
          </w:r>
          <w:r>
            <w:rPr>
              <w:rFonts w:eastAsia="Times New Roman"/>
            </w:rPr>
            <w:t xml:space="preserve">, vol. 17, no. 2, pp. 159–162, Dec. 2019, </w:t>
          </w:r>
          <w:proofErr w:type="spellStart"/>
          <w:r>
            <w:rPr>
              <w:rFonts w:eastAsia="Times New Roman"/>
            </w:rPr>
            <w:t>doi</w:t>
          </w:r>
          <w:proofErr w:type="spellEnd"/>
          <w:r>
            <w:rPr>
              <w:rFonts w:eastAsia="Times New Roman"/>
            </w:rPr>
            <w:t>: 10.1038/s41592-019-0667-5.</w:t>
          </w:r>
        </w:p>
        <w:p w14:paraId="7E1303FA" w14:textId="77777777" w:rsidR="00691AC1" w:rsidRDefault="00691AC1">
          <w:pPr>
            <w:autoSpaceDE w:val="0"/>
            <w:autoSpaceDN w:val="0"/>
            <w:ind w:hanging="640"/>
            <w:divId w:val="148864635"/>
            <w:rPr>
              <w:rFonts w:eastAsia="Times New Roman"/>
            </w:rPr>
          </w:pPr>
          <w:r>
            <w:rPr>
              <w:rFonts w:eastAsia="Times New Roman"/>
            </w:rPr>
            <w:t>[7]</w:t>
          </w:r>
          <w:r>
            <w:rPr>
              <w:rFonts w:eastAsia="Times New Roman"/>
            </w:rPr>
            <w:tab/>
            <w:t>Y. Hu, T. Peng, L. Gao, and K. Tan, “</w:t>
          </w:r>
          <w:proofErr w:type="spellStart"/>
          <w:r>
            <w:rPr>
              <w:rFonts w:eastAsia="Times New Roman"/>
            </w:rPr>
            <w:t>CytoTalk</w:t>
          </w:r>
          <w:proofErr w:type="spellEnd"/>
          <w:r>
            <w:rPr>
              <w:rFonts w:eastAsia="Times New Roman"/>
            </w:rPr>
            <w:t xml:space="preserve">: De novo construction of signal transduction networks using single-cell transcriptomic data,” </w:t>
          </w:r>
          <w:r>
            <w:rPr>
              <w:rFonts w:eastAsia="Times New Roman"/>
              <w:i/>
              <w:iCs/>
            </w:rPr>
            <w:t>Science Advances</w:t>
          </w:r>
          <w:r>
            <w:rPr>
              <w:rFonts w:eastAsia="Times New Roman"/>
            </w:rPr>
            <w:t xml:space="preserve">, vol. 7, no. 16, Apr. 2021, </w:t>
          </w:r>
          <w:proofErr w:type="spellStart"/>
          <w:r>
            <w:rPr>
              <w:rFonts w:eastAsia="Times New Roman"/>
            </w:rPr>
            <w:t>doi</w:t>
          </w:r>
          <w:proofErr w:type="spellEnd"/>
          <w:r>
            <w:rPr>
              <w:rFonts w:eastAsia="Times New Roman"/>
            </w:rPr>
            <w:t>: 10.1126/SCIADV.ABF1356/SUPPL_FILE/ABF1356_TABLE_S6.XLSX.</w:t>
          </w:r>
        </w:p>
        <w:p w14:paraId="3A8C99F0" w14:textId="77777777" w:rsidR="00691AC1" w:rsidRDefault="00691AC1">
          <w:pPr>
            <w:autoSpaceDE w:val="0"/>
            <w:autoSpaceDN w:val="0"/>
            <w:ind w:hanging="640"/>
            <w:divId w:val="1960333498"/>
            <w:rPr>
              <w:rFonts w:eastAsia="Times New Roman"/>
            </w:rPr>
          </w:pPr>
          <w:r>
            <w:rPr>
              <w:rFonts w:eastAsia="Times New Roman"/>
            </w:rPr>
            <w:t>[8]</w:t>
          </w:r>
          <w:r>
            <w:rPr>
              <w:rFonts w:eastAsia="Times New Roman"/>
            </w:rPr>
            <w:tab/>
            <w:t xml:space="preserve">T. H. Hoang </w:t>
          </w:r>
          <w:r>
            <w:rPr>
              <w:rFonts w:eastAsia="Times New Roman"/>
              <w:i/>
              <w:iCs/>
            </w:rPr>
            <w:t>et al.</w:t>
          </w:r>
          <w:r>
            <w:rPr>
              <w:rFonts w:eastAsia="Times New Roman"/>
            </w:rPr>
            <w:t>, “</w:t>
          </w:r>
          <w:proofErr w:type="spellStart"/>
          <w:r>
            <w:rPr>
              <w:rFonts w:eastAsia="Times New Roman"/>
            </w:rPr>
            <w:t>BioTarget</w:t>
          </w:r>
          <w:proofErr w:type="spellEnd"/>
          <w:r>
            <w:rPr>
              <w:rFonts w:eastAsia="Times New Roman"/>
            </w:rPr>
            <w:t xml:space="preserve">: A Computational Framework Identifying Cancer Type Specific Transcriptional Targets of Immune Response Pathways,” </w:t>
          </w:r>
          <w:r>
            <w:rPr>
              <w:rFonts w:eastAsia="Times New Roman"/>
              <w:i/>
              <w:iCs/>
            </w:rPr>
            <w:t>Scientific Reports</w:t>
          </w:r>
          <w:r>
            <w:rPr>
              <w:rFonts w:eastAsia="Times New Roman"/>
            </w:rPr>
            <w:t xml:space="preserve">, vol. 9, no. 1, p. 9029, 2019, </w:t>
          </w:r>
          <w:proofErr w:type="spellStart"/>
          <w:r>
            <w:rPr>
              <w:rFonts w:eastAsia="Times New Roman"/>
            </w:rPr>
            <w:t>doi</w:t>
          </w:r>
          <w:proofErr w:type="spellEnd"/>
          <w:r>
            <w:rPr>
              <w:rFonts w:eastAsia="Times New Roman"/>
            </w:rPr>
            <w:t>: 10.1038/s41598-019-45304-x.</w:t>
          </w:r>
        </w:p>
        <w:p w14:paraId="3EFA5970" w14:textId="77777777" w:rsidR="00691AC1" w:rsidRDefault="00691AC1">
          <w:pPr>
            <w:autoSpaceDE w:val="0"/>
            <w:autoSpaceDN w:val="0"/>
            <w:ind w:hanging="640"/>
            <w:divId w:val="3481557"/>
            <w:rPr>
              <w:rFonts w:eastAsia="Times New Roman"/>
            </w:rPr>
          </w:pPr>
          <w:r>
            <w:rPr>
              <w:rFonts w:eastAsia="Times New Roman"/>
            </w:rPr>
            <w:t>[9]</w:t>
          </w:r>
          <w:r>
            <w:rPr>
              <w:rFonts w:eastAsia="Times New Roman"/>
            </w:rPr>
            <w:tab/>
            <w:t>P. Joshi, B. Basso, H. Wang, S. H. Hong, C. Giardina, and D. G. Shin, “</w:t>
          </w:r>
          <w:proofErr w:type="spellStart"/>
          <w:r>
            <w:rPr>
              <w:rFonts w:eastAsia="Times New Roman"/>
            </w:rPr>
            <w:t>rPAC</w:t>
          </w:r>
          <w:proofErr w:type="spellEnd"/>
          <w:r>
            <w:rPr>
              <w:rFonts w:eastAsia="Times New Roman"/>
            </w:rPr>
            <w:t xml:space="preserve">: Route based pathway analysis for </w:t>
          </w:r>
          <w:r>
            <w:rPr>
              <w:rFonts w:eastAsia="Times New Roman"/>
            </w:rPr>
            <w:lastRenderedPageBreak/>
            <w:t xml:space="preserve">cohorts of gene expression data sets,” </w:t>
          </w:r>
          <w:r>
            <w:rPr>
              <w:rFonts w:eastAsia="Times New Roman"/>
              <w:i/>
              <w:iCs/>
            </w:rPr>
            <w:t>Methods</w:t>
          </w:r>
          <w:r>
            <w:rPr>
              <w:rFonts w:eastAsia="Times New Roman"/>
            </w:rPr>
            <w:t xml:space="preserve">, Oct. 2021, </w:t>
          </w:r>
          <w:proofErr w:type="spellStart"/>
          <w:r>
            <w:rPr>
              <w:rFonts w:eastAsia="Times New Roman"/>
            </w:rPr>
            <w:t>doi</w:t>
          </w:r>
          <w:proofErr w:type="spellEnd"/>
          <w:r>
            <w:rPr>
              <w:rFonts w:eastAsia="Times New Roman"/>
            </w:rPr>
            <w:t>: 10.1016/J.YMETH.2021.10.002.</w:t>
          </w:r>
        </w:p>
        <w:p w14:paraId="254601F2" w14:textId="77777777" w:rsidR="00691AC1" w:rsidRDefault="00691AC1">
          <w:pPr>
            <w:autoSpaceDE w:val="0"/>
            <w:autoSpaceDN w:val="0"/>
            <w:ind w:hanging="640"/>
            <w:divId w:val="1384914024"/>
            <w:rPr>
              <w:rFonts w:eastAsia="Times New Roman"/>
            </w:rPr>
          </w:pPr>
          <w:r>
            <w:rPr>
              <w:rFonts w:eastAsia="Times New Roman"/>
            </w:rPr>
            <w:t>[10]</w:t>
          </w:r>
          <w:r>
            <w:rPr>
              <w:rFonts w:eastAsia="Times New Roman"/>
            </w:rPr>
            <w:tab/>
            <w:t xml:space="preserve">F. A. Wolf, P. Angerer, and F. J. Theis, “SCANPY: Large-scale single-cell gene expression data analysis,” </w:t>
          </w:r>
          <w:r>
            <w:rPr>
              <w:rFonts w:eastAsia="Times New Roman"/>
              <w:i/>
              <w:iCs/>
            </w:rPr>
            <w:t>Genome Biology</w:t>
          </w:r>
          <w:r>
            <w:rPr>
              <w:rFonts w:eastAsia="Times New Roman"/>
            </w:rPr>
            <w:t xml:space="preserve">, vol. 19, no. 1, pp. 1–5, Feb. 2018, </w:t>
          </w:r>
          <w:proofErr w:type="spellStart"/>
          <w:r>
            <w:rPr>
              <w:rFonts w:eastAsia="Times New Roman"/>
            </w:rPr>
            <w:t>doi</w:t>
          </w:r>
          <w:proofErr w:type="spellEnd"/>
          <w:r>
            <w:rPr>
              <w:rFonts w:eastAsia="Times New Roman"/>
            </w:rPr>
            <w:t>: 10.1186/S13059-017-1382-0/FIGURES/1.</w:t>
          </w:r>
        </w:p>
        <w:p w14:paraId="09C555BE" w14:textId="77777777" w:rsidR="00691AC1" w:rsidRDefault="00691AC1">
          <w:pPr>
            <w:autoSpaceDE w:val="0"/>
            <w:autoSpaceDN w:val="0"/>
            <w:ind w:hanging="640"/>
            <w:divId w:val="1058240273"/>
            <w:rPr>
              <w:rFonts w:eastAsia="Times New Roman"/>
            </w:rPr>
          </w:pPr>
          <w:r>
            <w:rPr>
              <w:rFonts w:eastAsia="Times New Roman"/>
            </w:rPr>
            <w:t>[11]</w:t>
          </w:r>
          <w:r>
            <w:rPr>
              <w:rFonts w:eastAsia="Times New Roman"/>
            </w:rPr>
            <w:tab/>
            <w:t>“Chromatin Immunoprecipitation Sequencing (</w:t>
          </w:r>
          <w:proofErr w:type="spellStart"/>
          <w:r>
            <w:rPr>
              <w:rFonts w:eastAsia="Times New Roman"/>
            </w:rPr>
            <w:t>ChIP</w:t>
          </w:r>
          <w:proofErr w:type="spellEnd"/>
          <w:r>
            <w:rPr>
              <w:rFonts w:eastAsia="Times New Roman"/>
            </w:rPr>
            <w:t>-Seq).” https://www.illumina.com/techniques/sequencing/dna-sequencing/chip-seq.html (accessed May 10, 2022).</w:t>
          </w:r>
        </w:p>
        <w:p w14:paraId="72770FAB" w14:textId="77777777" w:rsidR="00691AC1" w:rsidRDefault="00691AC1">
          <w:pPr>
            <w:autoSpaceDE w:val="0"/>
            <w:autoSpaceDN w:val="0"/>
            <w:ind w:hanging="640"/>
            <w:divId w:val="1841197718"/>
            <w:rPr>
              <w:rFonts w:eastAsia="Times New Roman"/>
            </w:rPr>
          </w:pPr>
          <w:r>
            <w:rPr>
              <w:rFonts w:eastAsia="Times New Roman"/>
            </w:rPr>
            <w:t>[12]</w:t>
          </w:r>
          <w:r>
            <w:rPr>
              <w:rFonts w:eastAsia="Times New Roman"/>
            </w:rPr>
            <w:tab/>
            <w:t xml:space="preserve">A. Caicedo, “PARACRINE AND AUTOCRINE INTERACTIONS IN THE HUMAN ISLET: MORE THAN MEETS THE EYE,” </w:t>
          </w:r>
          <w:r>
            <w:rPr>
              <w:rFonts w:eastAsia="Times New Roman"/>
              <w:i/>
              <w:iCs/>
            </w:rPr>
            <w:t>Semin Cell Dev Biol</w:t>
          </w:r>
          <w:r>
            <w:rPr>
              <w:rFonts w:eastAsia="Times New Roman"/>
            </w:rPr>
            <w:t xml:space="preserve">, vol. 24, no. 1, p. 11, 2013, </w:t>
          </w:r>
          <w:proofErr w:type="spellStart"/>
          <w:r>
            <w:rPr>
              <w:rFonts w:eastAsia="Times New Roman"/>
            </w:rPr>
            <w:t>doi</w:t>
          </w:r>
          <w:proofErr w:type="spellEnd"/>
          <w:r>
            <w:rPr>
              <w:rFonts w:eastAsia="Times New Roman"/>
            </w:rPr>
            <w:t>: 10.1016/J.SEMCDB.2012.09.007.</w:t>
          </w:r>
        </w:p>
        <w:p w14:paraId="5CA1156C" w14:textId="77777777" w:rsidR="00691AC1" w:rsidRDefault="00691AC1">
          <w:pPr>
            <w:autoSpaceDE w:val="0"/>
            <w:autoSpaceDN w:val="0"/>
            <w:ind w:hanging="640"/>
            <w:divId w:val="315108729"/>
            <w:rPr>
              <w:rFonts w:eastAsia="Times New Roman"/>
            </w:rPr>
          </w:pPr>
          <w:r>
            <w:rPr>
              <w:rFonts w:eastAsia="Times New Roman"/>
            </w:rPr>
            <w:t>[13]</w:t>
          </w:r>
          <w:r>
            <w:rPr>
              <w:rFonts w:eastAsia="Times New Roman"/>
            </w:rPr>
            <w:tab/>
            <w:t xml:space="preserve">A. </w:t>
          </w:r>
          <w:proofErr w:type="spellStart"/>
          <w:r>
            <w:rPr>
              <w:rFonts w:eastAsia="Times New Roman"/>
            </w:rPr>
            <w:t>Vesprey</w:t>
          </w:r>
          <w:proofErr w:type="spellEnd"/>
          <w:r>
            <w:rPr>
              <w:rFonts w:eastAsia="Times New Roman"/>
            </w:rPr>
            <w:t xml:space="preserve"> </w:t>
          </w:r>
          <w:r>
            <w:rPr>
              <w:rFonts w:eastAsia="Times New Roman"/>
              <w:i/>
              <w:iCs/>
            </w:rPr>
            <w:t>et al.</w:t>
          </w:r>
          <w:r>
            <w:rPr>
              <w:rFonts w:eastAsia="Times New Roman"/>
            </w:rPr>
            <w:t xml:space="preserve">, “Tmem100- and Acta2-Lineage Cells Contribute to Implant Osseointegration in a Mouse Model,” </w:t>
          </w:r>
          <w:r>
            <w:rPr>
              <w:rFonts w:eastAsia="Times New Roman"/>
              <w:i/>
              <w:iCs/>
            </w:rPr>
            <w:t>J Bone Miner Res</w:t>
          </w:r>
          <w:r>
            <w:rPr>
              <w:rFonts w:eastAsia="Times New Roman"/>
            </w:rPr>
            <w:t xml:space="preserve">, vol. 36, no. 5, pp. 1000–1011, May 2021, </w:t>
          </w:r>
          <w:proofErr w:type="spellStart"/>
          <w:r>
            <w:rPr>
              <w:rFonts w:eastAsia="Times New Roman"/>
            </w:rPr>
            <w:t>doi</w:t>
          </w:r>
          <w:proofErr w:type="spellEnd"/>
          <w:r>
            <w:rPr>
              <w:rFonts w:eastAsia="Times New Roman"/>
            </w:rPr>
            <w:t>: 10.1002/JBMR.4264.</w:t>
          </w:r>
        </w:p>
        <w:p w14:paraId="2ABFA548" w14:textId="77777777" w:rsidR="00691AC1" w:rsidRDefault="00691AC1">
          <w:pPr>
            <w:autoSpaceDE w:val="0"/>
            <w:autoSpaceDN w:val="0"/>
            <w:ind w:hanging="640"/>
            <w:divId w:val="129135831"/>
            <w:rPr>
              <w:rFonts w:eastAsia="Times New Roman"/>
            </w:rPr>
          </w:pPr>
          <w:r>
            <w:rPr>
              <w:rFonts w:eastAsia="Times New Roman"/>
            </w:rPr>
            <w:t>[14]</w:t>
          </w:r>
          <w:r>
            <w:rPr>
              <w:rFonts w:eastAsia="Times New Roman"/>
            </w:rPr>
            <w:tab/>
            <w:t xml:space="preserve">H. He </w:t>
          </w:r>
          <w:r>
            <w:rPr>
              <w:rFonts w:eastAsia="Times New Roman"/>
              <w:i/>
              <w:iCs/>
            </w:rPr>
            <w:t>et al.</w:t>
          </w:r>
          <w:r>
            <w:rPr>
              <w:rFonts w:eastAsia="Times New Roman"/>
            </w:rPr>
            <w:t xml:space="preserve">, “Endothelial cells provide an instructive niche for the differentiation and functional polarization of M2-like macrophages,” </w:t>
          </w:r>
          <w:r>
            <w:rPr>
              <w:rFonts w:eastAsia="Times New Roman"/>
              <w:i/>
              <w:iCs/>
            </w:rPr>
            <w:t>Blood</w:t>
          </w:r>
          <w:r>
            <w:rPr>
              <w:rFonts w:eastAsia="Times New Roman"/>
            </w:rPr>
            <w:t xml:space="preserve">, vol. 120, no. 15, p. 3152, Oct. 2012, </w:t>
          </w:r>
          <w:proofErr w:type="spellStart"/>
          <w:r>
            <w:rPr>
              <w:rFonts w:eastAsia="Times New Roman"/>
            </w:rPr>
            <w:t>doi</w:t>
          </w:r>
          <w:proofErr w:type="spellEnd"/>
          <w:r>
            <w:rPr>
              <w:rFonts w:eastAsia="Times New Roman"/>
            </w:rPr>
            <w:t>: 10.1182/BLOOD-2012-04-422758.</w:t>
          </w:r>
        </w:p>
        <w:p w14:paraId="153474DB" w14:textId="77777777" w:rsidR="00691AC1" w:rsidRDefault="00691AC1">
          <w:pPr>
            <w:autoSpaceDE w:val="0"/>
            <w:autoSpaceDN w:val="0"/>
            <w:ind w:hanging="640"/>
            <w:divId w:val="172963949"/>
            <w:rPr>
              <w:rFonts w:eastAsia="Times New Roman"/>
            </w:rPr>
          </w:pPr>
          <w:r>
            <w:rPr>
              <w:rFonts w:eastAsia="Times New Roman"/>
            </w:rPr>
            <w:t>[15]</w:t>
          </w:r>
          <w:r>
            <w:rPr>
              <w:rFonts w:eastAsia="Times New Roman"/>
            </w:rPr>
            <w:tab/>
            <w:t xml:space="preserve">J. Kim and T. Adachi, “Cell Condensation Triggers the Differentiation of Osteoblast Precursor Cells to Osteocyte-Like Cells,” </w:t>
          </w:r>
          <w:r>
            <w:rPr>
              <w:rFonts w:eastAsia="Times New Roman"/>
              <w:i/>
              <w:iCs/>
            </w:rPr>
            <w:t>Frontiers in Bioengineering and Biotechnology</w:t>
          </w:r>
          <w:r>
            <w:rPr>
              <w:rFonts w:eastAsia="Times New Roman"/>
            </w:rPr>
            <w:t xml:space="preserve">, vol. 7, p. 288, Oct. 2019, </w:t>
          </w:r>
          <w:proofErr w:type="spellStart"/>
          <w:r>
            <w:rPr>
              <w:rFonts w:eastAsia="Times New Roman"/>
            </w:rPr>
            <w:t>doi</w:t>
          </w:r>
          <w:proofErr w:type="spellEnd"/>
          <w:r>
            <w:rPr>
              <w:rFonts w:eastAsia="Times New Roman"/>
            </w:rPr>
            <w:t>: 10.3389/FBIOE.2019.00288/BIBTEX.</w:t>
          </w:r>
        </w:p>
        <w:p w14:paraId="1873A3CB" w14:textId="77777777" w:rsidR="00691AC1" w:rsidRDefault="00691AC1">
          <w:pPr>
            <w:autoSpaceDE w:val="0"/>
            <w:autoSpaceDN w:val="0"/>
            <w:ind w:hanging="640"/>
            <w:divId w:val="918487206"/>
            <w:rPr>
              <w:rFonts w:eastAsia="Times New Roman"/>
            </w:rPr>
          </w:pPr>
          <w:r>
            <w:rPr>
              <w:rFonts w:eastAsia="Times New Roman"/>
            </w:rPr>
            <w:t>[16]</w:t>
          </w:r>
          <w:r>
            <w:rPr>
              <w:rFonts w:eastAsia="Times New Roman"/>
            </w:rPr>
            <w:tab/>
            <w:t xml:space="preserve">J. Zhang </w:t>
          </w:r>
          <w:r>
            <w:rPr>
              <w:rFonts w:eastAsia="Times New Roman"/>
              <w:i/>
              <w:iCs/>
            </w:rPr>
            <w:t>et al.</w:t>
          </w:r>
          <w:r>
            <w:rPr>
              <w:rFonts w:eastAsia="Times New Roman"/>
            </w:rPr>
            <w:t xml:space="preserve">, “Regulation of Endothelial Cell Adhesion Molecule Expression by Mast Cells, Macrophages, and Neutrophils,” </w:t>
          </w:r>
          <w:proofErr w:type="spellStart"/>
          <w:r>
            <w:rPr>
              <w:rFonts w:eastAsia="Times New Roman"/>
              <w:i/>
              <w:iCs/>
            </w:rPr>
            <w:t>PLoS</w:t>
          </w:r>
          <w:proofErr w:type="spellEnd"/>
          <w:r>
            <w:rPr>
              <w:rFonts w:eastAsia="Times New Roman"/>
              <w:i/>
              <w:iCs/>
            </w:rPr>
            <w:t xml:space="preserve"> ONE</w:t>
          </w:r>
          <w:r>
            <w:rPr>
              <w:rFonts w:eastAsia="Times New Roman"/>
            </w:rPr>
            <w:t xml:space="preserve">, vol. 6, no. 1, 2011, </w:t>
          </w:r>
          <w:proofErr w:type="spellStart"/>
          <w:r>
            <w:rPr>
              <w:rFonts w:eastAsia="Times New Roman"/>
            </w:rPr>
            <w:t>doi</w:t>
          </w:r>
          <w:proofErr w:type="spellEnd"/>
          <w:r>
            <w:rPr>
              <w:rFonts w:eastAsia="Times New Roman"/>
            </w:rPr>
            <w:t>: 10.1371/JOURNAL.PONE.0014525.</w:t>
          </w:r>
        </w:p>
        <w:p w14:paraId="275F58FF" w14:textId="77777777" w:rsidR="00691AC1" w:rsidRDefault="00691AC1">
          <w:pPr>
            <w:autoSpaceDE w:val="0"/>
            <w:autoSpaceDN w:val="0"/>
            <w:ind w:hanging="640"/>
            <w:divId w:val="1854107110"/>
            <w:rPr>
              <w:rFonts w:eastAsia="Times New Roman"/>
            </w:rPr>
          </w:pPr>
          <w:r>
            <w:rPr>
              <w:rFonts w:eastAsia="Times New Roman"/>
            </w:rPr>
            <w:t>[17]</w:t>
          </w:r>
          <w:r>
            <w:rPr>
              <w:rFonts w:eastAsia="Times New Roman"/>
            </w:rPr>
            <w:tab/>
            <w:t xml:space="preserve">C. Xu </w:t>
          </w:r>
          <w:r>
            <w:rPr>
              <w:rFonts w:eastAsia="Times New Roman"/>
              <w:i/>
              <w:iCs/>
            </w:rPr>
            <w:t>et al.</w:t>
          </w:r>
          <w:r>
            <w:rPr>
              <w:rFonts w:eastAsia="Times New Roman"/>
            </w:rPr>
            <w:t xml:space="preserve">, “Induction of osteogenesis by bone-targeted Notch activation,” </w:t>
          </w:r>
          <w:r>
            <w:rPr>
              <w:rFonts w:eastAsia="Times New Roman"/>
              <w:i/>
              <w:iCs/>
            </w:rPr>
            <w:t>Elife</w:t>
          </w:r>
          <w:r>
            <w:rPr>
              <w:rFonts w:eastAsia="Times New Roman"/>
            </w:rPr>
            <w:t xml:space="preserve">, vol. 11, Feb. 2022, </w:t>
          </w:r>
          <w:proofErr w:type="spellStart"/>
          <w:r>
            <w:rPr>
              <w:rFonts w:eastAsia="Times New Roman"/>
            </w:rPr>
            <w:t>doi</w:t>
          </w:r>
          <w:proofErr w:type="spellEnd"/>
          <w:r>
            <w:rPr>
              <w:rFonts w:eastAsia="Times New Roman"/>
            </w:rPr>
            <w:t>: 10.7554/ELIFE.60183.</w:t>
          </w:r>
        </w:p>
        <w:p w14:paraId="0FE5F599" w14:textId="77777777" w:rsidR="00691AC1" w:rsidRDefault="00691AC1">
          <w:pPr>
            <w:autoSpaceDE w:val="0"/>
            <w:autoSpaceDN w:val="0"/>
            <w:ind w:hanging="640"/>
            <w:divId w:val="985357896"/>
            <w:rPr>
              <w:rFonts w:eastAsia="Times New Roman"/>
            </w:rPr>
          </w:pPr>
          <w:r>
            <w:rPr>
              <w:rFonts w:eastAsia="Times New Roman"/>
            </w:rPr>
            <w:t>[18]</w:t>
          </w:r>
          <w:r>
            <w:rPr>
              <w:rFonts w:eastAsia="Times New Roman"/>
            </w:rPr>
            <w:tab/>
            <w:t xml:space="preserve">R. Ross and L. Harker, “Platelets, endothelium, and smooth muscle cells in atherosclerosis,” </w:t>
          </w:r>
          <w:r>
            <w:rPr>
              <w:rFonts w:eastAsia="Times New Roman"/>
              <w:i/>
              <w:iCs/>
            </w:rPr>
            <w:t>Adv Exp Med Biol</w:t>
          </w:r>
          <w:r>
            <w:rPr>
              <w:rFonts w:eastAsia="Times New Roman"/>
            </w:rPr>
            <w:t xml:space="preserve">, vol. 102, pp. 135–141, 1978, </w:t>
          </w:r>
          <w:proofErr w:type="spellStart"/>
          <w:r>
            <w:rPr>
              <w:rFonts w:eastAsia="Times New Roman"/>
            </w:rPr>
            <w:t>doi</w:t>
          </w:r>
          <w:proofErr w:type="spellEnd"/>
          <w:r>
            <w:rPr>
              <w:rFonts w:eastAsia="Times New Roman"/>
            </w:rPr>
            <w:t>: 10.1007/978-1-4757-1217-9_8.</w:t>
          </w:r>
        </w:p>
        <w:p w14:paraId="040BA296" w14:textId="77777777" w:rsidR="00691AC1" w:rsidRDefault="00691AC1">
          <w:pPr>
            <w:autoSpaceDE w:val="0"/>
            <w:autoSpaceDN w:val="0"/>
            <w:ind w:hanging="640"/>
            <w:divId w:val="420562947"/>
            <w:rPr>
              <w:rFonts w:eastAsia="Times New Roman"/>
            </w:rPr>
          </w:pPr>
          <w:r>
            <w:rPr>
              <w:rFonts w:eastAsia="Times New Roman"/>
            </w:rPr>
            <w:t>[19]</w:t>
          </w:r>
          <w:r>
            <w:rPr>
              <w:rFonts w:eastAsia="Times New Roman"/>
            </w:rPr>
            <w:tab/>
            <w:t xml:space="preserve">F. Hartmann </w:t>
          </w:r>
          <w:r>
            <w:rPr>
              <w:rFonts w:eastAsia="Times New Roman"/>
              <w:i/>
              <w:iCs/>
            </w:rPr>
            <w:t>et al.</w:t>
          </w:r>
          <w:r>
            <w:rPr>
              <w:rFonts w:eastAsia="Times New Roman"/>
            </w:rPr>
            <w:t xml:space="preserve">, “SMC-Derived Hyaluronan Modulates Vascular SMC Phenotype in Murine Atherosclerosis,” </w:t>
          </w:r>
          <w:r>
            <w:rPr>
              <w:rFonts w:eastAsia="Times New Roman"/>
              <w:i/>
              <w:iCs/>
            </w:rPr>
            <w:t>Circ Res</w:t>
          </w:r>
          <w:r>
            <w:rPr>
              <w:rFonts w:eastAsia="Times New Roman"/>
            </w:rPr>
            <w:t xml:space="preserve">, vol. 129, no. 11, pp. 992–1005, Nov. 2021, </w:t>
          </w:r>
          <w:proofErr w:type="spellStart"/>
          <w:r>
            <w:rPr>
              <w:rFonts w:eastAsia="Times New Roman"/>
            </w:rPr>
            <w:t>doi</w:t>
          </w:r>
          <w:proofErr w:type="spellEnd"/>
          <w:r>
            <w:rPr>
              <w:rFonts w:eastAsia="Times New Roman"/>
            </w:rPr>
            <w:t>: 10.1161/CIRCRESAHA.120.318479.</w:t>
          </w:r>
        </w:p>
        <w:p w14:paraId="4D690A37" w14:textId="77777777" w:rsidR="00691AC1" w:rsidRDefault="00691AC1">
          <w:pPr>
            <w:autoSpaceDE w:val="0"/>
            <w:autoSpaceDN w:val="0"/>
            <w:ind w:hanging="640"/>
            <w:divId w:val="989557547"/>
            <w:rPr>
              <w:rFonts w:eastAsia="Times New Roman"/>
            </w:rPr>
          </w:pPr>
          <w:r>
            <w:rPr>
              <w:rFonts w:eastAsia="Times New Roman"/>
            </w:rPr>
            <w:t>[20]</w:t>
          </w:r>
          <w:r>
            <w:rPr>
              <w:rFonts w:eastAsia="Times New Roman"/>
            </w:rPr>
            <w:tab/>
            <w:t xml:space="preserve">O. Inoue </w:t>
          </w:r>
          <w:r>
            <w:rPr>
              <w:rFonts w:eastAsia="Times New Roman"/>
              <w:i/>
              <w:iCs/>
            </w:rPr>
            <w:t>et al.</w:t>
          </w:r>
          <w:r>
            <w:rPr>
              <w:rFonts w:eastAsia="Times New Roman"/>
            </w:rPr>
            <w:t xml:space="preserve">, “Vascular Smooth Muscle Cells Stimulate Platelets and Facilitate Thrombus Formation through Platelet CLEC-2: Implications in Atherothrombosis,” </w:t>
          </w:r>
          <w:r>
            <w:rPr>
              <w:rFonts w:eastAsia="Times New Roman"/>
              <w:i/>
              <w:iCs/>
            </w:rPr>
            <w:t>PLOS ONE</w:t>
          </w:r>
          <w:r>
            <w:rPr>
              <w:rFonts w:eastAsia="Times New Roman"/>
            </w:rPr>
            <w:t xml:space="preserve">, vol. 10, no. 9, p. e0139357, Sep. 2015, </w:t>
          </w:r>
          <w:proofErr w:type="spellStart"/>
          <w:r>
            <w:rPr>
              <w:rFonts w:eastAsia="Times New Roman"/>
            </w:rPr>
            <w:t>doi</w:t>
          </w:r>
          <w:proofErr w:type="spellEnd"/>
          <w:r>
            <w:rPr>
              <w:rFonts w:eastAsia="Times New Roman"/>
            </w:rPr>
            <w:t>: 10.1371/JOURNAL.PONE.0139357.</w:t>
          </w:r>
        </w:p>
        <w:p w14:paraId="51B9C2E3" w14:textId="77777777" w:rsidR="00691AC1" w:rsidRDefault="00691AC1">
          <w:pPr>
            <w:autoSpaceDE w:val="0"/>
            <w:autoSpaceDN w:val="0"/>
            <w:ind w:hanging="640"/>
            <w:divId w:val="1975209257"/>
            <w:rPr>
              <w:rFonts w:eastAsia="Times New Roman"/>
            </w:rPr>
          </w:pPr>
          <w:r>
            <w:rPr>
              <w:rFonts w:eastAsia="Times New Roman"/>
            </w:rPr>
            <w:t>[21]</w:t>
          </w:r>
          <w:r>
            <w:rPr>
              <w:rFonts w:eastAsia="Times New Roman"/>
            </w:rPr>
            <w:tab/>
            <w:t xml:space="preserve">A. Sipola, L. </w:t>
          </w:r>
          <w:proofErr w:type="spellStart"/>
          <w:r>
            <w:rPr>
              <w:rFonts w:eastAsia="Times New Roman"/>
            </w:rPr>
            <w:t>Seppinen</w:t>
          </w:r>
          <w:proofErr w:type="spellEnd"/>
          <w:r>
            <w:rPr>
              <w:rFonts w:eastAsia="Times New Roman"/>
            </w:rPr>
            <w:t xml:space="preserve">, T. </w:t>
          </w:r>
          <w:proofErr w:type="spellStart"/>
          <w:r>
            <w:rPr>
              <w:rFonts w:eastAsia="Times New Roman"/>
            </w:rPr>
            <w:t>Pihlajaniemi</w:t>
          </w:r>
          <w:proofErr w:type="spellEnd"/>
          <w:r>
            <w:rPr>
              <w:rFonts w:eastAsia="Times New Roman"/>
            </w:rPr>
            <w:t xml:space="preserve">, and J. Tuukkanen, “Endostatin affects osteoblast behavior in vitro, but collagen XVIII/endostatin is not essential for skeletal development in vivo,” </w:t>
          </w:r>
          <w:proofErr w:type="spellStart"/>
          <w:r>
            <w:rPr>
              <w:rFonts w:eastAsia="Times New Roman"/>
              <w:i/>
              <w:iCs/>
            </w:rPr>
            <w:t>Calcif</w:t>
          </w:r>
          <w:proofErr w:type="spellEnd"/>
          <w:r>
            <w:rPr>
              <w:rFonts w:eastAsia="Times New Roman"/>
              <w:i/>
              <w:iCs/>
            </w:rPr>
            <w:t xml:space="preserve"> Tissue Int</w:t>
          </w:r>
          <w:r>
            <w:rPr>
              <w:rFonts w:eastAsia="Times New Roman"/>
            </w:rPr>
            <w:t xml:space="preserve">, vol. 85, no. 5, pp. 412–420, Nov. 2009, </w:t>
          </w:r>
          <w:proofErr w:type="spellStart"/>
          <w:r>
            <w:rPr>
              <w:rFonts w:eastAsia="Times New Roman"/>
            </w:rPr>
            <w:t>doi</w:t>
          </w:r>
          <w:proofErr w:type="spellEnd"/>
          <w:r>
            <w:rPr>
              <w:rFonts w:eastAsia="Times New Roman"/>
            </w:rPr>
            <w:t>: 10.1007/S00223-009-9287-X.</w:t>
          </w:r>
        </w:p>
        <w:p w14:paraId="5E764F50" w14:textId="77777777" w:rsidR="00691AC1" w:rsidRDefault="00691AC1">
          <w:pPr>
            <w:autoSpaceDE w:val="0"/>
            <w:autoSpaceDN w:val="0"/>
            <w:ind w:hanging="640"/>
            <w:divId w:val="1014721019"/>
            <w:rPr>
              <w:rFonts w:eastAsia="Times New Roman"/>
            </w:rPr>
          </w:pPr>
          <w:r>
            <w:rPr>
              <w:rFonts w:eastAsia="Times New Roman"/>
            </w:rPr>
            <w:t>[22]</w:t>
          </w:r>
          <w:r>
            <w:rPr>
              <w:rFonts w:eastAsia="Times New Roman"/>
            </w:rPr>
            <w:tab/>
            <w:t xml:space="preserve">D. M </w:t>
          </w:r>
          <w:r>
            <w:rPr>
              <w:rFonts w:eastAsia="Times New Roman"/>
              <w:i/>
              <w:iCs/>
            </w:rPr>
            <w:t>et al.</w:t>
          </w:r>
          <w:r>
            <w:rPr>
              <w:rFonts w:eastAsia="Times New Roman"/>
            </w:rPr>
            <w:t xml:space="preserve">, “Analysis and correction of crosstalk effects in pathway analysis,” </w:t>
          </w:r>
          <w:r>
            <w:rPr>
              <w:rFonts w:eastAsia="Times New Roman"/>
              <w:i/>
              <w:iCs/>
            </w:rPr>
            <w:t>Genome Res</w:t>
          </w:r>
          <w:r>
            <w:rPr>
              <w:rFonts w:eastAsia="Times New Roman"/>
            </w:rPr>
            <w:t xml:space="preserve">, vol. 23, no. 11, pp. 1885–1893, Nov. 2013, </w:t>
          </w:r>
          <w:proofErr w:type="spellStart"/>
          <w:r>
            <w:rPr>
              <w:rFonts w:eastAsia="Times New Roman"/>
            </w:rPr>
            <w:t>doi</w:t>
          </w:r>
          <w:proofErr w:type="spellEnd"/>
          <w:r>
            <w:rPr>
              <w:rFonts w:eastAsia="Times New Roman"/>
            </w:rPr>
            <w:t>: 10.1101/GR.153551.112.</w:t>
          </w:r>
        </w:p>
        <w:p w14:paraId="7BCD8986" w14:textId="77777777" w:rsidR="00691AC1" w:rsidRDefault="00691AC1">
          <w:pPr>
            <w:autoSpaceDE w:val="0"/>
            <w:autoSpaceDN w:val="0"/>
            <w:ind w:hanging="640"/>
            <w:divId w:val="1999337250"/>
            <w:rPr>
              <w:rFonts w:eastAsia="Times New Roman"/>
            </w:rPr>
          </w:pPr>
          <w:r>
            <w:rPr>
              <w:rFonts w:eastAsia="Times New Roman"/>
            </w:rPr>
            <w:t>[23]</w:t>
          </w:r>
          <w:r>
            <w:rPr>
              <w:rFonts w:eastAsia="Times New Roman"/>
            </w:rPr>
            <w:tab/>
            <w:t xml:space="preserve">K. H and K. MR, “Abiotic stress </w:t>
          </w:r>
          <w:proofErr w:type="spellStart"/>
          <w:r>
            <w:rPr>
              <w:rFonts w:eastAsia="Times New Roman"/>
            </w:rPr>
            <w:t>signalling</w:t>
          </w:r>
          <w:proofErr w:type="spellEnd"/>
          <w:r>
            <w:rPr>
              <w:rFonts w:eastAsia="Times New Roman"/>
            </w:rPr>
            <w:t xml:space="preserve"> pathways: specificity and cross-talk,” </w:t>
          </w:r>
          <w:r>
            <w:rPr>
              <w:rFonts w:eastAsia="Times New Roman"/>
              <w:i/>
              <w:iCs/>
            </w:rPr>
            <w:t>Trends Plant Sci</w:t>
          </w:r>
          <w:r>
            <w:rPr>
              <w:rFonts w:eastAsia="Times New Roman"/>
            </w:rPr>
            <w:t xml:space="preserve">, vol. 6, no. 6, pp. 262–267, 2001, </w:t>
          </w:r>
          <w:proofErr w:type="spellStart"/>
          <w:r>
            <w:rPr>
              <w:rFonts w:eastAsia="Times New Roman"/>
            </w:rPr>
            <w:t>doi</w:t>
          </w:r>
          <w:proofErr w:type="spellEnd"/>
          <w:r>
            <w:rPr>
              <w:rFonts w:eastAsia="Times New Roman"/>
            </w:rPr>
            <w:t>: 10.1016/S1360-1385(01)01946-X.</w:t>
          </w:r>
        </w:p>
        <w:p w14:paraId="1721D53D" w14:textId="77777777" w:rsidR="00691AC1" w:rsidRDefault="00691AC1">
          <w:pPr>
            <w:autoSpaceDE w:val="0"/>
            <w:autoSpaceDN w:val="0"/>
            <w:ind w:hanging="640"/>
            <w:divId w:val="2073965289"/>
            <w:rPr>
              <w:rFonts w:eastAsia="Times New Roman"/>
            </w:rPr>
          </w:pPr>
          <w:r>
            <w:rPr>
              <w:rFonts w:eastAsia="Times New Roman"/>
            </w:rPr>
            <w:t>[24]</w:t>
          </w:r>
          <w:r>
            <w:rPr>
              <w:rFonts w:eastAsia="Times New Roman"/>
            </w:rPr>
            <w:tab/>
            <w:t xml:space="preserve">T. CM, E. B, and K. CR, “Critical nodes in </w:t>
          </w:r>
          <w:proofErr w:type="spellStart"/>
          <w:r>
            <w:rPr>
              <w:rFonts w:eastAsia="Times New Roman"/>
            </w:rPr>
            <w:t>signalling</w:t>
          </w:r>
          <w:proofErr w:type="spellEnd"/>
          <w:r>
            <w:rPr>
              <w:rFonts w:eastAsia="Times New Roman"/>
            </w:rPr>
            <w:t xml:space="preserve"> pathways: insights into insulin action,” </w:t>
          </w:r>
          <w:r>
            <w:rPr>
              <w:rFonts w:eastAsia="Times New Roman"/>
              <w:i/>
              <w:iCs/>
            </w:rPr>
            <w:t>Nat Rev Mol Cell Biol</w:t>
          </w:r>
          <w:r>
            <w:rPr>
              <w:rFonts w:eastAsia="Times New Roman"/>
            </w:rPr>
            <w:t xml:space="preserve">, vol. 7, no. 2, pp. 85–96, Feb. 2006, </w:t>
          </w:r>
          <w:proofErr w:type="spellStart"/>
          <w:r>
            <w:rPr>
              <w:rFonts w:eastAsia="Times New Roman"/>
            </w:rPr>
            <w:t>doi</w:t>
          </w:r>
          <w:proofErr w:type="spellEnd"/>
          <w:r>
            <w:rPr>
              <w:rFonts w:eastAsia="Times New Roman"/>
            </w:rPr>
            <w:t>: 10.1038/NRM1837.</w:t>
          </w:r>
        </w:p>
        <w:p w14:paraId="07FE4CDF" w14:textId="77777777" w:rsidR="00691AC1" w:rsidRDefault="00691AC1">
          <w:pPr>
            <w:autoSpaceDE w:val="0"/>
            <w:autoSpaceDN w:val="0"/>
            <w:ind w:hanging="640"/>
            <w:divId w:val="1054888510"/>
            <w:rPr>
              <w:rFonts w:eastAsia="Times New Roman"/>
            </w:rPr>
          </w:pPr>
          <w:r>
            <w:rPr>
              <w:rFonts w:eastAsia="Times New Roman"/>
            </w:rPr>
            <w:t>[25]</w:t>
          </w:r>
          <w:r>
            <w:rPr>
              <w:rFonts w:eastAsia="Times New Roman"/>
            </w:rPr>
            <w:tab/>
            <w:t xml:space="preserve">C.-L. Hsu and U.-C. Yang, “Discovering pathway cross-talks based on functional relations between pathways,” </w:t>
          </w:r>
          <w:r>
            <w:rPr>
              <w:rFonts w:eastAsia="Times New Roman"/>
              <w:i/>
              <w:iCs/>
            </w:rPr>
            <w:t>BMC Genomics 2012 13:7</w:t>
          </w:r>
          <w:r>
            <w:rPr>
              <w:rFonts w:eastAsia="Times New Roman"/>
            </w:rPr>
            <w:t xml:space="preserve">, vol. 13, no. 7, pp. 1–15, Dec. 2012, </w:t>
          </w:r>
          <w:proofErr w:type="spellStart"/>
          <w:r>
            <w:rPr>
              <w:rFonts w:eastAsia="Times New Roman"/>
            </w:rPr>
            <w:t>doi</w:t>
          </w:r>
          <w:proofErr w:type="spellEnd"/>
          <w:r>
            <w:rPr>
              <w:rFonts w:eastAsia="Times New Roman"/>
            </w:rPr>
            <w:t>: 10.1186/1471-2164-13-S7-S25.</w:t>
          </w:r>
        </w:p>
        <w:p w14:paraId="41D7B3F8" w14:textId="77777777" w:rsidR="00691AC1" w:rsidRDefault="00691AC1">
          <w:pPr>
            <w:autoSpaceDE w:val="0"/>
            <w:autoSpaceDN w:val="0"/>
            <w:ind w:hanging="640"/>
            <w:divId w:val="1096513072"/>
            <w:rPr>
              <w:rFonts w:eastAsia="Times New Roman"/>
            </w:rPr>
          </w:pPr>
          <w:r>
            <w:rPr>
              <w:rFonts w:eastAsia="Times New Roman"/>
            </w:rPr>
            <w:t>[26]</w:t>
          </w:r>
          <w:r>
            <w:rPr>
              <w:rFonts w:eastAsia="Times New Roman"/>
            </w:rPr>
            <w:tab/>
            <w:t xml:space="preserve">L. Y, A. P, and R. D, “A global pathway crosstalk network,” </w:t>
          </w:r>
          <w:r>
            <w:rPr>
              <w:rFonts w:eastAsia="Times New Roman"/>
              <w:i/>
              <w:iCs/>
            </w:rPr>
            <w:t>Bioinformatics</w:t>
          </w:r>
          <w:r>
            <w:rPr>
              <w:rFonts w:eastAsia="Times New Roman"/>
            </w:rPr>
            <w:t xml:space="preserve">, vol. 24, no. 12, pp. 1442–1447, Jun. 2008, </w:t>
          </w:r>
          <w:proofErr w:type="spellStart"/>
          <w:r>
            <w:rPr>
              <w:rFonts w:eastAsia="Times New Roman"/>
            </w:rPr>
            <w:t>doi</w:t>
          </w:r>
          <w:proofErr w:type="spellEnd"/>
          <w:r>
            <w:rPr>
              <w:rFonts w:eastAsia="Times New Roman"/>
            </w:rPr>
            <w:t>: 10.1093/BIOINFORMATICS/BTN200.</w:t>
          </w:r>
        </w:p>
        <w:p w14:paraId="0B200A56" w14:textId="77777777" w:rsidR="00691AC1" w:rsidRDefault="00691AC1">
          <w:pPr>
            <w:autoSpaceDE w:val="0"/>
            <w:autoSpaceDN w:val="0"/>
            <w:ind w:hanging="640"/>
            <w:divId w:val="1300919420"/>
            <w:rPr>
              <w:rFonts w:eastAsia="Times New Roman"/>
            </w:rPr>
          </w:pPr>
          <w:r>
            <w:rPr>
              <w:rFonts w:eastAsia="Times New Roman"/>
            </w:rPr>
            <w:t>[27]</w:t>
          </w:r>
          <w:r>
            <w:rPr>
              <w:rFonts w:eastAsia="Times New Roman"/>
            </w:rPr>
            <w:tab/>
            <w:t>H. Wang, P. Joshi, S. H. Hong, D. J. Shin, and D. G. Shin, “</w:t>
          </w:r>
          <w:proofErr w:type="spellStart"/>
          <w:r>
            <w:rPr>
              <w:rFonts w:eastAsia="Times New Roman"/>
            </w:rPr>
            <w:t>CtBuilder</w:t>
          </w:r>
          <w:proofErr w:type="spellEnd"/>
          <w:r>
            <w:rPr>
              <w:rFonts w:eastAsia="Times New Roman"/>
            </w:rPr>
            <w:t xml:space="preserve">: A framework for building pathway </w:t>
          </w:r>
          <w:proofErr w:type="spellStart"/>
          <w:r>
            <w:rPr>
              <w:rFonts w:eastAsia="Times New Roman"/>
            </w:rPr>
            <w:t>crosstalks</w:t>
          </w:r>
          <w:proofErr w:type="spellEnd"/>
          <w:r>
            <w:rPr>
              <w:rFonts w:eastAsia="Times New Roman"/>
            </w:rPr>
            <w:t xml:space="preserve"> by combining single cell data with bulk cell data,” </w:t>
          </w:r>
          <w:r>
            <w:rPr>
              <w:rFonts w:eastAsia="Times New Roman"/>
              <w:i/>
              <w:iCs/>
            </w:rPr>
            <w:t>Proceedings - 2021 IEEE International Conference on Bioinformatics and Biomedicine, BIBM 2021</w:t>
          </w:r>
          <w:r>
            <w:rPr>
              <w:rFonts w:eastAsia="Times New Roman"/>
            </w:rPr>
            <w:t xml:space="preserve">, pp. 270–273, 2021, </w:t>
          </w:r>
          <w:proofErr w:type="spellStart"/>
          <w:r>
            <w:rPr>
              <w:rFonts w:eastAsia="Times New Roman"/>
            </w:rPr>
            <w:t>doi</w:t>
          </w:r>
          <w:proofErr w:type="spellEnd"/>
          <w:r>
            <w:rPr>
              <w:rFonts w:eastAsia="Times New Roman"/>
            </w:rPr>
            <w:t>: 10.1109/BIBM52615.2021.9669811.</w:t>
          </w:r>
        </w:p>
        <w:p w14:paraId="67394587" w14:textId="77777777" w:rsidR="00691AC1" w:rsidRDefault="00691AC1">
          <w:pPr>
            <w:autoSpaceDE w:val="0"/>
            <w:autoSpaceDN w:val="0"/>
            <w:ind w:hanging="640"/>
            <w:divId w:val="1407074183"/>
            <w:rPr>
              <w:rFonts w:eastAsia="Times New Roman"/>
            </w:rPr>
          </w:pPr>
          <w:r>
            <w:rPr>
              <w:rFonts w:eastAsia="Times New Roman"/>
            </w:rPr>
            <w:t>[28]</w:t>
          </w:r>
          <w:r>
            <w:rPr>
              <w:rFonts w:eastAsia="Times New Roman"/>
            </w:rPr>
            <w:tab/>
            <w:t>C. Stark, B.-J. Breitkreutz, T. Reguly, L. Boucher, A. Breitkreutz, and M. Tyers, “</w:t>
          </w:r>
          <w:proofErr w:type="spellStart"/>
          <w:r>
            <w:rPr>
              <w:rFonts w:eastAsia="Times New Roman"/>
            </w:rPr>
            <w:t>BioGRID</w:t>
          </w:r>
          <w:proofErr w:type="spellEnd"/>
          <w:r>
            <w:rPr>
              <w:rFonts w:eastAsia="Times New Roman"/>
            </w:rPr>
            <w:t xml:space="preserve">: a general repository for interaction datasets”,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/gkj109.</w:t>
          </w:r>
        </w:p>
        <w:p w14:paraId="542DE592" w14:textId="1B2D4667" w:rsidR="00480197" w:rsidRPr="00085324" w:rsidRDefault="00691AC1" w:rsidP="00085324">
          <w:pPr>
            <w:widowControl w:val="0"/>
            <w:autoSpaceDE w:val="0"/>
            <w:autoSpaceDN w:val="0"/>
            <w:adjustRightInd w:val="0"/>
            <w:spacing w:line="240" w:lineRule="auto"/>
            <w:ind w:left="640" w:hanging="640"/>
            <w:rPr>
              <w:rFonts w:cs="Linux Libertine"/>
              <w:sz w:val="14"/>
              <w:szCs w:val="24"/>
            </w:rPr>
          </w:pPr>
          <w:r>
            <w:rPr>
              <w:rFonts w:eastAsia="Times New Roman"/>
            </w:rPr>
            <w:t> </w:t>
          </w:r>
        </w:p>
      </w:sdtContent>
    </w:sdt>
    <w:p w14:paraId="7FCD0127" w14:textId="034EE2B6" w:rsidR="00480197" w:rsidRDefault="00480197" w:rsidP="00085324">
      <w:pPr>
        <w:pStyle w:val="AbsHead"/>
      </w:pPr>
    </w:p>
    <w:p w14:paraId="402E8281" w14:textId="53516328" w:rsidR="00AE56DA" w:rsidRDefault="00AE56DA" w:rsidP="00085324">
      <w:pPr>
        <w:pStyle w:val="AbsHead"/>
      </w:pPr>
    </w:p>
    <w:p w14:paraId="7455DCA1" w14:textId="1CFE0A4C" w:rsidR="00AE56DA" w:rsidRDefault="00AE56DA" w:rsidP="00085324">
      <w:pPr>
        <w:pStyle w:val="AbsHead"/>
      </w:pPr>
    </w:p>
    <w:p w14:paraId="58DDB82F" w14:textId="61005FE1" w:rsidR="00AE56DA" w:rsidRDefault="00AE56DA" w:rsidP="00085324">
      <w:pPr>
        <w:pStyle w:val="AbsHead"/>
      </w:pPr>
    </w:p>
    <w:p w14:paraId="666B1493" w14:textId="35014370" w:rsidR="00EB3109" w:rsidRDefault="00EB3109" w:rsidP="00085324">
      <w:pPr>
        <w:pStyle w:val="AbsHead"/>
      </w:pPr>
    </w:p>
    <w:p w14:paraId="0C84F915" w14:textId="6454427D" w:rsidR="00EB3109" w:rsidRDefault="00EB3109" w:rsidP="00085324">
      <w:pPr>
        <w:pStyle w:val="AbsHead"/>
      </w:pPr>
    </w:p>
    <w:p w14:paraId="0F87A787" w14:textId="6232B205" w:rsidR="00EB3109" w:rsidRDefault="00EB3109" w:rsidP="00085324">
      <w:pPr>
        <w:pStyle w:val="AbsHead"/>
      </w:pPr>
    </w:p>
    <w:p w14:paraId="4DE44AB3" w14:textId="4A12898C" w:rsidR="00EB3109" w:rsidRDefault="00EB3109" w:rsidP="00085324">
      <w:pPr>
        <w:pStyle w:val="AbsHead"/>
      </w:pPr>
    </w:p>
    <w:p w14:paraId="44339581" w14:textId="77777777" w:rsidR="00EB3109" w:rsidRDefault="00EB3109" w:rsidP="00085324">
      <w:pPr>
        <w:pStyle w:val="AbsHead"/>
      </w:pPr>
    </w:p>
    <w:p w14:paraId="27AD2676" w14:textId="38A94699" w:rsidR="00AE56DA" w:rsidRDefault="00AE56DA" w:rsidP="00085324">
      <w:pPr>
        <w:pStyle w:val="AbsHead"/>
      </w:pPr>
    </w:p>
    <w:p w14:paraId="51062B3B" w14:textId="74B5537E" w:rsidR="00AE56DA" w:rsidRDefault="00AE56DA" w:rsidP="00085324">
      <w:pPr>
        <w:pStyle w:val="AbsHead"/>
      </w:pPr>
    </w:p>
    <w:p w14:paraId="6B50F98A" w14:textId="1C820B36" w:rsidR="00AE56DA" w:rsidRDefault="00AE56DA" w:rsidP="00085324">
      <w:pPr>
        <w:pStyle w:val="AbsHead"/>
      </w:pPr>
    </w:p>
    <w:p w14:paraId="43F4D5A2" w14:textId="22B4787A" w:rsidR="00AE56DA" w:rsidRDefault="00AE56DA" w:rsidP="00085324">
      <w:pPr>
        <w:pStyle w:val="AbsHead"/>
      </w:pPr>
    </w:p>
    <w:p w14:paraId="007EA4E2" w14:textId="15882D4C" w:rsidR="00AE56DA" w:rsidRDefault="00AE56DA" w:rsidP="00085324">
      <w:pPr>
        <w:pStyle w:val="AbsHead"/>
      </w:pPr>
    </w:p>
    <w:p w14:paraId="243E831F" w14:textId="0D38F852" w:rsidR="00AE56DA" w:rsidRDefault="00AE56DA" w:rsidP="00085324">
      <w:pPr>
        <w:pStyle w:val="AbsHead"/>
      </w:pPr>
    </w:p>
    <w:p w14:paraId="5D9B1886" w14:textId="2208ADC0" w:rsidR="00AE56DA" w:rsidRDefault="00AE56DA" w:rsidP="00085324">
      <w:pPr>
        <w:pStyle w:val="AbsHead"/>
      </w:pPr>
    </w:p>
    <w:p w14:paraId="41FE7179" w14:textId="5953F6D0" w:rsidR="00AE56DA" w:rsidRDefault="00AE56DA" w:rsidP="00085324">
      <w:pPr>
        <w:pStyle w:val="AbsHead"/>
      </w:pPr>
    </w:p>
    <w:p w14:paraId="05306AD3" w14:textId="2D7ECB4A" w:rsidR="00AE56DA" w:rsidRDefault="00AE56DA" w:rsidP="00085324">
      <w:pPr>
        <w:pStyle w:val="AbsHead"/>
      </w:pPr>
    </w:p>
    <w:p w14:paraId="744996EB" w14:textId="462FA8B0" w:rsidR="00AE56DA" w:rsidRDefault="00AE56DA" w:rsidP="00085324">
      <w:pPr>
        <w:pStyle w:val="AbsHead"/>
      </w:pPr>
    </w:p>
    <w:p w14:paraId="2D673065" w14:textId="6AB85EF7" w:rsidR="00AE56DA" w:rsidRDefault="00AE56DA" w:rsidP="00085324">
      <w:pPr>
        <w:pStyle w:val="AbsHead"/>
      </w:pPr>
    </w:p>
    <w:p w14:paraId="3E20267D" w14:textId="40B01D96" w:rsidR="00AE56DA" w:rsidRDefault="00691AC1" w:rsidP="00085324">
      <w:pPr>
        <w:pStyle w:val="AbsHead"/>
      </w:pPr>
      <w:r w:rsidRPr="00B76BBD">
        <w:rPr>
          <w:noProof/>
        </w:rPr>
        <w:lastRenderedPageBreak/>
        <mc:AlternateContent>
          <mc:Choice Requires="wps">
            <w:drawing>
              <wp:anchor distT="45720" distB="45720" distL="114300" distR="114300" simplePos="0" relativeHeight="251684864" behindDoc="0" locked="0" layoutInCell="1" allowOverlap="1" wp14:anchorId="10B23714" wp14:editId="3F6BD730">
                <wp:simplePos x="0" y="0"/>
                <wp:positionH relativeFrom="margin">
                  <wp:align>right</wp:align>
                </wp:positionH>
                <wp:positionV relativeFrom="paragraph">
                  <wp:posOffset>-162560</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447.35pt;margin-top:-12.8pt;width:498.55pt;height:268.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ULR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580A9C" w:rsidRDefault="00FB3CCC" w:rsidP="00580A9C">
                            <w:pPr>
                              <w:spacing w:line="240" w:lineRule="auto"/>
                              <w:jc w:val="center"/>
                              <w:rPr>
                                <w:rFonts w:ascii="Calibri" w:eastAsia="Times New Roman" w:hAnsi="Calibri" w:cs="Calibri"/>
                                <w:b/>
                                <w:bCs/>
                                <w:sz w:val="16"/>
                                <w:szCs w:val="16"/>
                                <w:lang w:eastAsia="zh-CN"/>
                              </w:rPr>
                            </w:pPr>
                            <w:r w:rsidRPr="002D3477">
                              <w:rPr>
                                <w:rFonts w:ascii="Calibri" w:eastAsia="Times New Roman" w:hAnsi="Calibri" w:cs="Calibri"/>
                                <w:b/>
                                <w:bCs/>
                                <w:sz w:val="16"/>
                                <w:szCs w:val="16"/>
                                <w:highlight w:val="yellow"/>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w10:wrap anchorx="margin"/>
              </v:shape>
            </w:pict>
          </mc:Fallback>
        </mc:AlternateContent>
      </w: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2B20741F" w:rsidR="00AE56DA" w:rsidRDefault="00AE56DA" w:rsidP="00085324">
      <w:pPr>
        <w:pStyle w:val="AbsHead"/>
      </w:pPr>
    </w:p>
    <w:p w14:paraId="17139B50" w14:textId="6639FB91" w:rsidR="00AE56DA" w:rsidRDefault="00AE56DA" w:rsidP="00085324">
      <w:pPr>
        <w:pStyle w:val="AbsHead"/>
      </w:pPr>
    </w:p>
    <w:p w14:paraId="5974C9A8" w14:textId="058011F4" w:rsidR="00AE56DA" w:rsidRDefault="00AE56DA" w:rsidP="00085324">
      <w:pPr>
        <w:pStyle w:val="AbsHead"/>
      </w:pPr>
    </w:p>
    <w:p w14:paraId="0CE46E8D" w14:textId="3271DDE2" w:rsidR="00AE56DA" w:rsidRDefault="00AE56DA" w:rsidP="00085324">
      <w:pPr>
        <w:pStyle w:val="AbsHead"/>
      </w:pPr>
    </w:p>
    <w:p w14:paraId="5559E597" w14:textId="74C9BE6C" w:rsidR="00AE56DA" w:rsidRDefault="00AE56DA" w:rsidP="00085324">
      <w:pPr>
        <w:pStyle w:val="AbsHead"/>
      </w:pPr>
    </w:p>
    <w:p w14:paraId="7A9B3D00" w14:textId="30802E4C" w:rsidR="00AE56DA" w:rsidRDefault="00AE56DA" w:rsidP="00085324">
      <w:pPr>
        <w:pStyle w:val="AbsHead"/>
      </w:pPr>
    </w:p>
    <w:p w14:paraId="407CF8D8" w14:textId="74FEBEFE" w:rsidR="00AE56DA" w:rsidRDefault="00AE56DA" w:rsidP="00085324">
      <w:pPr>
        <w:pStyle w:val="AbsHead"/>
      </w:pPr>
    </w:p>
    <w:p w14:paraId="1D46614C" w14:textId="300F6372" w:rsidR="00AE56DA" w:rsidRDefault="00AE56DA" w:rsidP="00085324">
      <w:pPr>
        <w:pStyle w:val="AbsHead"/>
      </w:pPr>
    </w:p>
    <w:p w14:paraId="5966E727" w14:textId="5BBE9BBB" w:rsidR="00AE56DA" w:rsidRDefault="00AE56DA" w:rsidP="00085324">
      <w:pPr>
        <w:pStyle w:val="AbsHead"/>
      </w:pPr>
    </w:p>
    <w:p w14:paraId="3A694999" w14:textId="7439454D" w:rsidR="00AE56DA" w:rsidRDefault="00AE56DA" w:rsidP="00085324">
      <w:pPr>
        <w:pStyle w:val="AbsHead"/>
      </w:pPr>
    </w:p>
    <w:p w14:paraId="54248931" w14:textId="18AFFE23" w:rsidR="00AE56DA" w:rsidRDefault="00AE56DA" w:rsidP="00085324">
      <w:pPr>
        <w:pStyle w:val="AbsHead"/>
      </w:pPr>
    </w:p>
    <w:p w14:paraId="32B53652" w14:textId="6CF1A4B4" w:rsidR="00AE56DA" w:rsidRDefault="00AE56DA" w:rsidP="00085324">
      <w:pPr>
        <w:pStyle w:val="AbsHead"/>
      </w:pPr>
    </w:p>
    <w:p w14:paraId="0D488115" w14:textId="318CC77D" w:rsidR="00AE56DA" w:rsidRDefault="00AE56DA" w:rsidP="00085324">
      <w:pPr>
        <w:pStyle w:val="AbsHead"/>
      </w:pPr>
    </w:p>
    <w:p w14:paraId="00CDDD7B" w14:textId="74B66DB4" w:rsidR="00AE56DA" w:rsidRDefault="00AE56DA" w:rsidP="00085324">
      <w:pPr>
        <w:pStyle w:val="AbsHead"/>
      </w:pPr>
    </w:p>
    <w:p w14:paraId="159B912C" w14:textId="0C1D10E4" w:rsidR="00AE56DA" w:rsidRDefault="00AE56DA" w:rsidP="00085324">
      <w:pPr>
        <w:pStyle w:val="AbsHead"/>
      </w:pPr>
    </w:p>
    <w:p w14:paraId="521DAE61" w14:textId="57B797E1" w:rsidR="00AE56DA" w:rsidRDefault="00AE56DA" w:rsidP="00085324">
      <w:pPr>
        <w:pStyle w:val="AbsHead"/>
      </w:pPr>
    </w:p>
    <w:p w14:paraId="394A6802" w14:textId="7684E353" w:rsidR="00AE56DA" w:rsidRDefault="00AE56DA" w:rsidP="00085324">
      <w:pPr>
        <w:pStyle w:val="AbsHead"/>
      </w:pPr>
    </w:p>
    <w:p w14:paraId="6311D5BF" w14:textId="3E41DE1F" w:rsidR="00AE56DA" w:rsidRDefault="00AE56DA" w:rsidP="00085324">
      <w:pPr>
        <w:pStyle w:val="AbsHead"/>
      </w:pPr>
    </w:p>
    <w:p w14:paraId="7FF32E03" w14:textId="2F3938BB" w:rsidR="00AE56DA" w:rsidRDefault="00AE56DA" w:rsidP="00085324">
      <w:pPr>
        <w:pStyle w:val="AbsHead"/>
      </w:pPr>
    </w:p>
    <w:p w14:paraId="4142195A" w14:textId="1FD36D1C" w:rsidR="00AE56DA" w:rsidRDefault="00AE56DA" w:rsidP="00085324">
      <w:pPr>
        <w:pStyle w:val="AbsHead"/>
      </w:pPr>
    </w:p>
    <w:p w14:paraId="0D0D95BB" w14:textId="5D35D025" w:rsidR="00AE56DA" w:rsidRDefault="00AE56DA" w:rsidP="00085324">
      <w:pPr>
        <w:pStyle w:val="AbsHead"/>
      </w:pPr>
    </w:p>
    <w:p w14:paraId="747EF188" w14:textId="4504E34B" w:rsidR="00AE56DA" w:rsidRDefault="00AE56DA" w:rsidP="00085324">
      <w:pPr>
        <w:pStyle w:val="AbsHead"/>
      </w:pPr>
    </w:p>
    <w:p w14:paraId="67909BDF" w14:textId="31B89BDF" w:rsidR="00AE56DA" w:rsidRDefault="00AE56DA" w:rsidP="00085324">
      <w:pPr>
        <w:pStyle w:val="AbsHead"/>
      </w:pPr>
    </w:p>
    <w:p w14:paraId="0CBAE4F8" w14:textId="78EEA8CD" w:rsidR="00AE56DA" w:rsidRDefault="00AE56DA" w:rsidP="00085324">
      <w:pPr>
        <w:pStyle w:val="AbsHead"/>
      </w:pPr>
    </w:p>
    <w:p w14:paraId="3EB10A8F" w14:textId="24072200" w:rsidR="00480197" w:rsidRDefault="00AE56DA" w:rsidP="00085324">
      <w:pPr>
        <w:pStyle w:val="AbsHead"/>
      </w:pPr>
      <w:r>
        <w:rPr>
          <w:noProof/>
        </w:rPr>
        <mc:AlternateContent>
          <mc:Choice Requires="wps">
            <w:drawing>
              <wp:anchor distT="45720" distB="45720" distL="114300" distR="114300" simplePos="0" relativeHeight="251686912" behindDoc="0" locked="0" layoutInCell="1" allowOverlap="1" wp14:anchorId="179B3064" wp14:editId="00360B4A">
                <wp:simplePos x="0" y="0"/>
                <wp:positionH relativeFrom="margin">
                  <wp:align>center</wp:align>
                </wp:positionH>
                <wp:positionV relativeFrom="paragraph">
                  <wp:posOffset>3362960</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0;margin-top:264.8pt;width:531.05pt;height:358.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D3042B8" w14:textId="4A87884F" w:rsidR="00480197" w:rsidRDefault="00480197" w:rsidP="00085324">
      <w:pPr>
        <w:pStyle w:val="AbsHead"/>
      </w:pPr>
    </w:p>
    <w:sectPr w:rsidR="00480197"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C8354" w14:textId="77777777" w:rsidR="00AE2012" w:rsidRDefault="00AE2012">
      <w:r>
        <w:separator/>
      </w:r>
    </w:p>
  </w:endnote>
  <w:endnote w:type="continuationSeparator" w:id="0">
    <w:p w14:paraId="35C1C3AB" w14:textId="77777777" w:rsidR="00AE2012" w:rsidRDefault="00AE2012">
      <w:r>
        <w:continuationSeparator/>
      </w:r>
    </w:p>
  </w:endnote>
  <w:endnote w:type="continuationNotice" w:id="1">
    <w:p w14:paraId="6B607460" w14:textId="77777777" w:rsidR="00AE2012" w:rsidRDefault="00AE20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C135" w14:textId="77777777" w:rsidR="00AE2012" w:rsidRDefault="00AE2012">
      <w:r>
        <w:separator/>
      </w:r>
    </w:p>
  </w:footnote>
  <w:footnote w:type="continuationSeparator" w:id="0">
    <w:p w14:paraId="59E79E90" w14:textId="77777777" w:rsidR="00AE2012" w:rsidRDefault="00AE2012">
      <w:r>
        <w:continuationSeparator/>
      </w:r>
    </w:p>
  </w:footnote>
  <w:footnote w:type="continuationNotice" w:id="1">
    <w:p w14:paraId="0CE7FCA5" w14:textId="77777777" w:rsidR="00AE2012" w:rsidRDefault="00AE20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AB1"/>
    <w:rsid w:val="00714E3F"/>
    <w:rsid w:val="0071510F"/>
    <w:rsid w:val="00715182"/>
    <w:rsid w:val="007170CB"/>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990"/>
    <w:rsid w:val="009E3A6D"/>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012"/>
    <w:rsid w:val="00AE2E3D"/>
    <w:rsid w:val="00AE4487"/>
    <w:rsid w:val="00AE4500"/>
    <w:rsid w:val="00AE5530"/>
    <w:rsid w:val="00AE56DA"/>
    <w:rsid w:val="00AE5EFD"/>
    <w:rsid w:val="00AE75F6"/>
    <w:rsid w:val="00AE7780"/>
    <w:rsid w:val="00AF0773"/>
    <w:rsid w:val="00AF1BE8"/>
    <w:rsid w:val="00AF30E6"/>
    <w:rsid w:val="00AF3ADB"/>
    <w:rsid w:val="00AF3C7D"/>
    <w:rsid w:val="00B009A8"/>
    <w:rsid w:val="00B02994"/>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1AC0"/>
    <w:rsid w:val="00D81C2F"/>
    <w:rsid w:val="00D841F0"/>
    <w:rsid w:val="00D84A80"/>
    <w:rsid w:val="00D85454"/>
    <w:rsid w:val="00D874B2"/>
    <w:rsid w:val="00D8782D"/>
    <w:rsid w:val="00D903CA"/>
    <w:rsid w:val="00D9290D"/>
    <w:rsid w:val="00D92A15"/>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B0F5CE0D875A4358A76C775FE1CF9A21"/>
        <w:category>
          <w:name w:val="General"/>
          <w:gallery w:val="placeholder"/>
        </w:category>
        <w:types>
          <w:type w:val="bbPlcHdr"/>
        </w:types>
        <w:behaviors>
          <w:behavior w:val="content"/>
        </w:behaviors>
        <w:guid w:val="{2057A4C4-9723-4989-806E-1D3A9F3517FE}"/>
      </w:docPartPr>
      <w:docPartBody>
        <w:p w:rsidR="00680D2B" w:rsidRDefault="003C1349" w:rsidP="003C1349">
          <w:pPr>
            <w:pStyle w:val="B0F5CE0D875A4358A76C775FE1CF9A21"/>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3C1349"/>
    <w:rsid w:val="003D240D"/>
    <w:rsid w:val="00680D2B"/>
    <w:rsid w:val="006D6379"/>
    <w:rsid w:val="00785A33"/>
    <w:rsid w:val="0085474C"/>
    <w:rsid w:val="00AA5699"/>
    <w:rsid w:val="00B30114"/>
    <w:rsid w:val="00B9322C"/>
    <w:rsid w:val="00C24427"/>
    <w:rsid w:val="00C272DD"/>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1349"/>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B0F5CE0D875A4358A76C775FE1CF9A21">
    <w:name w:val="B0F5CE0D875A4358A76C775FE1CF9A21"/>
    <w:rsid w:val="003C1349"/>
    <w:rPr>
      <w:lang w:eastAsia="en-US"/>
    </w:rPr>
  </w:style>
  <w:style w:type="paragraph" w:customStyle="1" w:styleId="CB1A26723141468FAC8A24D88C3AE26B">
    <w:name w:val="CB1A26723141468FAC8A24D88C3AE26B"/>
    <w:rsid w:val="003C1349"/>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1]&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b10c968a-3ae2-41bf-8ee4-4c1f37b30c83&quot;,&quot;properties&quot;:{&quot;noteIndex&quot;:0},&quot;isEdited&quot;:false,&quot;manualOverride&quot;:{&quot;isManuallyOverridden&quot;:false,&quot;citeprocText&quot;:&quot;[12]&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3]&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3]&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3]&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4]&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5]&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6]&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17]&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18]&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19]&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0]&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1]&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b6c71782-289b-4363-b29e-53c1e1af8701&quot;,&quot;properties&quot;:{&quot;noteIndex&quot;:0},&quot;isEdited&quot;:false,&quot;manualOverride&quot;:{&quot;citeprocText&quot;:&quot;[22]–[24]&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Ml3igJNbMjR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5]&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V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6]&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Nl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7]&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N1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28]&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O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218</TotalTime>
  <Pages>9</Pages>
  <Words>4826</Words>
  <Characters>27512</Characters>
  <Application>Microsoft Office Word</Application>
  <DocSecurity>0</DocSecurity>
  <Lines>229</Lines>
  <Paragraphs>64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32274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14</cp:revision>
  <cp:lastPrinted>2022-05-15T20:03:00Z</cp:lastPrinted>
  <dcterms:created xsi:type="dcterms:W3CDTF">2022-05-15T14:56:00Z</dcterms:created>
  <dcterms:modified xsi:type="dcterms:W3CDTF">2022-05-15T21:35:00Z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