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30"/>
        </w:rPr>
        <w:t>EMERGING TECHNOLOGIES</w:t>
      </w:r>
    </w:p>
    <w:p>
      <w:pPr>
        <w:pStyle w:val="Title"/>
        <w:jc w:val="center"/>
      </w:pPr>
      <w:r>
        <w:t>Weekly Individual</w:t>
        <w:br/>
        <w:t>Professional-Practice Assignments</w:t>
      </w:r>
    </w:p>
    <w:p>
      <w:pPr>
        <w:jc w:val="center"/>
      </w:pPr>
      <w:r>
        <w:rPr>
          <w:b/>
          <w:sz w:val="26"/>
        </w:rPr>
        <w:t>Student Instructions</w:t>
      </w:r>
    </w:p>
    <w:p>
      <w:pPr>
        <w:jc w:val="center"/>
      </w:pPr>
      <w:r>
        <w:rPr>
          <w:color w:val="666666"/>
          <w:sz w:val="22"/>
        </w:rPr>
        <w:t>Building specialist agents that analyze emerging technologies in context and contribute to an integrated management decision-support tool.</w:t>
      </w:r>
    </w:p>
    <w:p>
      <w:pPr>
        <w:jc w:val="center"/>
      </w:pPr>
      <w:r>
        <w:rPr>
          <w:b/>
          <w:color w:val="57068C"/>
        </w:rPr>
        <w:t>MASY1-GC 1800</w:t>
      </w:r>
    </w:p>
    <w:p>
      <w:r>
        <w:br w:type="page"/>
      </w:r>
    </w:p>
    <w:p>
      <w:pPr>
        <w:pStyle w:val="Heading1"/>
      </w:pPr>
      <w:r>
        <w:t>How the Weekly Individual Assignments Work</w:t>
      </w:r>
    </w:p>
    <w:p>
      <w:r>
        <w:t>These assignments are the individual practice stage of the course's flipped professional studio. You prepare before class, use class discussion and the instructor's craft-centered lecture to sharpen your understanding, then complete a bounded individual assignment. Your work becomes evidence and an independent point of view that you bring to the following team's in-class production session.</w:t>
      </w:r>
    </w:p>
    <w:p>
      <w:r>
        <w:t>Assignment 1 establishes your professional baseline. Assignments 2 through 8 each create one specialist emerging-technology analysis agent. The seven specialist agents are designed to become components of the team's final application-level mixture-of-experts decision-support tool. The objective is not to create seven unrelated chatbots. Each agent has a bounded analytical responsibility, a common contextual intake, a common structured output, and test evidence that makes later integration possible.</w:t>
      </w:r>
    </w:p>
    <w:p>
      <w:r>
        <w:t>The purpose is not to practice every technique introduced in a module. Each assignment gives you one bounded professional task that advances the semester project and requires judgment. You are expected to decide what matters, use appropriate tools to investigate it, verify consequential claims, and reach a defensible conclusion.</w:t>
      </w:r>
    </w:p>
    <w:tbl>
      <w:tblPr>
        <w:tblW w:type="auto" w:w="0"/>
        <w:jc w:val="center"/>
        <w:tblLook w:firstColumn="1" w:firstRow="1" w:lastColumn="0" w:lastRow="0" w:noHBand="0" w:noVBand="1" w:val="04A0"/>
      </w:tblPr>
      <w:tblGrid>
        <w:gridCol w:w="10166"/>
      </w:tblGrid>
      <w:tr>
        <w:tc>
          <w:tcPr>
            <w:tcW w:type="dxa" w:w="10166"/>
            <w:shd w:fill="F3EDF7"/>
            <w:tcMar>
              <w:top w:w="100" w:type="dxa"/>
              <w:start w:w="130" w:type="dxa"/>
              <w:bottom w:w="100" w:type="dxa"/>
              <w:end w:w="130" w:type="dxa"/>
            </w:tcMar>
          </w:tcPr>
          <w:p>
            <w:pPr>
              <w:pStyle w:val="Callout"/>
            </w:pPr>
            <w:r>
              <w:t>Time expectation: Design your work for 60-90 minutes of focused effort. Stop at 90 minutes unless the instructor explicitly directs otherwise. The frozen course scaffold and ChatGPT/Codex are supplied so that you can spend your time on specialist reasoning, testing, evidence, and judgment rather than rebuilding basic agent plumbing. When the time boundary is reached, preserve unresolved questions, limitations, or test failures.</w:t>
            </w:r>
          </w:p>
        </w:tc>
      </w:tr>
    </w:tbl>
    <w:p/>
    <w:p>
      <w:pPr>
        <w:pStyle w:val="Heading2"/>
      </w:pPr>
      <w:r>
        <w:t>The Recurring Learning Cycle</w:t>
      </w:r>
    </w:p>
    <w:p>
      <w:pPr>
        <w:pStyle w:val="ListBullet"/>
      </w:pPr>
      <w:r>
        <w:t>Prepare: Acquire enough working knowledge before class to understand the week's emerging-technology concept and professional task.</w:t>
      </w:r>
    </w:p>
    <w:p>
      <w:pPr>
        <w:pStyle w:val="ListBullet"/>
      </w:pPr>
      <w:r>
        <w:t>Receive craft: Use the instructor's lecture, examples, and discussion to recognize hype, weak evidence, hidden assumptions, tradeoffs, and consequential judgments.</w:t>
      </w:r>
    </w:p>
    <w:p>
      <w:pPr>
        <w:pStyle w:val="ListBullet"/>
      </w:pPr>
      <w:r>
        <w:t>Build and analyze individually: Create or improve one bounded specialist agent that applies the week's analytical lens.</w:t>
      </w:r>
    </w:p>
    <w:p>
      <w:pPr>
        <w:pStyle w:val="ListBullet"/>
      </w:pPr>
      <w:r>
        <w:t>Test context sensitivity: Determine whether the agent distinguishes the general state of the technology from what that state means for a specific application and organization.</w:t>
      </w:r>
    </w:p>
    <w:p>
      <w:pPr>
        <w:pStyle w:val="ListBullet"/>
      </w:pPr>
      <w:r>
        <w:t>Decide: Reach your own professional conclusion about the agent's analysis and limitations before team discussion.</w:t>
      </w:r>
    </w:p>
    <w:p>
      <w:pPr>
        <w:pStyle w:val="ListBullet"/>
      </w:pPr>
      <w:r>
        <w:t>Synthesize: Bring the agent, evidence, tests, and judgment to the team so competing designs and interpretations can be challenged and integrated.</w:t>
      </w:r>
    </w:p>
    <w:p>
      <w:pPr>
        <w:pStyle w:val="ListBullet"/>
      </w:pPr>
      <w:r>
        <w:t>Accumulate: The seven specialist agents become the expert components of the final team decision-support system.</w:t>
      </w:r>
    </w:p>
    <w:p>
      <w:pPr>
        <w:pStyle w:val="Heading2"/>
      </w:pPr>
      <w:r>
        <w:t>The Context Rule for Every Specialist Agent</w:t>
      </w:r>
    </w:p>
    <w:p>
      <w:r>
        <w:t>Emerging technologies are not evaluated in a vacuum. The same technology can deserve different conclusions when the contemplated application, organization, risk environment, or adoption posture changes. Every specialist agent in Assignments 2-8 must therefore distinguish three levels of analysis:</w:t>
      </w:r>
    </w:p>
    <w:p>
      <w:pPr>
        <w:pStyle w:val="ListBullet"/>
      </w:pPr>
      <w:r>
        <w:t>ET generally: What is reasonably true about the emerging technology itself on this agent's analytical dimension?</w:t>
      </w:r>
    </w:p>
    <w:p>
      <w:pPr>
        <w:pStyle w:val="ListBullet"/>
      </w:pPr>
      <w:r>
        <w:t>ET for this application: What changes when the technology is considered for the specific intended use?</w:t>
      </w:r>
    </w:p>
    <w:p>
      <w:pPr>
        <w:pStyle w:val="ListBullet"/>
      </w:pPr>
      <w:r>
        <w:t>ET for this application in this organization: What does the combination imply given the organization's industry, capabilities, constraints, risk tolerance, and emerging-technology posture?</w:t>
      </w:r>
    </w:p>
    <w:p>
      <w:r>
        <w:t>The organization does not rewrite the general evidence. A conservative organization does not make a technology less mature, and an aggressive organization does not make it more mature. Organizational context changes the interpretation, timing, acceptable uncertainty, and management action that follow from the general evidence.</w:t>
      </w:r>
    </w:p>
    <w:p>
      <w:pPr>
        <w:pStyle w:val="Heading2"/>
      </w:pPr>
      <w:r>
        <w:t>Common Context Intake for Assignments 2-8</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tcMar>
              <w:top w:w="80" w:type="dxa"/>
              <w:start w:w="100" w:type="dxa"/>
              <w:bottom w:w="80" w:type="dxa"/>
              <w:end w:w="100" w:type="dxa"/>
            </w:tcMar>
            <w:shd w:fill="57068C"/>
            <w:vAlign w:val="center"/>
          </w:tcPr>
          <w:p>
            <w:pPr>
              <w:spacing w:after="40"/>
            </w:pPr>
            <w:r>
              <w:rPr>
                <w:b/>
                <w:color w:val="FFFFFF"/>
                <w:sz w:val="18"/>
              </w:rPr>
              <w:t>Input</w:t>
            </w:r>
          </w:p>
        </w:tc>
        <w:tc>
          <w:tcPr>
            <w:tcW w:type="dxa" w:w="5083"/>
            <w:tcMar>
              <w:top w:w="80" w:type="dxa"/>
              <w:start w:w="100" w:type="dxa"/>
              <w:bottom w:w="80" w:type="dxa"/>
              <w:end w:w="100" w:type="dxa"/>
            </w:tcMar>
            <w:shd w:fill="57068C"/>
            <w:vAlign w:val="center"/>
          </w:tcPr>
          <w:p>
            <w:pPr>
              <w:spacing w:after="40"/>
            </w:pPr>
            <w:r>
              <w:rPr>
                <w:b/>
                <w:color w:val="FFFFFF"/>
                <w:sz w:val="18"/>
              </w:rPr>
              <w:t>Required context</w:t>
            </w:r>
          </w:p>
        </w:tc>
      </w:tr>
      <w:tr>
        <w:tc>
          <w:tcPr>
            <w:tcW w:type="dxa" w:w="5083"/>
            <w:tcMar>
              <w:top w:w="80" w:type="dxa"/>
              <w:start w:w="100" w:type="dxa"/>
              <w:bottom w:w="80" w:type="dxa"/>
              <w:end w:w="100" w:type="dxa"/>
            </w:tcMar>
          </w:tcPr>
          <w:p>
            <w:pPr>
              <w:spacing w:after="40"/>
            </w:pPr>
            <w:r>
              <w:rPr>
                <w:sz w:val="18"/>
              </w:rPr>
              <w:t>Emerging technology</w:t>
            </w:r>
          </w:p>
        </w:tc>
        <w:tc>
          <w:tcPr>
            <w:tcW w:type="dxa" w:w="5083"/>
            <w:tcMar>
              <w:top w:w="80" w:type="dxa"/>
              <w:start w:w="100" w:type="dxa"/>
              <w:bottom w:w="80" w:type="dxa"/>
              <w:end w:w="100" w:type="dxa"/>
            </w:tcMar>
          </w:tcPr>
          <w:p>
            <w:pPr>
              <w:spacing w:after="40"/>
            </w:pPr>
            <w:r>
              <w:rPr>
                <w:sz w:val="18"/>
              </w:rPr>
              <w:t>The technology to be analyzed.</w:t>
            </w:r>
          </w:p>
        </w:tc>
      </w:tr>
      <w:tr>
        <w:tc>
          <w:tcPr>
            <w:tcW w:type="dxa" w:w="5083"/>
            <w:tcMar>
              <w:top w:w="80" w:type="dxa"/>
              <w:start w:w="100" w:type="dxa"/>
              <w:bottom w:w="80" w:type="dxa"/>
              <w:end w:w="100" w:type="dxa"/>
            </w:tcMar>
          </w:tcPr>
          <w:p>
            <w:pPr>
              <w:spacing w:after="40"/>
            </w:pPr>
            <w:r>
              <w:rPr>
                <w:sz w:val="18"/>
              </w:rPr>
              <w:t>Intended application</w:t>
            </w:r>
          </w:p>
        </w:tc>
        <w:tc>
          <w:tcPr>
            <w:tcW w:type="dxa" w:w="5083"/>
            <w:tcMar>
              <w:top w:w="80" w:type="dxa"/>
              <w:start w:w="100" w:type="dxa"/>
              <w:bottom w:w="80" w:type="dxa"/>
              <w:end w:w="100" w:type="dxa"/>
            </w:tcMar>
          </w:tcPr>
          <w:p>
            <w:pPr>
              <w:spacing w:after="40"/>
            </w:pPr>
            <w:r>
              <w:rPr>
                <w:sz w:val="18"/>
              </w:rPr>
              <w:t>The specific use case or organizational capability being contemplated.</w:t>
            </w:r>
          </w:p>
        </w:tc>
      </w:tr>
      <w:tr>
        <w:tc>
          <w:tcPr>
            <w:tcW w:type="dxa" w:w="5083"/>
            <w:tcMar>
              <w:top w:w="80" w:type="dxa"/>
              <w:start w:w="100" w:type="dxa"/>
              <w:bottom w:w="80" w:type="dxa"/>
              <w:end w:w="100" w:type="dxa"/>
            </w:tcMar>
          </w:tcPr>
          <w:p>
            <w:pPr>
              <w:spacing w:after="40"/>
            </w:pPr>
            <w:r>
              <w:rPr>
                <w:sz w:val="18"/>
              </w:rPr>
              <w:t>Organization</w:t>
            </w:r>
          </w:p>
        </w:tc>
        <w:tc>
          <w:tcPr>
            <w:tcW w:type="dxa" w:w="5083"/>
            <w:tcMar>
              <w:top w:w="80" w:type="dxa"/>
              <w:start w:w="100" w:type="dxa"/>
              <w:bottom w:w="80" w:type="dxa"/>
              <w:end w:w="100" w:type="dxa"/>
            </w:tcMar>
          </w:tcPr>
          <w:p>
            <w:pPr>
              <w:spacing w:after="40"/>
            </w:pPr>
            <w:r>
              <w:rPr>
                <w:sz w:val="18"/>
              </w:rPr>
              <w:t>The organization or organization type that would employ the technology.</w:t>
            </w:r>
          </w:p>
        </w:tc>
      </w:tr>
      <w:tr>
        <w:tc>
          <w:tcPr>
            <w:tcW w:type="dxa" w:w="5083"/>
            <w:tcMar>
              <w:top w:w="80" w:type="dxa"/>
              <w:start w:w="100" w:type="dxa"/>
              <w:bottom w:w="80" w:type="dxa"/>
              <w:end w:w="100" w:type="dxa"/>
            </w:tcMar>
          </w:tcPr>
          <w:p>
            <w:pPr>
              <w:spacing w:after="40"/>
            </w:pPr>
            <w:r>
              <w:rPr>
                <w:sz w:val="18"/>
              </w:rPr>
              <w:t>Industry / sector</w:t>
            </w:r>
          </w:p>
        </w:tc>
        <w:tc>
          <w:tcPr>
            <w:tcW w:type="dxa" w:w="5083"/>
            <w:tcMar>
              <w:top w:w="80" w:type="dxa"/>
              <w:start w:w="100" w:type="dxa"/>
              <w:bottom w:w="80" w:type="dxa"/>
              <w:end w:w="100" w:type="dxa"/>
            </w:tcMar>
          </w:tcPr>
          <w:p>
            <w:pPr>
              <w:spacing w:after="40"/>
            </w:pPr>
            <w:r>
              <w:rPr>
                <w:sz w:val="18"/>
              </w:rPr>
              <w:t>The relevant operating, competitive, regulatory, or safety environment.</w:t>
            </w:r>
          </w:p>
        </w:tc>
      </w:tr>
      <w:tr>
        <w:tc>
          <w:tcPr>
            <w:tcW w:type="dxa" w:w="5083"/>
            <w:tcMar>
              <w:top w:w="80" w:type="dxa"/>
              <w:start w:w="100" w:type="dxa"/>
              <w:bottom w:w="80" w:type="dxa"/>
              <w:end w:w="100" w:type="dxa"/>
            </w:tcMar>
          </w:tcPr>
          <w:p>
            <w:pPr>
              <w:spacing w:after="40"/>
            </w:pPr>
            <w:r>
              <w:rPr>
                <w:sz w:val="18"/>
              </w:rPr>
              <w:t>Business need</w:t>
            </w:r>
          </w:p>
        </w:tc>
        <w:tc>
          <w:tcPr>
            <w:tcW w:type="dxa" w:w="5083"/>
            <w:tcMar>
              <w:top w:w="80" w:type="dxa"/>
              <w:start w:w="100" w:type="dxa"/>
              <w:bottom w:w="80" w:type="dxa"/>
              <w:end w:w="100" w:type="dxa"/>
            </w:tcMar>
          </w:tcPr>
          <w:p>
            <w:pPr>
              <w:spacing w:after="40"/>
            </w:pPr>
            <w:r>
              <w:rPr>
                <w:sz w:val="18"/>
              </w:rPr>
              <w:t>The problem, opportunity, or decision the application is intended to address.</w:t>
            </w:r>
          </w:p>
        </w:tc>
      </w:tr>
      <w:tr>
        <w:tc>
          <w:tcPr>
            <w:tcW w:type="dxa" w:w="5083"/>
            <w:tcMar>
              <w:top w:w="80" w:type="dxa"/>
              <w:start w:w="100" w:type="dxa"/>
              <w:bottom w:w="80" w:type="dxa"/>
              <w:end w:w="100" w:type="dxa"/>
            </w:tcMar>
          </w:tcPr>
          <w:p>
            <w:pPr>
              <w:spacing w:after="40"/>
            </w:pPr>
            <w:r>
              <w:rPr>
                <w:sz w:val="18"/>
              </w:rPr>
              <w:t>Users / stakeholders</w:t>
            </w:r>
          </w:p>
        </w:tc>
        <w:tc>
          <w:tcPr>
            <w:tcW w:type="dxa" w:w="5083"/>
            <w:tcMar>
              <w:top w:w="80" w:type="dxa"/>
              <w:start w:w="100" w:type="dxa"/>
              <w:bottom w:w="80" w:type="dxa"/>
              <w:end w:w="100" w:type="dxa"/>
            </w:tcMar>
          </w:tcPr>
          <w:p>
            <w:pPr>
              <w:spacing w:after="40"/>
            </w:pPr>
            <w:r>
              <w:rPr>
                <w:sz w:val="18"/>
              </w:rPr>
              <w:t>The people or groups who use, are affected by, govern, or depend on the application.</w:t>
            </w:r>
          </w:p>
        </w:tc>
      </w:tr>
      <w:tr>
        <w:tc>
          <w:tcPr>
            <w:tcW w:type="dxa" w:w="5083"/>
            <w:tcMar>
              <w:top w:w="80" w:type="dxa"/>
              <w:start w:w="100" w:type="dxa"/>
              <w:bottom w:w="80" w:type="dxa"/>
              <w:end w:w="100" w:type="dxa"/>
            </w:tcMar>
          </w:tcPr>
          <w:p>
            <w:pPr>
              <w:spacing w:after="40"/>
            </w:pPr>
            <w:r>
              <w:rPr>
                <w:sz w:val="18"/>
              </w:rPr>
              <w:t>Adoption posture</w:t>
            </w:r>
          </w:p>
        </w:tc>
        <w:tc>
          <w:tcPr>
            <w:tcW w:type="dxa" w:w="5083"/>
            <w:tcMar>
              <w:top w:w="80" w:type="dxa"/>
              <w:start w:w="100" w:type="dxa"/>
              <w:bottom w:w="80" w:type="dxa"/>
              <w:end w:w="100" w:type="dxa"/>
            </w:tcMar>
          </w:tcPr>
          <w:p>
            <w:pPr>
              <w:spacing w:after="40"/>
            </w:pPr>
            <w:r>
              <w:rPr>
                <w:sz w:val="18"/>
              </w:rPr>
              <w:t>Aggressive/leading-edge, moderate/fast-follower, conservative/risk-averse, or a more specific description supported by context.</w:t>
            </w:r>
          </w:p>
        </w:tc>
      </w:tr>
      <w:tr>
        <w:tc>
          <w:tcPr>
            <w:tcW w:type="dxa" w:w="5083"/>
            <w:tcMar>
              <w:top w:w="80" w:type="dxa"/>
              <w:start w:w="100" w:type="dxa"/>
              <w:bottom w:w="80" w:type="dxa"/>
              <w:end w:w="100" w:type="dxa"/>
            </w:tcMar>
          </w:tcPr>
          <w:p>
            <w:pPr>
              <w:spacing w:after="40"/>
            </w:pPr>
            <w:r>
              <w:rPr>
                <w:sz w:val="18"/>
              </w:rPr>
              <w:t>Capabilities / constraints</w:t>
            </w:r>
          </w:p>
        </w:tc>
        <w:tc>
          <w:tcPr>
            <w:tcW w:type="dxa" w:w="5083"/>
            <w:tcMar>
              <w:top w:w="80" w:type="dxa"/>
              <w:start w:w="100" w:type="dxa"/>
              <w:bottom w:w="80" w:type="dxa"/>
              <w:end w:w="100" w:type="dxa"/>
            </w:tcMar>
          </w:tcPr>
          <w:p>
            <w:pPr>
              <w:spacing w:after="40"/>
            </w:pPr>
            <w:r>
              <w:rPr>
                <w:sz w:val="18"/>
              </w:rPr>
              <w:t>Important skills, infrastructure, data, budget, workflow, policy, or operating constraints.</w:t>
            </w:r>
          </w:p>
        </w:tc>
      </w:tr>
      <w:tr>
        <w:tc>
          <w:tcPr>
            <w:tcW w:type="dxa" w:w="5083"/>
            <w:tcMar>
              <w:top w:w="80" w:type="dxa"/>
              <w:start w:w="100" w:type="dxa"/>
              <w:bottom w:w="80" w:type="dxa"/>
              <w:end w:w="100" w:type="dxa"/>
            </w:tcMar>
          </w:tcPr>
          <w:p>
            <w:pPr>
              <w:spacing w:after="40"/>
            </w:pPr>
            <w:r>
              <w:rPr>
                <w:sz w:val="18"/>
              </w:rPr>
              <w:t>Risk / consequence context</w:t>
            </w:r>
          </w:p>
        </w:tc>
        <w:tc>
          <w:tcPr>
            <w:tcW w:type="dxa" w:w="5083"/>
            <w:tcMar>
              <w:top w:w="80" w:type="dxa"/>
              <w:start w:w="100" w:type="dxa"/>
              <w:bottom w:w="80" w:type="dxa"/>
              <w:end w:w="100" w:type="dxa"/>
            </w:tcMar>
          </w:tcPr>
          <w:p>
            <w:pPr>
              <w:spacing w:after="40"/>
            </w:pPr>
            <w:r>
              <w:rPr>
                <w:sz w:val="18"/>
              </w:rPr>
              <w:t>What failure could mean and how reversible or consequential the application is.</w:t>
            </w:r>
          </w:p>
        </w:tc>
      </w:tr>
      <w:tr>
        <w:tc>
          <w:tcPr>
            <w:tcW w:type="dxa" w:w="5083"/>
            <w:tcMar>
              <w:top w:w="80" w:type="dxa"/>
              <w:start w:w="100" w:type="dxa"/>
              <w:bottom w:w="80" w:type="dxa"/>
              <w:end w:w="100" w:type="dxa"/>
            </w:tcMar>
          </w:tcPr>
          <w:p>
            <w:pPr>
              <w:spacing w:after="40"/>
            </w:pPr>
            <w:r>
              <w:rPr>
                <w:sz w:val="18"/>
              </w:rPr>
              <w:t>Decision and time horizon</w:t>
            </w:r>
          </w:p>
        </w:tc>
        <w:tc>
          <w:tcPr>
            <w:tcW w:type="dxa" w:w="5083"/>
            <w:tcMar>
              <w:top w:w="80" w:type="dxa"/>
              <w:start w:w="100" w:type="dxa"/>
              <w:bottom w:w="80" w:type="dxa"/>
              <w:end w:w="100" w:type="dxa"/>
            </w:tcMar>
          </w:tcPr>
          <w:p>
            <w:pPr>
              <w:spacing w:after="40"/>
            </w:pPr>
            <w:r>
              <w:rPr>
                <w:sz w:val="18"/>
              </w:rPr>
              <w:t>What management is deciding now and over what time period.</w:t>
            </w:r>
          </w:p>
        </w:tc>
      </w:tr>
    </w:tbl>
    <w:p>
      <w:pPr>
        <w:pStyle w:val="Heading2"/>
      </w:pPr>
      <w:r>
        <w:t>Common Agent Output Contract</w:t>
      </w:r>
    </w:p>
    <w:p>
      <w:r>
        <w:t>Each specialist agent should return a structured record that can later be consumed by the team orchestrator. A table, structured form, or JSON-like schema may be used, but the semantic fields should remain consistent across agents.</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tcMar>
              <w:top w:w="80" w:type="dxa"/>
              <w:start w:w="100" w:type="dxa"/>
              <w:bottom w:w="80" w:type="dxa"/>
              <w:end w:w="100" w:type="dxa"/>
            </w:tcMar>
            <w:shd w:fill="57068C"/>
            <w:vAlign w:val="center"/>
          </w:tcPr>
          <w:p>
            <w:pPr>
              <w:spacing w:after="40"/>
            </w:pPr>
            <w:r>
              <w:rPr>
                <w:b/>
                <w:color w:val="FFFFFF"/>
                <w:sz w:val="18"/>
              </w:rPr>
              <w:t>Output field</w:t>
            </w:r>
          </w:p>
        </w:tc>
        <w:tc>
          <w:tcPr>
            <w:tcW w:type="dxa" w:w="5083"/>
            <w:tcMar>
              <w:top w:w="80" w:type="dxa"/>
              <w:start w:w="100" w:type="dxa"/>
              <w:bottom w:w="80" w:type="dxa"/>
              <w:end w:w="100" w:type="dxa"/>
            </w:tcMar>
            <w:shd w:fill="57068C"/>
            <w:vAlign w:val="center"/>
          </w:tcPr>
          <w:p>
            <w:pPr>
              <w:spacing w:after="40"/>
            </w:pPr>
            <w:r>
              <w:rPr>
                <w:b/>
                <w:color w:val="FFFFFF"/>
                <w:sz w:val="18"/>
              </w:rPr>
              <w:t>Required content</w:t>
            </w:r>
          </w:p>
        </w:tc>
      </w:tr>
      <w:tr>
        <w:tc>
          <w:tcPr>
            <w:tcW w:type="dxa" w:w="5083"/>
            <w:tcMar>
              <w:top w:w="80" w:type="dxa"/>
              <w:start w:w="100" w:type="dxa"/>
              <w:bottom w:w="80" w:type="dxa"/>
              <w:end w:w="100" w:type="dxa"/>
            </w:tcMar>
          </w:tcPr>
          <w:p>
            <w:pPr>
              <w:spacing w:after="40"/>
            </w:pPr>
            <w:r>
              <w:rPr>
                <w:sz w:val="18"/>
              </w:rPr>
              <w:t>Analytical question</w:t>
            </w:r>
          </w:p>
        </w:tc>
        <w:tc>
          <w:tcPr>
            <w:tcW w:type="dxa" w:w="5083"/>
            <w:tcMar>
              <w:top w:w="80" w:type="dxa"/>
              <w:start w:w="100" w:type="dxa"/>
              <w:bottom w:w="80" w:type="dxa"/>
              <w:end w:w="100" w:type="dxa"/>
            </w:tcMar>
          </w:tcPr>
          <w:p>
            <w:pPr>
              <w:spacing w:after="40"/>
            </w:pPr>
            <w:r>
              <w:rPr>
                <w:sz w:val="18"/>
              </w:rPr>
              <w:t>The bounded question this specialist agent answers and the decision it informs.</w:t>
            </w:r>
          </w:p>
        </w:tc>
      </w:tr>
      <w:tr>
        <w:tc>
          <w:tcPr>
            <w:tcW w:type="dxa" w:w="5083"/>
            <w:tcMar>
              <w:top w:w="80" w:type="dxa"/>
              <w:start w:w="100" w:type="dxa"/>
              <w:bottom w:w="80" w:type="dxa"/>
              <w:end w:w="100" w:type="dxa"/>
            </w:tcMar>
          </w:tcPr>
          <w:p>
            <w:pPr>
              <w:spacing w:after="40"/>
            </w:pPr>
            <w:r>
              <w:rPr>
                <w:sz w:val="18"/>
              </w:rPr>
              <w:t>General ET finding</w:t>
            </w:r>
          </w:p>
        </w:tc>
        <w:tc>
          <w:tcPr>
            <w:tcW w:type="dxa" w:w="5083"/>
            <w:tcMar>
              <w:top w:w="80" w:type="dxa"/>
              <w:start w:w="100" w:type="dxa"/>
              <w:bottom w:w="80" w:type="dxa"/>
              <w:end w:w="100" w:type="dxa"/>
            </w:tcMar>
          </w:tcPr>
          <w:p>
            <w:pPr>
              <w:spacing w:after="40"/>
            </w:pPr>
            <w:r>
              <w:rPr>
                <w:sz w:val="18"/>
              </w:rPr>
              <w:t>The best-supported conclusion about the technology itself on this analytical dimension.</w:t>
            </w:r>
          </w:p>
        </w:tc>
      </w:tr>
      <w:tr>
        <w:tc>
          <w:tcPr>
            <w:tcW w:type="dxa" w:w="5083"/>
            <w:tcMar>
              <w:top w:w="80" w:type="dxa"/>
              <w:start w:w="100" w:type="dxa"/>
              <w:bottom w:w="80" w:type="dxa"/>
              <w:end w:w="100" w:type="dxa"/>
            </w:tcMar>
          </w:tcPr>
          <w:p>
            <w:pPr>
              <w:spacing w:after="40"/>
            </w:pPr>
            <w:r>
              <w:rPr>
                <w:sz w:val="18"/>
              </w:rPr>
              <w:t>Application finding</w:t>
            </w:r>
          </w:p>
        </w:tc>
        <w:tc>
          <w:tcPr>
            <w:tcW w:type="dxa" w:w="5083"/>
            <w:tcMar>
              <w:top w:w="80" w:type="dxa"/>
              <w:start w:w="100" w:type="dxa"/>
              <w:bottom w:w="80" w:type="dxa"/>
              <w:end w:w="100" w:type="dxa"/>
            </w:tcMar>
          </w:tcPr>
          <w:p>
            <w:pPr>
              <w:spacing w:after="40"/>
            </w:pPr>
            <w:r>
              <w:rPr>
                <w:sz w:val="18"/>
              </w:rPr>
              <w:t>What the general condition means for the specified application or use case.</w:t>
            </w:r>
          </w:p>
        </w:tc>
      </w:tr>
      <w:tr>
        <w:tc>
          <w:tcPr>
            <w:tcW w:type="dxa" w:w="5083"/>
            <w:tcMar>
              <w:top w:w="80" w:type="dxa"/>
              <w:start w:w="100" w:type="dxa"/>
              <w:bottom w:w="80" w:type="dxa"/>
              <w:end w:w="100" w:type="dxa"/>
            </w:tcMar>
          </w:tcPr>
          <w:p>
            <w:pPr>
              <w:spacing w:after="40"/>
            </w:pPr>
            <w:r>
              <w:rPr>
                <w:sz w:val="18"/>
              </w:rPr>
              <w:t>Organization-specific finding</w:t>
            </w:r>
          </w:p>
        </w:tc>
        <w:tc>
          <w:tcPr>
            <w:tcW w:type="dxa" w:w="5083"/>
            <w:tcMar>
              <w:top w:w="80" w:type="dxa"/>
              <w:start w:w="100" w:type="dxa"/>
              <w:bottom w:w="80" w:type="dxa"/>
              <w:end w:w="100" w:type="dxa"/>
            </w:tcMar>
          </w:tcPr>
          <w:p>
            <w:pPr>
              <w:spacing w:after="40"/>
            </w:pPr>
            <w:r>
              <w:rPr>
                <w:sz w:val="18"/>
              </w:rPr>
              <w:t>What changes because of the organization, industry, adoption posture, capabilities, constraints, and consequence environment.</w:t>
            </w:r>
          </w:p>
        </w:tc>
      </w:tr>
      <w:tr>
        <w:tc>
          <w:tcPr>
            <w:tcW w:type="dxa" w:w="5083"/>
            <w:tcMar>
              <w:top w:w="80" w:type="dxa"/>
              <w:start w:w="100" w:type="dxa"/>
              <w:bottom w:w="80" w:type="dxa"/>
              <w:end w:w="100" w:type="dxa"/>
            </w:tcMar>
          </w:tcPr>
          <w:p>
            <w:pPr>
              <w:spacing w:after="40"/>
            </w:pPr>
            <w:r>
              <w:rPr>
                <w:sz w:val="18"/>
              </w:rPr>
              <w:t>Evidence</w:t>
            </w:r>
          </w:p>
        </w:tc>
        <w:tc>
          <w:tcPr>
            <w:tcW w:type="dxa" w:w="5083"/>
            <w:tcMar>
              <w:top w:w="80" w:type="dxa"/>
              <w:start w:w="100" w:type="dxa"/>
              <w:bottom w:w="80" w:type="dxa"/>
              <w:end w:w="100" w:type="dxa"/>
            </w:tcMar>
          </w:tcPr>
          <w:p>
            <w:pPr>
              <w:spacing w:after="40"/>
            </w:pPr>
            <w:r>
              <w:rPr>
                <w:sz w:val="18"/>
              </w:rPr>
              <w:t>Dated sources, observations, or other evidence that materially support the finding; distinguish evidence from inference.</w:t>
            </w:r>
          </w:p>
        </w:tc>
      </w:tr>
      <w:tr>
        <w:tc>
          <w:tcPr>
            <w:tcW w:type="dxa" w:w="5083"/>
            <w:tcMar>
              <w:top w:w="80" w:type="dxa"/>
              <w:start w:w="100" w:type="dxa"/>
              <w:bottom w:w="80" w:type="dxa"/>
              <w:end w:w="100" w:type="dxa"/>
            </w:tcMar>
          </w:tcPr>
          <w:p>
            <w:pPr>
              <w:spacing w:after="40"/>
            </w:pPr>
            <w:r>
              <w:rPr>
                <w:sz w:val="18"/>
              </w:rPr>
              <w:t>Confidence and uncertainty</w:t>
            </w:r>
          </w:p>
        </w:tc>
        <w:tc>
          <w:tcPr>
            <w:tcW w:type="dxa" w:w="5083"/>
            <w:tcMar>
              <w:top w:w="80" w:type="dxa"/>
              <w:start w:w="100" w:type="dxa"/>
              <w:bottom w:w="80" w:type="dxa"/>
              <w:end w:w="100" w:type="dxa"/>
            </w:tcMar>
          </w:tcPr>
          <w:p>
            <w:pPr>
              <w:spacing w:after="40"/>
            </w:pPr>
            <w:r>
              <w:rPr>
                <w:sz w:val="18"/>
              </w:rPr>
              <w:t>Assumptions, missing evidence, contradictions, confidence, and conditions under which the agent should abstain or qualify its conclusion.</w:t>
            </w:r>
          </w:p>
        </w:tc>
      </w:tr>
      <w:tr>
        <w:tc>
          <w:tcPr>
            <w:tcW w:type="dxa" w:w="5083"/>
            <w:tcMar>
              <w:top w:w="80" w:type="dxa"/>
              <w:start w:w="100" w:type="dxa"/>
              <w:bottom w:w="80" w:type="dxa"/>
              <w:end w:w="100" w:type="dxa"/>
            </w:tcMar>
          </w:tcPr>
          <w:p>
            <w:pPr>
              <w:spacing w:after="40"/>
            </w:pPr>
            <w:r>
              <w:rPr>
                <w:sz w:val="18"/>
              </w:rPr>
              <w:t>Value / opportunity implication</w:t>
            </w:r>
          </w:p>
        </w:tc>
        <w:tc>
          <w:tcPr>
            <w:tcW w:type="dxa" w:w="5083"/>
            <w:tcMar>
              <w:top w:w="80" w:type="dxa"/>
              <w:start w:w="100" w:type="dxa"/>
              <w:bottom w:w="80" w:type="dxa"/>
              <w:end w:w="100" w:type="dxa"/>
            </w:tcMar>
          </w:tcPr>
          <w:p>
            <w:pPr>
              <w:spacing w:after="40"/>
            </w:pPr>
            <w:r>
              <w:rPr>
                <w:sz w:val="18"/>
              </w:rPr>
              <w:t>The most relevant benefit, strategic opportunity, or value condition where the agent's dimension bears on value.</w:t>
            </w:r>
          </w:p>
        </w:tc>
      </w:tr>
      <w:tr>
        <w:tc>
          <w:tcPr>
            <w:tcW w:type="dxa" w:w="5083"/>
            <w:tcMar>
              <w:top w:w="80" w:type="dxa"/>
              <w:start w:w="100" w:type="dxa"/>
              <w:bottom w:w="80" w:type="dxa"/>
              <w:end w:w="100" w:type="dxa"/>
            </w:tcMar>
          </w:tcPr>
          <w:p>
            <w:pPr>
              <w:spacing w:after="40"/>
            </w:pPr>
            <w:r>
              <w:rPr>
                <w:sz w:val="18"/>
              </w:rPr>
              <w:t>Risk / governance implication</w:t>
            </w:r>
          </w:p>
        </w:tc>
        <w:tc>
          <w:tcPr>
            <w:tcW w:type="dxa" w:w="5083"/>
            <w:tcMar>
              <w:top w:w="80" w:type="dxa"/>
              <w:start w:w="100" w:type="dxa"/>
              <w:bottom w:w="80" w:type="dxa"/>
              <w:end w:w="100" w:type="dxa"/>
            </w:tcMar>
          </w:tcPr>
          <w:p>
            <w:pPr>
              <w:spacing w:after="40"/>
            </w:pPr>
            <w:r>
              <w:rPr>
                <w:sz w:val="18"/>
              </w:rPr>
              <w:t>The most relevant risk, control, policy, or human-authority implication where the agent's dimension bears on risk.</w:t>
            </w:r>
          </w:p>
        </w:tc>
      </w:tr>
      <w:tr>
        <w:tc>
          <w:tcPr>
            <w:tcW w:type="dxa" w:w="5083"/>
            <w:tcMar>
              <w:top w:w="80" w:type="dxa"/>
              <w:start w:w="100" w:type="dxa"/>
              <w:bottom w:w="80" w:type="dxa"/>
              <w:end w:w="100" w:type="dxa"/>
            </w:tcMar>
          </w:tcPr>
          <w:p>
            <w:pPr>
              <w:spacing w:after="40"/>
            </w:pPr>
            <w:r>
              <w:rPr>
                <w:sz w:val="18"/>
              </w:rPr>
              <w:t>Recommendation / management implication</w:t>
            </w:r>
          </w:p>
        </w:tc>
        <w:tc>
          <w:tcPr>
            <w:tcW w:type="dxa" w:w="5083"/>
            <w:tcMar>
              <w:top w:w="80" w:type="dxa"/>
              <w:start w:w="100" w:type="dxa"/>
              <w:bottom w:w="80" w:type="dxa"/>
              <w:end w:w="100" w:type="dxa"/>
            </w:tcMar>
          </w:tcPr>
          <w:p>
            <w:pPr>
              <w:spacing w:after="40"/>
            </w:pPr>
            <w:r>
              <w:rPr>
                <w:sz w:val="18"/>
              </w:rPr>
              <w:t>What this specialist perspective implies management should do or consider; keep the recommendation bounded to the agent's expertise.</w:t>
            </w:r>
          </w:p>
        </w:tc>
      </w:tr>
      <w:tr>
        <w:tc>
          <w:tcPr>
            <w:tcW w:type="dxa" w:w="5083"/>
            <w:tcMar>
              <w:top w:w="80" w:type="dxa"/>
              <w:start w:w="100" w:type="dxa"/>
              <w:bottom w:w="80" w:type="dxa"/>
              <w:end w:w="100" w:type="dxa"/>
            </w:tcMar>
          </w:tcPr>
          <w:p>
            <w:pPr>
              <w:spacing w:after="40"/>
            </w:pPr>
            <w:r>
              <w:rPr>
                <w:sz w:val="18"/>
              </w:rPr>
              <w:t>Change / monitoring triggers</w:t>
            </w:r>
          </w:p>
        </w:tc>
        <w:tc>
          <w:tcPr>
            <w:tcW w:type="dxa" w:w="5083"/>
            <w:tcMar>
              <w:top w:w="80" w:type="dxa"/>
              <w:start w:w="100" w:type="dxa"/>
              <w:bottom w:w="80" w:type="dxa"/>
              <w:end w:w="100" w:type="dxa"/>
            </w:tcMar>
          </w:tcPr>
          <w:p>
            <w:pPr>
              <w:spacing w:after="40"/>
            </w:pPr>
            <w:r>
              <w:rPr>
                <w:sz w:val="18"/>
              </w:rPr>
              <w:t>What new evidence, threshold, market signal, organizational change, or passage of time should cause reassessment.</w:t>
            </w:r>
          </w:p>
        </w:tc>
      </w:tr>
    </w:tbl>
    <w:p>
      <w:pPr>
        <w:pStyle w:val="Heading2"/>
      </w:pPr>
      <w:r>
        <w:t>Common Agent Testing Standard</w:t>
      </w:r>
    </w:p>
    <w:p>
      <w:pPr>
        <w:pStyle w:val="ListBullet"/>
      </w:pPr>
      <w:r>
        <w:t>Primary case: Run the agent on the technology, application, and organization supplied for the assignment or selected under instructor guidance.</w:t>
      </w:r>
    </w:p>
    <w:p>
      <w:pPr>
        <w:pStyle w:val="ListBullet"/>
      </w:pPr>
      <w:r>
        <w:t>Context contrast: Run the same emerging technology through a materially different application or organizational context. The output should remain stable where general ET evidence is stable and change where the application or organizational context genuinely matters.</w:t>
      </w:r>
    </w:p>
    <w:p>
      <w:pPr>
        <w:pStyle w:val="ListBullet"/>
      </w:pPr>
      <w:r>
        <w:t>Inspect the difference: Identify one conclusion that appropriately remained the same and one that appropriately changed. If nothing changes, test whether the agent is producing generic analysis rather than contextual judgment.</w:t>
      </w:r>
    </w:p>
    <w:p>
      <w:pPr>
        <w:pStyle w:val="ListBullet"/>
      </w:pPr>
      <w:r>
        <w:t>Preserve failure: Record at least one weak, generic, unsupported, contradictory, or otherwise unsatisfactory output and the revision or control used to improve the agent.</w:t>
      </w:r>
    </w:p>
    <w:p>
      <w:pPr>
        <w:pStyle w:val="Heading2"/>
      </w:pPr>
      <w:r>
        <w:t>What the Agent Package Must Preserve</w:t>
      </w:r>
    </w:p>
    <w:p>
      <w:pPr>
        <w:pStyle w:val="ListBullet"/>
      </w:pPr>
      <w:r>
        <w:t>Agent name, purpose, and version/date.</w:t>
      </w:r>
    </w:p>
    <w:p>
      <w:pPr>
        <w:pStyle w:val="ListBullet"/>
      </w:pPr>
      <w:r>
        <w:t>Specialist instructions, prompt/workflow configuration, and any bounded code needed to reproduce the agent from the frozen scaffold.</w:t>
      </w:r>
    </w:p>
    <w:p>
      <w:pPr>
        <w:pStyle w:val="ListBullet"/>
      </w:pPr>
      <w:r>
        <w:t>The common input and output contract, including any agent-specific fields.</w:t>
      </w:r>
    </w:p>
    <w:p>
      <w:pPr>
        <w:pStyle w:val="ListBullet"/>
      </w:pPr>
      <w:r>
        <w:t>Evidence/source policy, including how current claims are sourced and how unsupported claims are handled.</w:t>
      </w:r>
    </w:p>
    <w:p>
      <w:pPr>
        <w:pStyle w:val="ListBullet"/>
      </w:pPr>
      <w:r>
        <w:t>Test cases and representative outputs, including the context-contrast test.</w:t>
      </w:r>
    </w:p>
    <w:p>
      <w:pPr>
        <w:pStyle w:val="ListBullet"/>
      </w:pPr>
      <w:r>
        <w:t>Known limitations, abstention conditions, and integration notes for the final team tool.</w:t>
      </w:r>
    </w:p>
    <w:p>
      <w:pPr>
        <w:pStyle w:val="Heading2"/>
      </w:pPr>
      <w:r>
        <w:t>Frozen Scaffold Package and Reference Toolchain</w:t>
      </w:r>
    </w:p>
    <w:p>
      <w:r>
        <w:t>The instructor distributes one frozen scaffold ZIP through Brightspace: MASY1800_ET_Agent_Scaffold_v1_0.zip. This Brightspace file - not an instructor GitHub repository - is the canonical starting point for Assignments 2-8. Keep the original ZIP unchanged and make a working copy for your own use.</w:t>
      </w:r>
    </w:p>
    <w:p>
      <w:pPr>
        <w:pStyle w:val="ListBullet"/>
      </w:pPr>
      <w:r>
        <w:t>ChatGPT is the required AI environment for the specialist-agent assignments. Use normal ChatGPT for understanding the weekly charge, developing and critiquing specialist reasoning, and interpreting results.</w:t>
      </w:r>
    </w:p>
    <w:p>
      <w:pPr>
        <w:pStyle w:val="ListBullet"/>
      </w:pPr>
      <w:r>
        <w:t>Codex inside ChatGPT is the supported coding/development path for modifying the working scaffold, explaining files, debugging bounded code, and helping run the included local scripts.</w:t>
      </w:r>
    </w:p>
    <w:p>
      <w:pPr>
        <w:pStyle w:val="ListBullet"/>
      </w:pPr>
      <w:r>
        <w:t>Place your working copy in your own GitHub repository and use a branch/commit record appropriate to the assignment. The instructor does not host a GitHub repository for the scaffold.</w:t>
      </w:r>
    </w:p>
    <w:p>
      <w:pPr>
        <w:pStyle w:val="ListBullet"/>
      </w:pPr>
      <w:r>
        <w:t>Do not assume ChatGPT or Codex can always retrieve an arbitrary GitHub link. When necessary, upload the assignment memo and the relevant scaffold files or ZIP directly.</w:t>
      </w:r>
    </w:p>
    <w:p>
      <w:pPr>
        <w:pStyle w:val="ListBullet"/>
      </w:pPr>
      <w:r>
        <w:t>The reference scaffold does not programmatically call the OpenAI API and does not require a separate API account or API key. The included script creates a prompt packet for ChatGPT; you save the returned structured response and validate it locally.</w:t>
      </w:r>
    </w:p>
    <w:p>
      <w:pPr>
        <w:pStyle w:val="ListBullet"/>
      </w:pPr>
      <w:r>
        <w:t>Do not modify files marked FROZEN CORE unless the assignment explicitly authorizes an architectural change. The included integrity checker lets you verify that the common scaffold remains intact.</w:t>
      </w:r>
    </w:p>
    <w:p>
      <w:pPr>
        <w:pStyle w:val="Heading2"/>
      </w:pPr>
      <w:r>
        <w:t>ChatGPT and Codex Are the Required Working Tools</w:t>
      </w:r>
    </w:p>
    <w:p>
      <w:r>
        <w:t>You are expected to use ChatGPT as the common course AI environment. For Assignments 2-8, Codex is the supported development path for instantiating and modifying the supplied scaffold. ChatGPT/Codex may help you learn unfamiliar material, draft or revise specialist instructions, organize evidence, generate contrast cases, critique classifications, edit bounded code, build structured outputs, and test whether an agent is overgeneralizing. This use of AI is intentional and should make the work faster.</w:t>
      </w:r>
    </w:p>
    <w:p>
      <w:r>
        <w:t>ChatGPT/Codex may generate much of an initial implementation, but that implementation is not by itself evidence of mastery. You remain responsible for specifying the expert behavior, deciding what evidence matters, checking consequential factual claims, recognizing uncertainty, finding deficiencies, improving the agent, and defending the agent design and conclusion you submit.</w:t>
      </w:r>
    </w:p>
    <w:p>
      <w:pPr>
        <w:pStyle w:val="ListBullet"/>
      </w:pPr>
      <w:r>
        <w:t>Use ChatGPT/Codex to accelerate mechanical, exploratory, coding, and drafting work.</w:t>
      </w:r>
    </w:p>
    <w:p>
      <w:pPr>
        <w:pStyle w:val="ListBullet"/>
      </w:pPr>
      <w:r>
        <w:t>Ask ChatGPT to challenge your assumptions, identify contrary evidence, and generate cases that could expose a weak agent.</w:t>
      </w:r>
    </w:p>
    <w:p>
      <w:pPr>
        <w:pStyle w:val="ListBullet"/>
      </w:pPr>
      <w:r>
        <w:t>For current technology status, market adoption, standards, prices, regulation, or other time-sensitive claims, return to the original source and record the date.</w:t>
      </w:r>
    </w:p>
    <w:p>
      <w:pPr>
        <w:pStyle w:val="ListBullet"/>
      </w:pPr>
      <w:r>
        <w:t>Do not treat model memory, an AI-generated summary, or polished prose as evidence by itself.</w:t>
      </w:r>
    </w:p>
    <w:p>
      <w:pPr>
        <w:pStyle w:val="ListBullet"/>
      </w:pPr>
      <w:r>
        <w:t>Be able to explain why your agent reached its conclusion and where its authority should stop.</w:t>
      </w:r>
    </w:p>
    <w:p>
      <w:pPr>
        <w:pStyle w:val="Heading2"/>
      </w:pPr>
      <w:r>
        <w:t>What Every Individual Submission Must Contain</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tcMar>
              <w:top w:w="80" w:type="dxa"/>
              <w:start w:w="100" w:type="dxa"/>
              <w:bottom w:w="80" w:type="dxa"/>
              <w:end w:w="100" w:type="dxa"/>
            </w:tcMar>
            <w:shd w:fill="57068C"/>
            <w:vAlign w:val="center"/>
          </w:tcPr>
          <w:p>
            <w:pPr>
              <w:spacing w:after="40"/>
            </w:pPr>
            <w:r>
              <w:rPr>
                <w:b/>
                <w:color w:val="FFFFFF"/>
                <w:sz w:val="18"/>
              </w:rPr>
              <w:t>Element</w:t>
            </w:r>
          </w:p>
        </w:tc>
        <w:tc>
          <w:tcPr>
            <w:tcW w:type="dxa" w:w="3389"/>
            <w:tcMar>
              <w:top w:w="80" w:type="dxa"/>
              <w:start w:w="100" w:type="dxa"/>
              <w:bottom w:w="80" w:type="dxa"/>
              <w:end w:w="100" w:type="dxa"/>
            </w:tcMar>
            <w:shd w:fill="57068C"/>
            <w:vAlign w:val="center"/>
          </w:tcPr>
          <w:p>
            <w:pPr>
              <w:spacing w:after="40"/>
            </w:pPr>
            <w:r>
              <w:rPr>
                <w:b/>
                <w:color w:val="FFFFFF"/>
                <w:sz w:val="18"/>
              </w:rPr>
              <w:t>What to provide</w:t>
            </w:r>
          </w:p>
        </w:tc>
        <w:tc>
          <w:tcPr>
            <w:tcW w:type="dxa" w:w="3389"/>
            <w:tcMar>
              <w:top w:w="80" w:type="dxa"/>
              <w:start w:w="100" w:type="dxa"/>
              <w:bottom w:w="80" w:type="dxa"/>
              <w:end w:w="100" w:type="dxa"/>
            </w:tcMar>
            <w:shd w:fill="57068C"/>
            <w:vAlign w:val="center"/>
          </w:tcPr>
          <w:p>
            <w:pPr>
              <w:spacing w:after="40"/>
            </w:pPr>
            <w:r>
              <w:rPr>
                <w:b/>
                <w:color w:val="FFFFFF"/>
                <w:sz w:val="18"/>
              </w:rPr>
              <w:t>Purpose</w:t>
            </w:r>
          </w:p>
        </w:tc>
      </w:tr>
      <w:tr>
        <w:tc>
          <w:tcPr>
            <w:tcW w:type="dxa" w:w="3389"/>
            <w:tcMar>
              <w:top w:w="80" w:type="dxa"/>
              <w:start w:w="100" w:type="dxa"/>
              <w:bottom w:w="80" w:type="dxa"/>
              <w:end w:w="100" w:type="dxa"/>
            </w:tcMar>
          </w:tcPr>
          <w:p>
            <w:pPr>
              <w:spacing w:after="40"/>
            </w:pPr>
            <w:r>
              <w:rPr>
                <w:sz w:val="18"/>
              </w:rPr>
              <w:t>Primary artifact</w:t>
            </w:r>
          </w:p>
        </w:tc>
        <w:tc>
          <w:tcPr>
            <w:tcW w:type="dxa" w:w="3389"/>
            <w:tcMar>
              <w:top w:w="80" w:type="dxa"/>
              <w:start w:w="100" w:type="dxa"/>
              <w:bottom w:w="80" w:type="dxa"/>
              <w:end w:w="100" w:type="dxa"/>
            </w:tcMar>
          </w:tcPr>
          <w:p>
            <w:pPr>
              <w:spacing w:after="40"/>
            </w:pPr>
            <w:r>
              <w:rPr>
                <w:sz w:val="18"/>
              </w:rPr>
              <w:t>The professional work product named in the assignment: the baseline report or a working specialist agent plus its Agent Record.</w:t>
            </w:r>
          </w:p>
        </w:tc>
        <w:tc>
          <w:tcPr>
            <w:tcW w:type="dxa" w:w="3389"/>
            <w:tcMar>
              <w:top w:w="80" w:type="dxa"/>
              <w:start w:w="100" w:type="dxa"/>
              <w:bottom w:w="80" w:type="dxa"/>
              <w:end w:w="100" w:type="dxa"/>
            </w:tcMar>
          </w:tcPr>
          <w:p>
            <w:pPr>
              <w:spacing w:after="40"/>
            </w:pPr>
            <w:r>
              <w:rPr>
                <w:sz w:val="18"/>
              </w:rPr>
              <w:t>Evidence that you performed the professional task.</w:t>
            </w:r>
          </w:p>
        </w:tc>
      </w:tr>
      <w:tr>
        <w:tc>
          <w:tcPr>
            <w:tcW w:type="dxa" w:w="3389"/>
            <w:tcMar>
              <w:top w:w="80" w:type="dxa"/>
              <w:start w:w="100" w:type="dxa"/>
              <w:bottom w:w="80" w:type="dxa"/>
              <w:end w:w="100" w:type="dxa"/>
            </w:tcMar>
          </w:tcPr>
          <w:p>
            <w:pPr>
              <w:spacing w:after="40"/>
            </w:pPr>
            <w:r>
              <w:rPr>
                <w:sz w:val="18"/>
              </w:rPr>
              <w:t>Independent decision</w:t>
            </w:r>
          </w:p>
        </w:tc>
        <w:tc>
          <w:tcPr>
            <w:tcW w:type="dxa" w:w="3389"/>
            <w:tcMar>
              <w:top w:w="80" w:type="dxa"/>
              <w:start w:w="100" w:type="dxa"/>
              <w:bottom w:w="80" w:type="dxa"/>
              <w:end w:w="100" w:type="dxa"/>
            </w:tcMar>
          </w:tcPr>
          <w:p>
            <w:pPr>
              <w:spacing w:after="40"/>
            </w:pPr>
            <w:r>
              <w:rPr>
                <w:sz w:val="18"/>
              </w:rPr>
              <w:t>A concise statement of what you conclude and what you recommend.</w:t>
            </w:r>
          </w:p>
        </w:tc>
        <w:tc>
          <w:tcPr>
            <w:tcW w:type="dxa" w:w="3389"/>
            <w:tcMar>
              <w:top w:w="80" w:type="dxa"/>
              <w:start w:w="100" w:type="dxa"/>
              <w:bottom w:w="80" w:type="dxa"/>
              <w:end w:w="100" w:type="dxa"/>
            </w:tcMar>
          </w:tcPr>
          <w:p>
            <w:pPr>
              <w:spacing w:after="40"/>
            </w:pPr>
            <w:r>
              <w:rPr>
                <w:sz w:val="18"/>
              </w:rPr>
              <w:t>Practice judgment before team consensus.</w:t>
            </w:r>
          </w:p>
        </w:tc>
      </w:tr>
      <w:tr>
        <w:tc>
          <w:tcPr>
            <w:tcW w:type="dxa" w:w="3389"/>
            <w:tcMar>
              <w:top w:w="80" w:type="dxa"/>
              <w:start w:w="100" w:type="dxa"/>
              <w:bottom w:w="80" w:type="dxa"/>
              <w:end w:w="100" w:type="dxa"/>
            </w:tcMar>
          </w:tcPr>
          <w:p>
            <w:pPr>
              <w:spacing w:after="40"/>
            </w:pPr>
            <w:r>
              <w:rPr>
                <w:sz w:val="18"/>
              </w:rPr>
              <w:t>Evidence</w:t>
            </w:r>
          </w:p>
        </w:tc>
        <w:tc>
          <w:tcPr>
            <w:tcW w:type="dxa" w:w="3389"/>
            <w:tcMar>
              <w:top w:w="80" w:type="dxa"/>
              <w:start w:w="100" w:type="dxa"/>
              <w:bottom w:w="80" w:type="dxa"/>
              <w:end w:w="100" w:type="dxa"/>
            </w:tcMar>
          </w:tcPr>
          <w:p>
            <w:pPr>
              <w:spacing w:after="40"/>
            </w:pPr>
            <w:r>
              <w:rPr>
                <w:sz w:val="18"/>
              </w:rPr>
              <w:t>The few sources, cases, tests, observations, or comparisons that most strongly support the decision.</w:t>
            </w:r>
          </w:p>
        </w:tc>
        <w:tc>
          <w:tcPr>
            <w:tcW w:type="dxa" w:w="3389"/>
            <w:tcMar>
              <w:top w:w="80" w:type="dxa"/>
              <w:start w:w="100" w:type="dxa"/>
              <w:bottom w:w="80" w:type="dxa"/>
              <w:end w:w="100" w:type="dxa"/>
            </w:tcMar>
          </w:tcPr>
          <w:p>
            <w:pPr>
              <w:spacing w:after="40"/>
            </w:pPr>
            <w:r>
              <w:rPr>
                <w:sz w:val="18"/>
              </w:rPr>
              <w:t>Make the judgment traceable.</w:t>
            </w:r>
          </w:p>
        </w:tc>
      </w:tr>
      <w:tr>
        <w:tc>
          <w:tcPr>
            <w:tcW w:type="dxa" w:w="3389"/>
            <w:tcMar>
              <w:top w:w="80" w:type="dxa"/>
              <w:start w:w="100" w:type="dxa"/>
              <w:bottom w:w="80" w:type="dxa"/>
              <w:end w:w="100" w:type="dxa"/>
            </w:tcMar>
          </w:tcPr>
          <w:p>
            <w:pPr>
              <w:spacing w:after="40"/>
            </w:pPr>
            <w:r>
              <w:rPr>
                <w:sz w:val="18"/>
              </w:rPr>
              <w:t>Context distinction</w:t>
            </w:r>
          </w:p>
        </w:tc>
        <w:tc>
          <w:tcPr>
            <w:tcW w:type="dxa" w:w="3389"/>
            <w:tcMar>
              <w:top w:w="80" w:type="dxa"/>
              <w:start w:w="100" w:type="dxa"/>
              <w:bottom w:w="80" w:type="dxa"/>
              <w:end w:w="100" w:type="dxa"/>
            </w:tcMar>
          </w:tcPr>
          <w:p>
            <w:pPr>
              <w:spacing w:after="40"/>
            </w:pPr>
            <w:r>
              <w:rPr>
                <w:sz w:val="18"/>
              </w:rPr>
              <w:t>For agent assignments, clearly separate general ET findings from application-specific and organization-specific findings.</w:t>
            </w:r>
          </w:p>
        </w:tc>
        <w:tc>
          <w:tcPr>
            <w:tcW w:type="dxa" w:w="3389"/>
            <w:tcMar>
              <w:top w:w="80" w:type="dxa"/>
              <w:start w:w="100" w:type="dxa"/>
              <w:bottom w:w="80" w:type="dxa"/>
              <w:end w:w="100" w:type="dxa"/>
            </w:tcMar>
          </w:tcPr>
          <w:p>
            <w:pPr>
              <w:spacing w:after="40"/>
            </w:pPr>
            <w:r>
              <w:rPr>
                <w:sz w:val="18"/>
              </w:rPr>
              <w:t>Prevent generic technology commentary from substituting for decision support.</w:t>
            </w:r>
          </w:p>
        </w:tc>
      </w:tr>
      <w:tr>
        <w:tc>
          <w:tcPr>
            <w:tcW w:type="dxa" w:w="3389"/>
            <w:tcMar>
              <w:top w:w="80" w:type="dxa"/>
              <w:start w:w="100" w:type="dxa"/>
              <w:bottom w:w="80" w:type="dxa"/>
              <w:end w:w="100" w:type="dxa"/>
            </w:tcMar>
          </w:tcPr>
          <w:p>
            <w:pPr>
              <w:spacing w:after="40"/>
            </w:pPr>
            <w:r>
              <w:rPr>
                <w:sz w:val="18"/>
              </w:rPr>
              <w:t>Test record</w:t>
            </w:r>
          </w:p>
        </w:tc>
        <w:tc>
          <w:tcPr>
            <w:tcW w:type="dxa" w:w="3389"/>
            <w:tcMar>
              <w:top w:w="80" w:type="dxa"/>
              <w:start w:w="100" w:type="dxa"/>
              <w:bottom w:w="80" w:type="dxa"/>
              <w:end w:w="100" w:type="dxa"/>
            </w:tcMar>
          </w:tcPr>
          <w:p>
            <w:pPr>
              <w:spacing w:after="40"/>
            </w:pPr>
            <w:r>
              <w:rPr>
                <w:sz w:val="18"/>
              </w:rPr>
              <w:t>For agent assignments, preserve the primary and context-contrast tests and at least one informative failure or weakness.</w:t>
            </w:r>
          </w:p>
        </w:tc>
        <w:tc>
          <w:tcPr>
            <w:tcW w:type="dxa" w:w="3389"/>
            <w:tcMar>
              <w:top w:w="80" w:type="dxa"/>
              <w:start w:w="100" w:type="dxa"/>
              <w:bottom w:w="80" w:type="dxa"/>
              <w:end w:w="100" w:type="dxa"/>
            </w:tcMar>
          </w:tcPr>
          <w:p>
            <w:pPr>
              <w:spacing w:after="40"/>
            </w:pPr>
            <w:r>
              <w:rPr>
                <w:sz w:val="18"/>
              </w:rPr>
              <w:t>Demonstrate that the agent was evaluated rather than merely created.</w:t>
            </w:r>
          </w:p>
        </w:tc>
      </w:tr>
      <w:tr>
        <w:tc>
          <w:tcPr>
            <w:tcW w:type="dxa" w:w="3389"/>
            <w:tcMar>
              <w:top w:w="80" w:type="dxa"/>
              <w:start w:w="100" w:type="dxa"/>
              <w:bottom w:w="80" w:type="dxa"/>
              <w:end w:w="100" w:type="dxa"/>
            </w:tcMar>
          </w:tcPr>
          <w:p>
            <w:pPr>
              <w:spacing w:after="40"/>
            </w:pPr>
            <w:r>
              <w:rPr>
                <w:sz w:val="18"/>
              </w:rPr>
              <w:t>AI use and verification note</w:t>
            </w:r>
          </w:p>
        </w:tc>
        <w:tc>
          <w:tcPr>
            <w:tcW w:type="dxa" w:w="3389"/>
            <w:tcMar>
              <w:top w:w="80" w:type="dxa"/>
              <w:start w:w="100" w:type="dxa"/>
              <w:bottom w:w="80" w:type="dxa"/>
              <w:end w:w="100" w:type="dxa"/>
            </w:tcMar>
          </w:tcPr>
          <w:p>
            <w:pPr>
              <w:spacing w:after="40"/>
            </w:pPr>
            <w:r>
              <w:rPr>
                <w:sz w:val="18"/>
              </w:rPr>
              <w:t>How AI materially helped and how consequential guidance or factual claims were checked.</w:t>
            </w:r>
          </w:p>
        </w:tc>
        <w:tc>
          <w:tcPr>
            <w:tcW w:type="dxa" w:w="3389"/>
            <w:tcMar>
              <w:top w:w="80" w:type="dxa"/>
              <w:start w:w="100" w:type="dxa"/>
              <w:bottom w:w="80" w:type="dxa"/>
              <w:end w:w="100" w:type="dxa"/>
            </w:tcMar>
          </w:tcPr>
          <w:p>
            <w:pPr>
              <w:spacing w:after="40"/>
            </w:pPr>
            <w:r>
              <w:rPr>
                <w:sz w:val="18"/>
              </w:rPr>
              <w:t>Demonstrate responsible AI-assisted professional work.</w:t>
            </w:r>
          </w:p>
        </w:tc>
      </w:tr>
      <w:tr>
        <w:tc>
          <w:tcPr>
            <w:tcW w:type="dxa" w:w="3389"/>
            <w:tcMar>
              <w:top w:w="80" w:type="dxa"/>
              <w:start w:w="100" w:type="dxa"/>
              <w:bottom w:w="80" w:type="dxa"/>
              <w:end w:w="100" w:type="dxa"/>
            </w:tcMar>
          </w:tcPr>
          <w:p>
            <w:pPr>
              <w:spacing w:after="40"/>
            </w:pPr>
            <w:r>
              <w:rPr>
                <w:sz w:val="18"/>
              </w:rPr>
              <w:t>Team handoff</w:t>
            </w:r>
          </w:p>
        </w:tc>
        <w:tc>
          <w:tcPr>
            <w:tcW w:type="dxa" w:w="3389"/>
            <w:tcMar>
              <w:top w:w="80" w:type="dxa"/>
              <w:start w:w="100" w:type="dxa"/>
              <w:bottom w:w="80" w:type="dxa"/>
              <w:end w:w="100" w:type="dxa"/>
            </w:tcMar>
          </w:tcPr>
          <w:p>
            <w:pPr>
              <w:spacing w:after="40"/>
            </w:pPr>
            <w:r>
              <w:rPr>
                <w:sz w:val="18"/>
              </w:rPr>
              <w:t>The agent package, conclusion, limitation, or integration recommendation the team should carry forward.</w:t>
            </w:r>
          </w:p>
        </w:tc>
        <w:tc>
          <w:tcPr>
            <w:tcW w:type="dxa" w:w="3389"/>
            <w:tcMar>
              <w:top w:w="80" w:type="dxa"/>
              <w:start w:w="100" w:type="dxa"/>
              <w:bottom w:w="80" w:type="dxa"/>
              <w:end w:w="100" w:type="dxa"/>
            </w:tcMar>
          </w:tcPr>
          <w:p>
            <w:pPr>
              <w:spacing w:after="40"/>
            </w:pPr>
            <w:r>
              <w:rPr>
                <w:sz w:val="18"/>
              </w:rPr>
              <w:t>Convert individual work into reusable project input.</w:t>
            </w:r>
          </w:p>
        </w:tc>
      </w:tr>
    </w:tbl>
    <w:p>
      <w:pPr>
        <w:pStyle w:val="Heading2"/>
      </w:pPr>
      <w:r>
        <w:t>Submission and Platform Neutrality</w:t>
      </w:r>
    </w:p>
    <w:p>
      <w:r>
        <w:t>Brightspace remains the authoritative location for the frozen scaffold ZIP, weekly assignment memos, due dates, late rules, and semester-specific submission instructions. For Assignments 2-8, students work from a copy of the Brightspace scaffold, use ChatGPT/Codex as the reference development environment, and preserve the working agent in their own GitHub repository with the relevant branch/commit. The Brightspace ZIP remains frozen; student repositories are working copies and evidence of individual development.</w:t>
      </w:r>
    </w:p>
    <w:p>
      <w:pPr>
        <w:pStyle w:val="Heading2"/>
      </w:pPr>
      <w:r>
        <w:t>Common Top-Level Assessment Rubric</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tcMar>
              <w:top w:w="80" w:type="dxa"/>
              <w:start w:w="100" w:type="dxa"/>
              <w:bottom w:w="80" w:type="dxa"/>
              <w:end w:w="100" w:type="dxa"/>
            </w:tcMar>
            <w:shd w:fill="57068C"/>
            <w:vAlign w:val="center"/>
          </w:tcPr>
          <w:p>
            <w:pPr>
              <w:spacing w:after="40"/>
            </w:pPr>
            <w:r>
              <w:rPr>
                <w:b/>
                <w:color w:val="FFFFFF"/>
                <w:sz w:val="18"/>
              </w:rPr>
              <w:t>Criterion</w:t>
            </w:r>
          </w:p>
        </w:tc>
        <w:tc>
          <w:tcPr>
            <w:tcW w:type="dxa" w:w="3389"/>
            <w:tcMar>
              <w:top w:w="80" w:type="dxa"/>
              <w:start w:w="100" w:type="dxa"/>
              <w:bottom w:w="80" w:type="dxa"/>
              <w:end w:w="100" w:type="dxa"/>
            </w:tcMar>
            <w:shd w:fill="57068C"/>
            <w:vAlign w:val="center"/>
          </w:tcPr>
          <w:p>
            <w:pPr>
              <w:spacing w:after="40"/>
            </w:pPr>
            <w:r>
              <w:rPr>
                <w:b/>
                <w:color w:val="FFFFFF"/>
                <w:sz w:val="18"/>
              </w:rPr>
              <w:t>Weight</w:t>
            </w:r>
          </w:p>
        </w:tc>
        <w:tc>
          <w:tcPr>
            <w:tcW w:type="dxa" w:w="3389"/>
            <w:tcMar>
              <w:top w:w="80" w:type="dxa"/>
              <w:start w:w="100" w:type="dxa"/>
              <w:bottom w:w="80" w:type="dxa"/>
              <w:end w:w="100" w:type="dxa"/>
            </w:tcMar>
            <w:shd w:fill="57068C"/>
            <w:vAlign w:val="center"/>
          </w:tcPr>
          <w:p>
            <w:pPr>
              <w:spacing w:after="40"/>
            </w:pPr>
            <w:r>
              <w:rPr>
                <w:b/>
                <w:color w:val="FFFFFF"/>
                <w:sz w:val="18"/>
              </w:rPr>
              <w:t>Top-level standard</w:t>
            </w:r>
          </w:p>
        </w:tc>
      </w:tr>
      <w:tr>
        <w:tc>
          <w:tcPr>
            <w:tcW w:type="dxa" w:w="3389"/>
            <w:tcMar>
              <w:top w:w="80" w:type="dxa"/>
              <w:start w:w="100" w:type="dxa"/>
              <w:bottom w:w="80" w:type="dxa"/>
              <w:end w:w="100" w:type="dxa"/>
            </w:tcMar>
          </w:tcPr>
          <w:p>
            <w:pPr>
              <w:spacing w:after="40"/>
            </w:pPr>
            <w:r>
              <w:rPr>
                <w:sz w:val="18"/>
              </w:rPr>
              <w:t>Professional Task &amp; Deliverable</w:t>
            </w:r>
          </w:p>
        </w:tc>
        <w:tc>
          <w:tcPr>
            <w:tcW w:type="dxa" w:w="3389"/>
            <w:tcMar>
              <w:top w:w="80" w:type="dxa"/>
              <w:start w:w="100" w:type="dxa"/>
              <w:bottom w:w="80" w:type="dxa"/>
              <w:end w:w="100" w:type="dxa"/>
            </w:tcMar>
          </w:tcPr>
          <w:p>
            <w:pPr>
              <w:spacing w:after="40"/>
            </w:pPr>
            <w:r>
              <w:rPr>
                <w:sz w:val="18"/>
              </w:rPr>
              <w:t>30%</w:t>
            </w:r>
          </w:p>
        </w:tc>
        <w:tc>
          <w:tcPr>
            <w:tcW w:type="dxa" w:w="3389"/>
            <w:tcMar>
              <w:top w:w="80" w:type="dxa"/>
              <w:start w:w="100" w:type="dxa"/>
              <w:bottom w:w="80" w:type="dxa"/>
              <w:end w:w="100" w:type="dxa"/>
            </w:tcMar>
          </w:tcPr>
          <w:p>
            <w:pPr>
              <w:spacing w:after="40"/>
            </w:pPr>
            <w:r>
              <w:rPr>
                <w:sz w:val="18"/>
              </w:rPr>
              <w:t>The assigned professional task was accomplished and the artifact is usable, appropriately bounded, and ready to contribute to the team project.</w:t>
            </w:r>
          </w:p>
        </w:tc>
      </w:tr>
      <w:tr>
        <w:tc>
          <w:tcPr>
            <w:tcW w:type="dxa" w:w="3389"/>
            <w:tcMar>
              <w:top w:w="80" w:type="dxa"/>
              <w:start w:w="100" w:type="dxa"/>
              <w:bottom w:w="80" w:type="dxa"/>
              <w:end w:w="100" w:type="dxa"/>
            </w:tcMar>
          </w:tcPr>
          <w:p>
            <w:pPr>
              <w:spacing w:after="40"/>
            </w:pPr>
            <w:r>
              <w:rPr>
                <w:sz w:val="18"/>
              </w:rPr>
              <w:t>Evidence &amp; Analysis</w:t>
            </w:r>
          </w:p>
        </w:tc>
        <w:tc>
          <w:tcPr>
            <w:tcW w:type="dxa" w:w="3389"/>
            <w:tcMar>
              <w:top w:w="80" w:type="dxa"/>
              <w:start w:w="100" w:type="dxa"/>
              <w:bottom w:w="80" w:type="dxa"/>
              <w:end w:w="100" w:type="dxa"/>
            </w:tcMar>
          </w:tcPr>
          <w:p>
            <w:pPr>
              <w:spacing w:after="40"/>
            </w:pPr>
            <w:r>
              <w:rPr>
                <w:sz w:val="18"/>
              </w:rPr>
              <w:t>30%</w:t>
            </w:r>
          </w:p>
        </w:tc>
        <w:tc>
          <w:tcPr>
            <w:tcW w:type="dxa" w:w="3389"/>
            <w:tcMar>
              <w:top w:w="80" w:type="dxa"/>
              <w:start w:w="100" w:type="dxa"/>
              <w:bottom w:w="80" w:type="dxa"/>
              <w:end w:w="100" w:type="dxa"/>
            </w:tcMar>
          </w:tcPr>
          <w:p>
            <w:pPr>
              <w:spacing w:after="40"/>
            </w:pPr>
            <w:r>
              <w:rPr>
                <w:sz w:val="18"/>
              </w:rPr>
              <w:t>Relevant evidence was gathered or produced, consequential claims were checked, and the agent or analysis distinguishes fact, inference, uncertainty, and unsupported assertion.</w:t>
            </w:r>
          </w:p>
        </w:tc>
      </w:tr>
      <w:tr>
        <w:tc>
          <w:tcPr>
            <w:tcW w:type="dxa" w:w="3389"/>
            <w:tcMar>
              <w:top w:w="80" w:type="dxa"/>
              <w:start w:w="100" w:type="dxa"/>
              <w:bottom w:w="80" w:type="dxa"/>
              <w:end w:w="100" w:type="dxa"/>
            </w:tcMar>
          </w:tcPr>
          <w:p>
            <w:pPr>
              <w:spacing w:after="40"/>
            </w:pPr>
            <w:r>
              <w:rPr>
                <w:sz w:val="18"/>
              </w:rPr>
              <w:t>Contextual Professional Judgment</w:t>
            </w:r>
          </w:p>
        </w:tc>
        <w:tc>
          <w:tcPr>
            <w:tcW w:type="dxa" w:w="3389"/>
            <w:tcMar>
              <w:top w:w="80" w:type="dxa"/>
              <w:start w:w="100" w:type="dxa"/>
              <w:bottom w:w="80" w:type="dxa"/>
              <w:end w:w="100" w:type="dxa"/>
            </w:tcMar>
          </w:tcPr>
          <w:p>
            <w:pPr>
              <w:spacing w:after="40"/>
            </w:pPr>
            <w:r>
              <w:rPr>
                <w:sz w:val="18"/>
              </w:rPr>
              <w:t>30%</w:t>
            </w:r>
          </w:p>
        </w:tc>
        <w:tc>
          <w:tcPr>
            <w:tcW w:type="dxa" w:w="3389"/>
            <w:tcMar>
              <w:top w:w="80" w:type="dxa"/>
              <w:start w:w="100" w:type="dxa"/>
              <w:bottom w:w="80" w:type="dxa"/>
              <w:end w:w="100" w:type="dxa"/>
            </w:tcMar>
          </w:tcPr>
          <w:p>
            <w:pPr>
              <w:spacing w:after="40"/>
            </w:pPr>
            <w:r>
              <w:rPr>
                <w:sz w:val="18"/>
              </w:rPr>
              <w:t>The student makes a clear, independent, defensible judgment and appropriately distinguishes the general ET state from application-specific and organization-specific implications.</w:t>
            </w:r>
          </w:p>
        </w:tc>
      </w:tr>
      <w:tr>
        <w:tc>
          <w:tcPr>
            <w:tcW w:type="dxa" w:w="3389"/>
            <w:tcMar>
              <w:top w:w="80" w:type="dxa"/>
              <w:start w:w="100" w:type="dxa"/>
              <w:bottom w:w="80" w:type="dxa"/>
              <w:end w:w="100" w:type="dxa"/>
            </w:tcMar>
          </w:tcPr>
          <w:p>
            <w:pPr>
              <w:spacing w:after="40"/>
            </w:pPr>
            <w:r>
              <w:rPr>
                <w:sz w:val="18"/>
              </w:rPr>
              <w:t>Testing, Verification &amp; Team Handoff</w:t>
            </w:r>
          </w:p>
        </w:tc>
        <w:tc>
          <w:tcPr>
            <w:tcW w:type="dxa" w:w="3389"/>
            <w:tcMar>
              <w:top w:w="80" w:type="dxa"/>
              <w:start w:w="100" w:type="dxa"/>
              <w:bottom w:w="80" w:type="dxa"/>
              <w:end w:w="100" w:type="dxa"/>
            </w:tcMar>
          </w:tcPr>
          <w:p>
            <w:pPr>
              <w:spacing w:after="40"/>
            </w:pPr>
            <w:r>
              <w:rPr>
                <w:sz w:val="18"/>
              </w:rPr>
              <w:t>10%</w:t>
            </w:r>
          </w:p>
        </w:tc>
        <w:tc>
          <w:tcPr>
            <w:tcW w:type="dxa" w:w="3389"/>
            <w:tcMar>
              <w:top w:w="80" w:type="dxa"/>
              <w:start w:w="100" w:type="dxa"/>
              <w:bottom w:w="80" w:type="dxa"/>
              <w:end w:w="100" w:type="dxa"/>
            </w:tcMar>
          </w:tcPr>
          <w:p>
            <w:pPr>
              <w:spacing w:after="40"/>
            </w:pPr>
            <w:r>
              <w:rPr>
                <w:sz w:val="18"/>
              </w:rPr>
              <w:t>The work includes appropriate testing or verification, preserves limitations or failures, documents material AI use, and provides a usable handoff for the team.</w:t>
            </w:r>
          </w:p>
        </w:tc>
      </w:tr>
    </w:tbl>
    <w:p>
      <w:pPr>
        <w:pStyle w:val="SmallNote"/>
      </w:pPr>
      <w:r>
        <w:t>The rubric is intentionally simple: accomplish the professional task, establish credible evidence, make a contextual judgment, and leave behind something the team can reuse. Extra pages, additional agent features, or technical complexity receive no additional credit unless they materially strengthen one of those four elements.</w:t>
      </w:r>
    </w:p>
    <w:sectPr w:rsidR="00630F3A"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Weekly Individual Professional-Practice Assignments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2" w:lineRule="auto"/>
    </w:pPr>
    <w:rPr>
      <w:rFonts w:ascii="Liberation Sans" w:hAnsi="Liberation Sans"/>
      <w:sz w:val="20"/>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Common Individual Assignment Instructions Front Matter</dc:title>
  <dc:subject>Fall 2026 MASY1-GC 1800 individual assignment instructions</dc:subject>
  <dc:creator>Andres Fortino</dc:creator>
  <cp:keywords>Emerging Technologies, NYU SPS, MASY1-GC 1800, individual assignments, specialist agents, mixture of experts</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