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jc w:val="both"/>
        <w:rPr>
          <w:rFonts w:hint="eastAsia"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楷体" w:hAnsi="楷体" w:eastAsia="楷体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52"/>
          <w:szCs w:val="52"/>
          <w:lang w:val="en-US" w:eastAsia="zh-CN"/>
          <w14:textFill>
            <w14:solidFill>
              <w14:schemeClr w14:val="tx1"/>
            </w14:solidFill>
          </w14:textFill>
        </w:rPr>
        <w:t>程序设计中级实践</w:t>
      </w:r>
    </w:p>
    <w:p>
      <w:pPr>
        <w:jc w:val="center"/>
        <w:rPr>
          <w:rFonts w:ascii="楷体" w:hAnsi="楷体" w:eastAsia="楷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29940" cy="310134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416" cy="310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需求分析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2340" w:firstLineChars="650"/>
        <w:jc w:val="left"/>
        <w:rPr>
          <w:rFonts w:ascii="楷体" w:hAnsi="楷体" w:eastAsia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专业：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软 件 工 程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2340" w:firstLineChars="650"/>
        <w:jc w:val="left"/>
        <w:rPr>
          <w:rFonts w:ascii="楷体" w:hAnsi="楷体" w:eastAsia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组长：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林  煜  烜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3420" w:firstLineChars="950"/>
        <w:jc w:val="left"/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3018216074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2340" w:firstLineChars="650"/>
        <w:rPr>
          <w:rFonts w:hint="default" w:ascii="楷体" w:hAnsi="楷体" w:eastAsia="楷体"/>
          <w:color w:val="000000" w:themeColor="text1"/>
          <w:sz w:val="36"/>
          <w:szCs w:val="36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组员：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潘  柯  文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firstLine="3420" w:firstLineChars="950"/>
        <w:jc w:val="left"/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3018216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>079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firstLine="3420" w:firstLineChars="950"/>
        <w:jc w:val="left"/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姚 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毅 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强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firstLine="3420" w:firstLineChars="950"/>
        <w:jc w:val="left"/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3018216089 </w:t>
      </w:r>
      <w:r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firstLine="3420" w:firstLineChars="950"/>
        <w:jc w:val="left"/>
        <w:rPr>
          <w:rFonts w:hint="eastAsia" w:ascii="楷体" w:hAnsi="楷体" w:eastAsia="楷体"/>
          <w:color w:val="000000" w:themeColor="text1"/>
          <w:sz w:val="36"/>
          <w:szCs w:val="36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lang w:val="en-US" w:eastAsia="zh-CN"/>
        </w:rPr>
        <w:t>1.简介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1.1背景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随着互联网的普及, 电子商务如雨后春笋版迅速发展. 本系统</w:t>
      </w: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模拟</w:t>
      </w: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电子商城管理系统, 旨在为广大消费者们提供方便的购物环境. 用户可以搜索是否有自己需要的商品, 查看最新上市的商品以及详细信息, 订购商品, 会员优惠等.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a.购买者：购买者在本系统</w:t>
      </w: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筛选、购买、支付、评论商品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b.销售者：销售者在本系</w:t>
      </w: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统上架、管理、售卖、</w:t>
      </w: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销售物品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c.平台管理员：系统管理员一般由平台运营商的工作人员担任, 负责监督平台和统计整体销售数据</w:t>
      </w: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以及处理纠纷</w:t>
      </w: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参考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《火球UML大战需求分析》 张传波</w:t>
      </w: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2.目标、涉众分析和范围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2.1目标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电子商务交易平台通过提供买卖双方交易的平台，推动“货真价实、物美价廉、按需定制”网货的普及，帮助更多的消费者享用海量且丰富的网货，获得更高的生活品质；通过提供网络销售平台等基础性服务，帮助更多的企业开拓市场、建立品牌，实现产业升级；帮助更多胸怀梦想的人通过网络 实现创业就业。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2.2涉众分析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本系统面向任何有购买或者销售需求的人员</w:t>
      </w: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3"/>
        <w:gridCol w:w="1200"/>
        <w:gridCol w:w="619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外部实体</w:t>
            </w:r>
          </w:p>
        </w:tc>
        <w:tc>
          <w:tcPr>
            <w:tcW w:w="6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对系统期望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买家</w:t>
            </w:r>
          </w:p>
        </w:tc>
        <w:tc>
          <w:tcPr>
            <w:tcW w:w="6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能方便的查看平台上的各种商品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能搜索到自己期望的商品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 可以方便的将心仪的商品置于购物车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4. 可以查看店铺的详细信息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5. 能方便的与客服进行交流沟通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6. 能安全方便的在系统支付 下单购物.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7. 能查看自己下单的物品的物流状态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8. 当物品因质量或其它问题时, 平台能提供售后服务.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9. 可以对购买后的商品进行评价.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65" w:hRule="atLeast"/>
        </w:trPr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个体卖家</w:t>
            </w:r>
          </w:p>
        </w:tc>
        <w:tc>
          <w:tcPr>
            <w:tcW w:w="6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能方便的上架物品, 且展示页面能充分的说明商品的信息.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能对商品的价格进行调整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 能对售后请求作出回应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4. 能设置广告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5. 能查看营业后台数据.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6. 能编辑商店主页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65" w:hRule="atLeast"/>
        </w:trPr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其它企业的相关人员</w:t>
            </w:r>
          </w:p>
        </w:tc>
        <w:tc>
          <w:tcPr>
            <w:tcW w:w="6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能方便的上架物品, 且展示页面能充分的说明商品的信息.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能对商品的价格进行调整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 能对售后请求作出回应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4. 能设置广告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5. 能查看营业后台数据.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6. 能编辑商店主页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7. 能通过身份认证, 在平台经营企业官方商店.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0" w:hRule="atLeast"/>
        </w:trPr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物流公司工作人员</w:t>
            </w:r>
          </w:p>
        </w:tc>
        <w:tc>
          <w:tcPr>
            <w:tcW w:w="6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能及时获取物流请求.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能将物流数据同步至平台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5" w:hRule="atLeast"/>
        </w:trPr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第三方支付平台</w:t>
            </w:r>
          </w:p>
        </w:tc>
        <w:tc>
          <w:tcPr>
            <w:tcW w:w="6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能准确, 及时, 安全地接收支付请求.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5" w:hRule="atLeast"/>
        </w:trPr>
        <w:tc>
          <w:tcPr>
            <w:tcW w:w="8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2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平台管理员</w:t>
            </w:r>
          </w:p>
        </w:tc>
        <w:tc>
          <w:tcPr>
            <w:tcW w:w="61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能对可疑交易(例如刷单, 交易违规商品)等行为进行阻止和报警.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能对交易纠纷进行调解.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 能调出查看平台总体营业情况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4. 能安排平台对用户进行宣传推送.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2.3范围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任何用户可以任何时刻进行购买和销售商品.</w:t>
      </w: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3.业务概念分析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针对所有用户: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• 登录: 所有用户需要登陆和切换账号需要连接数据库进行身份验证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针对购买者: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• 购买物品：所有用户均需登录后才能提交订单. 当用户确认提交购物申请时, 引导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用户提交订单信息: 包括联系方式, 收货地址, 订单备注.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• 购物车功能 用户可将商品加入至购物车, 方便日后随时查看商品信息, 并且系统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会关注购物车中商品的价格变化, 当商品价格降低时通知用户查看.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• 商店信息功能: 用户可随时查看店铺信息. 每个店铺拥有各自独立的店铺首页, 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中包括该店铺所收获的评价, 店铺在售的商品和该店铺所展示的广告等.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• 客服功能: 以聊天的形式让买家, 卖方和平台管理员进行沟通.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• 支付：提供多种支付方式. 此功能必须实现较高的安全性, 不能有危害用户财产安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全的风险.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• 物流信息：在商品邮寄过程中，提供实时的物流信息.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• 评价(反馈)功能: 可对商品, 物流, 商家三方面进行评价.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针对商家: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• 商品管理：商家可自行上架商品, 并标注商品信息, 包括名称, 价格, 描述, 规格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参数, 备注, 搜索关键词等信息.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• 广告：在淘宝页面设置广告页面，以客户喜好习惯进行广告投放。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• 营销分析：对销售状况进行分析.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• 审核: 对商品属性进行分析，防止黄赌毒等不良因素的物品出现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rPr>
          <w:rFonts w:hint="eastAsia"/>
          <w:lang w:val="en-US" w:eastAsia="zh-CN"/>
        </w:rPr>
        <w:t>系统功能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  <w:t>所有用户功能分析</w:t>
      </w: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5"/>
        <w:gridCol w:w="2069"/>
        <w:gridCol w:w="2082"/>
        <w:gridCol w:w="206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登录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执行者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目标: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用户通过输入用户名与账号密码登录该系统.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需存在以注册的.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结束状态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用户成功登录.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用户账号密码正确才可登录, 密码错误会提示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)买家功能用例图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0" distR="0">
            <wp:extent cx="4348480" cy="3755390"/>
            <wp:effectExtent l="0" t="0" r="10160" b="889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2089"/>
        <w:gridCol w:w="2075"/>
        <w:gridCol w:w="20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交易处理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执行者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买家用户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目标: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引导用户填写订单, 并经由系统处理后成为正式的交易.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步骤: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选择商品, 确定参数(可选).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选择支付方式, 填写收货信息等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 提交, 服务器进行处理.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用户登录, 且点击"购买".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结束状态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完成支付, 记录, 物流等过程, 并通知卖方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2089"/>
        <w:gridCol w:w="2075"/>
        <w:gridCol w:w="20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商品详情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执行者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买方用户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目标: 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通过前端界面, 展示商品的详情数据.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要求: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展示商品的名称, 描述, 价格, 参数(可选), 图片等信息.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无(无需登录也可查看)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结束状态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前端加载完成来自服务器的商品数据.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2089"/>
        <w:gridCol w:w="2075"/>
        <w:gridCol w:w="20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购物车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执行者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买方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目标: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展示用户添加到购物车的商品列表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要求: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购物车商品列表应展示商品名称, 加入时价格, 当前价格等数据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结束状态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前端加载完成来自服务器的购物车数据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2089"/>
        <w:gridCol w:w="2075"/>
        <w:gridCol w:w="20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2.4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物流信息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执行者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买方用户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目标: 查看购买的商品的物流信息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用户已登录, 且有购买记录.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结束状态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前端加载完成来自第三方平台接口的物流数据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(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)卖家功能用例图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0" distR="0">
            <wp:extent cx="4968240" cy="5111115"/>
            <wp:effectExtent l="0" t="0" r="0" b="9525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tbl>
      <w:tblPr>
        <w:tblStyle w:val="6"/>
        <w:tblW w:w="8314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9"/>
        <w:gridCol w:w="2088"/>
        <w:gridCol w:w="2075"/>
        <w:gridCol w:w="20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0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  <w:tc>
          <w:tcPr>
            <w:tcW w:w="2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上架商品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执行者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卖家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目标: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按照要求将商品上架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要求: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能够合理上架商品的相关信息并能够进行相关检测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卖家</w:t>
            </w: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已登录.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结束状态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数据库更新上架商品的信息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22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2089"/>
        <w:gridCol w:w="2075"/>
        <w:gridCol w:w="20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3.2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物流信息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执行者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</w:t>
            </w: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方用户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目标: 查看购买的商品的物流信息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用户已登录, 且有</w:t>
            </w: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销售</w:t>
            </w: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记录.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结束状态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前端加载完成来自第三方平台接口的物流数据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2089"/>
        <w:gridCol w:w="2075"/>
        <w:gridCol w:w="20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客服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执行者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卖方用户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目标: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通过构建聊天服务, 使得买方和卖方可以及时沟通.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双方已登录.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结束状态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(就一次通信)消息被发送至对方终端, 且在前端中展示和被记录在文件中.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</w:t>
            </w: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由买</w:t>
            </w: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卖双</w:t>
            </w: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方用户发起, 发送者必须登录, 发送时另一方可以不在线, 由服务器缓存, 登录时同步至本地.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2089"/>
        <w:gridCol w:w="2075"/>
        <w:gridCol w:w="20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3.4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商家信息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执行者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买方用户, 卖方用户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目标: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卖方用户可查看和更新(自己的)商家信息, 买方用户可以查看任何商家的商店信息.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卖方用户在更新商店信息时需要登录.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结束状态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前端加载完成相关数据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（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）平台功能用例图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drawing>
          <wp:inline distT="0" distB="0" distL="0" distR="0">
            <wp:extent cx="5215890" cy="3210560"/>
            <wp:effectExtent l="0" t="0" r="11430" b="5080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2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2089"/>
        <w:gridCol w:w="2075"/>
        <w:gridCol w:w="20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4.1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营销分析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执行者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管理员用户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目标: 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计算平台的营销分析数据并展示给管理员.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种类: 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 商店数据分析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 商品数据分析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 订单数据分析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用户登录.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结束状态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前端加载相关的数据并展示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由于计算过程费时, 也可设置为服务器定时计算, 用户请求时返回最新一次计算的结果.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</w:t>
      </w: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2089"/>
        <w:gridCol w:w="2075"/>
        <w:gridCol w:w="206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4.2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2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广告投放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执行者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管理员用户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目标: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管理员可配置广告相关的配置文件, 来调整平台的广告信息.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要求:</w:t>
            </w:r>
          </w:p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前端引导用户填写相关配置, 填写完毕后提交即可.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管理员已登录.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结束状态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用户提交配置, 服务器处理完毕.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23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31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0" w:type="dxa"/>
              <w:bottom w:w="60" w:type="dxa"/>
              <w:right w:w="0" w:type="dxa"/>
            </w:tcMar>
          </w:tcPr>
          <w:p>
            <w:pPr>
              <w:pStyle w:val="4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1"/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无.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5.其他需求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可使用性：保证界面简洁明确，可操作性强不存在有异议的交互功能。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安全保密：对账户信息进行经过加密后传输与存储，保证用户信息的安全性，在系统层面对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用户的账号丢失找回机制进行保证安全性的设计。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可维护性：软件开发过程需编写详细的文档与代码注释，对使用的算法方法进行详细说明。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可移植性：尽量使用标准库里面所提供的函数，提高软件的跨系统可移植性。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27039"/>
    <w:multiLevelType w:val="singleLevel"/>
    <w:tmpl w:val="8912703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03211"/>
    <w:rsid w:val="30CC2B38"/>
    <w:rsid w:val="3B6234B8"/>
    <w:rsid w:val="581F5253"/>
    <w:rsid w:val="729477B6"/>
    <w:rsid w:val="79D3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qFormat/>
    <w:uiPriority w:val="10"/>
    <w:pPr>
      <w:widowControl/>
      <w:contextualSpacing/>
      <w:jc w:val="left"/>
    </w:pPr>
    <w:rPr>
      <w:rFonts w:asciiTheme="majorHAnsi" w:hAnsiTheme="majorHAnsi" w:eastAsiaTheme="majorEastAsia" w:cstheme="majorBidi"/>
      <w:spacing w:val="-10"/>
      <w:kern w:val="0"/>
      <w:sz w:val="56"/>
      <w:szCs w:val="56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石墨文档正文"/>
    <w:qFormat/>
    <w:uiPriority w:val="0"/>
    <w:rPr>
      <w:rFonts w:ascii="微软雅黑" w:hAnsi="微软雅黑" w:eastAsia="微软雅黑" w:cs="微软雅黑"/>
      <w:kern w:val="0"/>
      <w:sz w:val="22"/>
      <w:szCs w:val="22"/>
      <w:lang w:val="en-US" w:eastAsia="zh-CN" w:bidi="ar-SA"/>
    </w:rPr>
  </w:style>
  <w:style w:type="character" w:customStyle="1" w:styleId="11">
    <w:name w:val="ql-author-14927117"/>
    <w:basedOn w:val="7"/>
    <w:uiPriority w:val="0"/>
  </w:style>
  <w:style w:type="character" w:customStyle="1" w:styleId="12">
    <w:name w:val="标题 2 Char"/>
    <w:link w:val="3"/>
    <w:uiPriority w:val="0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2020-06-03T12:01:00Z</dcterms:created>
  <dc:creator>Harry</dc:creator>
  <cp:lastModifiedBy>yyq</cp:lastModifiedBy>
  <dcterms:modified xsi:type="dcterms:W3CDTF">2020-06-09T07:06:15Z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