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13D09F"/>
    <w:tbl>
      <w:tblPr>
        <w:tblStyle w:val="4"/>
        <w:tblpPr w:leftFromText="180" w:rightFromText="180" w:vertAnchor="page" w:horzAnchor="margin" w:tblpXSpec="center" w:tblpY="1972"/>
        <w:tblW w:w="988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2"/>
        <w:gridCol w:w="141"/>
        <w:gridCol w:w="2063"/>
        <w:gridCol w:w="2460"/>
        <w:gridCol w:w="1276"/>
        <w:gridCol w:w="2095"/>
      </w:tblGrid>
      <w:tr w14:paraId="4A50E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9" w:hRule="atLeast"/>
        </w:trPr>
        <w:tc>
          <w:tcPr>
            <w:tcW w:w="9887" w:type="dxa"/>
            <w:gridSpan w:val="6"/>
            <w:tcBorders>
              <w:bottom w:val="single" w:color="auto" w:sz="4" w:space="0"/>
            </w:tcBorders>
            <w:shd w:val="clear" w:color="auto" w:fill="CCCCCC"/>
          </w:tcPr>
          <w:p w14:paraId="2CB53175">
            <w:pPr>
              <w:jc w:val="center"/>
              <w:rPr>
                <w:rFonts w:ascii="隶书" w:eastAsia="隶书"/>
                <w:sz w:val="36"/>
                <w:szCs w:val="36"/>
              </w:rPr>
            </w:pPr>
            <w:r>
              <w:rPr>
                <w:rFonts w:hint="eastAsia" w:ascii="隶书" w:eastAsia="隶书"/>
                <w:sz w:val="36"/>
                <w:szCs w:val="36"/>
              </w:rPr>
              <w:t>软件信息</w:t>
            </w:r>
          </w:p>
        </w:tc>
      </w:tr>
      <w:tr w14:paraId="5EF386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9887" w:type="dxa"/>
            <w:gridSpan w:val="6"/>
            <w:tcBorders>
              <w:bottom w:val="single" w:color="auto" w:sz="4" w:space="0"/>
            </w:tcBorders>
            <w:shd w:val="clear" w:color="auto" w:fill="CCCCCC"/>
          </w:tcPr>
          <w:p w14:paraId="3A347975">
            <w:pPr>
              <w:rPr>
                <w:rFonts w:ascii="隶书" w:eastAsia="隶书"/>
                <w:sz w:val="28"/>
                <w:szCs w:val="28"/>
              </w:rPr>
            </w:pPr>
            <w:r>
              <w:rPr>
                <w:rFonts w:hint="eastAsia" w:ascii="隶书" w:eastAsia="隶书"/>
                <w:sz w:val="28"/>
                <w:szCs w:val="28"/>
              </w:rPr>
              <w:t>请您认真填写表格，提交之后无法修改！           服务电话：17302620769</w:t>
            </w:r>
          </w:p>
        </w:tc>
      </w:tr>
      <w:tr w14:paraId="5890E2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1852" w:type="dxa"/>
            <w:shd w:val="clear" w:color="auto" w:fill="F3F3F3"/>
          </w:tcPr>
          <w:p w14:paraId="3814F8BE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软件名称：</w:t>
            </w:r>
          </w:p>
        </w:tc>
        <w:tc>
          <w:tcPr>
            <w:tcW w:w="8035" w:type="dxa"/>
            <w:gridSpan w:val="5"/>
            <w:shd w:val="clear" w:color="auto" w:fill="F3F3F3"/>
            <w:vAlign w:val="center"/>
          </w:tcPr>
          <w:p w14:paraId="7E94525C">
            <w:pPr>
              <w:spacing w:after="0" w:line="276" w:lineRule="auto"/>
            </w:pPr>
            <w:r>
              <w:rPr>
                <w:rFonts w:hint="eastAsia" w:ascii="宋体" w:hAnsi="宋体" w:eastAsia="宋体"/>
                <w:b w:val="0"/>
                <w:sz w:val="21"/>
              </w:rPr>
              <w:t>AI 人员安全相机平台</w:t>
            </w:r>
          </w:p>
        </w:tc>
      </w:tr>
      <w:tr w14:paraId="008AA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1852" w:type="dxa"/>
            <w:shd w:val="clear" w:color="auto" w:fill="F3F3F3"/>
          </w:tcPr>
          <w:p w14:paraId="7EFD3221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软件简称：</w:t>
            </w:r>
          </w:p>
        </w:tc>
        <w:tc>
          <w:tcPr>
            <w:tcW w:w="8035" w:type="dxa"/>
            <w:gridSpan w:val="5"/>
            <w:shd w:val="clear" w:color="auto" w:fill="F3F3F3"/>
            <w:vAlign w:val="center"/>
          </w:tcPr>
          <w:p w14:paraId="04520495">
            <w:pPr>
              <w:spacing w:after="0" w:line="276" w:lineRule="auto"/>
            </w:pPr>
            <w:r>
              <w:rPr>
                <w:rFonts w:hint="eastAsia" w:ascii="宋体" w:hAnsi="宋体" w:eastAsia="宋体"/>
                <w:b w:val="0"/>
                <w:sz w:val="21"/>
              </w:rPr>
              <w:t>AI 人员安全相机平台</w:t>
            </w:r>
            <w:r>
              <w:rPr>
                <w:rFonts w:ascii="宋体" w:hAnsi="宋体" w:eastAsia="宋体"/>
                <w:b w:val="0"/>
                <w:sz w:val="21"/>
              </w:rPr>
              <w:t>是一款面向 Jetson 边缘设备的工业相机监控与智能检测系统。系统采用前后端分离架构，前端基于 Vue 3 + Vite + Pinia 开发，后端基于 Python + Flask 开发，集成实时视频预览、相机参数配置、AI 检测配置、检测区域绘制、模型管理、异常 GPIO 输出和录像管理等功能。</w:t>
            </w:r>
          </w:p>
        </w:tc>
      </w:tr>
      <w:tr w14:paraId="4474C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4" w:hRule="atLeast"/>
        </w:trPr>
        <w:tc>
          <w:tcPr>
            <w:tcW w:w="1852" w:type="dxa"/>
            <w:shd w:val="clear" w:color="auto" w:fill="F3F3F3"/>
          </w:tcPr>
          <w:p w14:paraId="79EF6E51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版本号</w:t>
            </w:r>
          </w:p>
        </w:tc>
        <w:tc>
          <w:tcPr>
            <w:tcW w:w="8035" w:type="dxa"/>
            <w:gridSpan w:val="5"/>
            <w:shd w:val="clear" w:color="auto" w:fill="F3F3F3"/>
            <w:vAlign w:val="center"/>
          </w:tcPr>
          <w:p w14:paraId="1DDA8BC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</w:tr>
      <w:tr w14:paraId="05532C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3" w:hRule="atLeast"/>
        </w:trPr>
        <w:tc>
          <w:tcPr>
            <w:tcW w:w="1852" w:type="dxa"/>
            <w:shd w:val="clear" w:color="auto" w:fill="F3F3F3"/>
          </w:tcPr>
          <w:p w14:paraId="11A7B109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公司成立日期：</w:t>
            </w:r>
          </w:p>
        </w:tc>
        <w:tc>
          <w:tcPr>
            <w:tcW w:w="8035" w:type="dxa"/>
            <w:gridSpan w:val="5"/>
            <w:shd w:val="clear" w:color="auto" w:fill="F3F3F3"/>
          </w:tcPr>
          <w:p w14:paraId="32F592F2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2019.10.18</w:t>
            </w:r>
          </w:p>
        </w:tc>
      </w:tr>
      <w:tr w14:paraId="79D33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5" w:hRule="atLeast"/>
        </w:trPr>
        <w:tc>
          <w:tcPr>
            <w:tcW w:w="1852" w:type="dxa"/>
            <w:shd w:val="clear" w:color="auto" w:fill="F3F3F3"/>
          </w:tcPr>
          <w:p w14:paraId="17E10F6F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软件完成日期：</w:t>
            </w:r>
          </w:p>
        </w:tc>
        <w:tc>
          <w:tcPr>
            <w:tcW w:w="8035" w:type="dxa"/>
            <w:gridSpan w:val="5"/>
            <w:shd w:val="clear" w:color="auto" w:fill="F3F3F3"/>
            <w:vAlign w:val="center"/>
          </w:tcPr>
          <w:p w14:paraId="1C64E3B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2026.06.02</w:t>
            </w:r>
          </w:p>
        </w:tc>
      </w:tr>
      <w:tr w14:paraId="1E67B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1852" w:type="dxa"/>
            <w:shd w:val="clear" w:color="auto" w:fill="F3F3F3"/>
          </w:tcPr>
          <w:p w14:paraId="19CD538C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软件发表日期：</w:t>
            </w:r>
          </w:p>
        </w:tc>
        <w:tc>
          <w:tcPr>
            <w:tcW w:w="8035" w:type="dxa"/>
            <w:gridSpan w:val="5"/>
            <w:shd w:val="clear" w:color="auto" w:fill="F3F3F3"/>
          </w:tcPr>
          <w:p w14:paraId="0B802D7F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 2" w:char="F052"/>
            </w:r>
            <w:r>
              <w:rPr>
                <w:rFonts w:hint="eastAsia" w:ascii="宋体" w:hAnsi="宋体"/>
                <w:sz w:val="24"/>
              </w:rPr>
              <w:t xml:space="preserve">未发表     </w:t>
            </w:r>
            <w:r>
              <w:rPr>
                <w:rFonts w:hint="eastAsia" w:ascii="宋体" w:hAnsi="宋体"/>
                <w:sz w:val="24"/>
              </w:rPr>
              <w:sym w:font="Wingdings 2" w:char="00A3"/>
            </w:r>
            <w:r>
              <w:rPr>
                <w:rFonts w:hint="eastAsia" w:ascii="宋体" w:hAnsi="宋体"/>
                <w:sz w:val="24"/>
              </w:rPr>
              <w:t xml:space="preserve"> 已发表（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年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 xml:space="preserve">月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</w:t>
            </w:r>
            <w:r>
              <w:rPr>
                <w:rFonts w:hint="eastAsia" w:ascii="宋体" w:hAnsi="宋体"/>
                <w:sz w:val="24"/>
              </w:rPr>
              <w:t>日）</w:t>
            </w:r>
          </w:p>
        </w:tc>
      </w:tr>
      <w:tr w14:paraId="333D92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2" w:hRule="atLeast"/>
        </w:trPr>
        <w:tc>
          <w:tcPr>
            <w:tcW w:w="1852" w:type="dxa"/>
            <w:shd w:val="clear" w:color="auto" w:fill="F3F3F3"/>
          </w:tcPr>
          <w:p w14:paraId="297C66D8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发表城市：</w:t>
            </w:r>
          </w:p>
        </w:tc>
        <w:tc>
          <w:tcPr>
            <w:tcW w:w="8035" w:type="dxa"/>
            <w:gridSpan w:val="5"/>
            <w:shd w:val="clear" w:color="auto" w:fill="F3F3F3"/>
          </w:tcPr>
          <w:p w14:paraId="2B09BB47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广州</w:t>
            </w:r>
          </w:p>
        </w:tc>
      </w:tr>
      <w:tr w14:paraId="61CA5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852" w:type="dxa"/>
            <w:shd w:val="clear" w:color="auto" w:fill="F3F3F3"/>
          </w:tcPr>
          <w:p w14:paraId="1BE828EB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开发的硬件环境</w:t>
            </w:r>
          </w:p>
        </w:tc>
        <w:tc>
          <w:tcPr>
            <w:tcW w:w="8035" w:type="dxa"/>
            <w:gridSpan w:val="5"/>
            <w:shd w:val="clear" w:color="auto" w:fill="F3F3F3"/>
            <w:vAlign w:val="center"/>
          </w:tcPr>
          <w:p w14:paraId="03FA5E2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内存64G，1T硬盘容量，NVIDIA Jetson Orin Nano 开发板</w:t>
            </w:r>
          </w:p>
        </w:tc>
      </w:tr>
      <w:tr w14:paraId="0DFB6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852" w:type="dxa"/>
            <w:shd w:val="clear" w:color="auto" w:fill="F3F3F3"/>
          </w:tcPr>
          <w:p w14:paraId="12C25A73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运行的硬件环境</w:t>
            </w:r>
          </w:p>
        </w:tc>
        <w:tc>
          <w:tcPr>
            <w:tcW w:w="8035" w:type="dxa"/>
            <w:gridSpan w:val="5"/>
            <w:shd w:val="clear" w:color="auto" w:fill="F3F3F3"/>
            <w:vAlign w:val="center"/>
          </w:tcPr>
          <w:p w14:paraId="2957AE3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NVIDIA Jetson Orin Nano 边缘计算设备，USB/V4L2 摄像头，40-Pin GPIO 扩展接口，局域网显示终端</w:t>
            </w:r>
          </w:p>
        </w:tc>
      </w:tr>
      <w:tr w14:paraId="536262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8" w:hRule="atLeast"/>
        </w:trPr>
        <w:tc>
          <w:tcPr>
            <w:tcW w:w="1852" w:type="dxa"/>
            <w:shd w:val="clear" w:color="auto" w:fill="F3F3F3"/>
          </w:tcPr>
          <w:p w14:paraId="1C5736F9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开发的该软件的操作系统</w:t>
            </w:r>
          </w:p>
        </w:tc>
        <w:tc>
          <w:tcPr>
            <w:tcW w:w="8035" w:type="dxa"/>
            <w:gridSpan w:val="5"/>
            <w:shd w:val="clear" w:color="auto" w:fill="F3F3F3"/>
            <w:vAlign w:val="center"/>
          </w:tcPr>
          <w:p w14:paraId="016CD0E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Windows、Ubuntu/Linux</w:t>
            </w:r>
          </w:p>
        </w:tc>
      </w:tr>
      <w:tr w14:paraId="4C9F3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</w:trPr>
        <w:tc>
          <w:tcPr>
            <w:tcW w:w="1852" w:type="dxa"/>
            <w:shd w:val="clear" w:color="auto" w:fill="F3F3F3"/>
          </w:tcPr>
          <w:p w14:paraId="61084B81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软件开发环境/开发工具</w:t>
            </w:r>
          </w:p>
        </w:tc>
        <w:tc>
          <w:tcPr>
            <w:tcW w:w="8035" w:type="dxa"/>
            <w:gridSpan w:val="5"/>
            <w:shd w:val="clear" w:color="auto" w:fill="F3F3F3"/>
            <w:vAlign w:val="center"/>
          </w:tcPr>
          <w:p w14:paraId="07B654D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Vue 3 + Vite + Pinia + Python 3 + Flask + OpenCV + GStreamer + TensorRT</w:t>
            </w:r>
          </w:p>
        </w:tc>
      </w:tr>
      <w:tr w14:paraId="2C582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</w:trPr>
        <w:tc>
          <w:tcPr>
            <w:tcW w:w="1852" w:type="dxa"/>
            <w:shd w:val="clear" w:color="auto" w:fill="F3F3F3"/>
          </w:tcPr>
          <w:p w14:paraId="3B9934EE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该软件的运行平台/操作系统</w:t>
            </w:r>
          </w:p>
        </w:tc>
        <w:tc>
          <w:tcPr>
            <w:tcW w:w="8035" w:type="dxa"/>
            <w:gridSpan w:val="5"/>
            <w:shd w:val="clear" w:color="auto" w:fill="F3F3F3"/>
            <w:vAlign w:val="center"/>
          </w:tcPr>
          <w:p w14:paraId="442CF4B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Jetson Linux（Ubuntu）或 Windows10 以上调试环境</w:t>
            </w:r>
          </w:p>
        </w:tc>
      </w:tr>
      <w:tr w14:paraId="7F206E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8" w:hRule="atLeast"/>
        </w:trPr>
        <w:tc>
          <w:tcPr>
            <w:tcW w:w="1852" w:type="dxa"/>
            <w:shd w:val="clear" w:color="auto" w:fill="F3F3F3"/>
          </w:tcPr>
          <w:p w14:paraId="49F72963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软件运行支撑环境/支撑软件</w:t>
            </w:r>
          </w:p>
        </w:tc>
        <w:tc>
          <w:tcPr>
            <w:tcW w:w="8035" w:type="dxa"/>
            <w:gridSpan w:val="5"/>
            <w:shd w:val="clear" w:color="auto" w:fill="F3F3F3"/>
            <w:vAlign w:val="center"/>
          </w:tcPr>
          <w:p w14:paraId="63A3E09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Node.js、Python、Flask、MediaMTX、OpenCV、GStreamer、CUDA/TensorRT、Jetson.GPIO</w:t>
            </w:r>
          </w:p>
        </w:tc>
      </w:tr>
      <w:tr w14:paraId="6B6782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852" w:type="dxa"/>
            <w:shd w:val="clear" w:color="auto" w:fill="F3F3F3"/>
          </w:tcPr>
          <w:p w14:paraId="06339A69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编程语言</w:t>
            </w:r>
          </w:p>
        </w:tc>
        <w:tc>
          <w:tcPr>
            <w:tcW w:w="8035" w:type="dxa"/>
            <w:gridSpan w:val="5"/>
            <w:shd w:val="clear" w:color="auto" w:fill="F3F3F3"/>
            <w:vAlign w:val="center"/>
          </w:tcPr>
          <w:p w14:paraId="34B2C62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Python、JavaScript、Vue、C++、Shell</w:t>
            </w:r>
          </w:p>
        </w:tc>
      </w:tr>
      <w:tr w14:paraId="4EF9C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852" w:type="dxa"/>
            <w:shd w:val="clear" w:color="auto" w:fill="F3F3F3"/>
          </w:tcPr>
          <w:p w14:paraId="7B7EFB3F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开发目的</w:t>
            </w:r>
          </w:p>
        </w:tc>
        <w:tc>
          <w:tcPr>
            <w:tcW w:w="8035" w:type="dxa"/>
            <w:gridSpan w:val="5"/>
            <w:shd w:val="clear" w:color="auto" w:fill="F3F3F3"/>
          </w:tcPr>
          <w:p w14:paraId="154F6F96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 2" w:char="00A3"/>
            </w:r>
            <w:r>
              <w:rPr>
                <w:rFonts w:hint="eastAsia" w:ascii="宋体" w:hAnsi="宋体"/>
                <w:sz w:val="24"/>
              </w:rPr>
              <w:t xml:space="preserve"> 自己使用    </w:t>
            </w:r>
            <w:r>
              <w:rPr>
                <w:rFonts w:hint="eastAsia" w:ascii="宋体" w:hAnsi="宋体"/>
                <w:sz w:val="24"/>
              </w:rPr>
              <w:sym w:font="Wingdings 2" w:char="F052"/>
            </w:r>
            <w:r>
              <w:rPr>
                <w:rFonts w:hint="eastAsia" w:ascii="宋体" w:hAnsi="宋体"/>
                <w:sz w:val="24"/>
              </w:rPr>
              <w:t xml:space="preserve"> 销售  </w:t>
            </w:r>
            <w:r>
              <w:rPr>
                <w:rFonts w:hint="eastAsia" w:ascii="宋体" w:hAnsi="宋体"/>
                <w:sz w:val="24"/>
              </w:rPr>
              <w:sym w:font="Wingdings 2" w:char="00A3"/>
            </w:r>
            <w:r>
              <w:rPr>
                <w:rFonts w:hint="eastAsia" w:ascii="宋体" w:hAnsi="宋体"/>
                <w:sz w:val="24"/>
              </w:rPr>
              <w:t xml:space="preserve"> 其他（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             </w:t>
            </w:r>
            <w:r>
              <w:rPr>
                <w:rFonts w:hint="eastAsia" w:ascii="宋体" w:hAnsi="宋体"/>
                <w:sz w:val="24"/>
              </w:rPr>
              <w:t>）</w:t>
            </w:r>
          </w:p>
        </w:tc>
      </w:tr>
      <w:tr w14:paraId="54624C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852" w:type="dxa"/>
            <w:shd w:val="clear" w:color="auto" w:fill="F3F3F3"/>
          </w:tcPr>
          <w:p w14:paraId="4BC20ECA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面向领域/行业</w:t>
            </w:r>
          </w:p>
        </w:tc>
        <w:tc>
          <w:tcPr>
            <w:tcW w:w="8035" w:type="dxa"/>
            <w:gridSpan w:val="5"/>
            <w:shd w:val="clear" w:color="auto" w:fill="F3F3F3"/>
          </w:tcPr>
          <w:p w14:paraId="2A10FE29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制造业</w:t>
            </w:r>
          </w:p>
        </w:tc>
      </w:tr>
      <w:tr w14:paraId="6E69D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852" w:type="dxa"/>
            <w:shd w:val="clear" w:color="auto" w:fill="F3F3F3"/>
          </w:tcPr>
          <w:p w14:paraId="6931338D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软件分类</w:t>
            </w:r>
          </w:p>
        </w:tc>
        <w:tc>
          <w:tcPr>
            <w:tcW w:w="8035" w:type="dxa"/>
            <w:gridSpan w:val="5"/>
            <w:shd w:val="clear" w:color="auto" w:fill="F3F3F3"/>
          </w:tcPr>
          <w:p w14:paraId="14913024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 2" w:char="F052"/>
            </w:r>
            <w:r>
              <w:rPr>
                <w:rFonts w:hint="eastAsia" w:ascii="宋体" w:hAnsi="宋体"/>
                <w:sz w:val="24"/>
              </w:rPr>
              <w:t xml:space="preserve"> 应用软件    </w:t>
            </w:r>
            <w:r>
              <w:rPr>
                <w:rFonts w:hint="eastAsia" w:ascii="宋体" w:hAnsi="宋体"/>
                <w:sz w:val="24"/>
              </w:rPr>
              <w:sym w:font="Wingdings 2" w:char="00A3"/>
            </w:r>
            <w:r>
              <w:rPr>
                <w:rFonts w:hint="eastAsia" w:ascii="宋体" w:hAnsi="宋体"/>
                <w:sz w:val="24"/>
              </w:rPr>
              <w:t xml:space="preserve"> 嵌入式软件     </w:t>
            </w:r>
            <w:r>
              <w:rPr>
                <w:rFonts w:hint="eastAsia" w:ascii="宋体" w:hAnsi="宋体"/>
                <w:sz w:val="24"/>
              </w:rPr>
              <w:sym w:font="Wingdings 2" w:char="00A3"/>
            </w:r>
            <w:r>
              <w:rPr>
                <w:rFonts w:hint="eastAsia" w:ascii="宋体" w:hAnsi="宋体"/>
                <w:sz w:val="24"/>
              </w:rPr>
              <w:t xml:space="preserve"> 中间件     </w:t>
            </w:r>
            <w:r>
              <w:rPr>
                <w:rFonts w:hint="eastAsia" w:ascii="宋体" w:hAnsi="宋体"/>
                <w:sz w:val="24"/>
              </w:rPr>
              <w:sym w:font="Wingdings 2" w:char="00A3"/>
            </w:r>
            <w:r>
              <w:rPr>
                <w:rFonts w:hint="eastAsia" w:ascii="宋体" w:hAnsi="宋体"/>
                <w:sz w:val="24"/>
              </w:rPr>
              <w:t xml:space="preserve"> 操作系统</w:t>
            </w:r>
          </w:p>
        </w:tc>
      </w:tr>
      <w:tr w14:paraId="396B8D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852" w:type="dxa"/>
            <w:shd w:val="clear" w:color="auto" w:fill="F3F3F3"/>
          </w:tcPr>
          <w:p w14:paraId="60D13A8D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源程序量</w:t>
            </w:r>
          </w:p>
        </w:tc>
        <w:tc>
          <w:tcPr>
            <w:tcW w:w="8035" w:type="dxa"/>
            <w:gridSpan w:val="5"/>
            <w:shd w:val="clear" w:color="auto" w:fill="F3F3F3"/>
            <w:vAlign w:val="center"/>
          </w:tcPr>
          <w:p w14:paraId="0D89F3E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13446</w:t>
            </w:r>
          </w:p>
        </w:tc>
      </w:tr>
      <w:tr w14:paraId="52C08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</w:trPr>
        <w:tc>
          <w:tcPr>
            <w:tcW w:w="1852" w:type="dxa"/>
            <w:tcBorders>
              <w:bottom w:val="single" w:color="auto" w:sz="4" w:space="0"/>
            </w:tcBorders>
            <w:shd w:val="clear" w:color="auto" w:fill="F3F3F3"/>
          </w:tcPr>
          <w:p w14:paraId="755904C3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软件的主要功能</w:t>
            </w:r>
          </w:p>
        </w:tc>
        <w:tc>
          <w:tcPr>
            <w:tcW w:w="8035" w:type="dxa"/>
            <w:gridSpan w:val="5"/>
            <w:tcBorders>
              <w:bottom w:val="single" w:color="auto" w:sz="4" w:space="0"/>
            </w:tcBorders>
            <w:shd w:val="clear" w:color="auto" w:fill="F3F3F3"/>
            <w:vAlign w:val="center"/>
          </w:tcPr>
          <w:p w14:paraId="38AB976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工业视觉AI检测系统是一款面向工业现场的视觉检测系统，支持摄像头实时采集、浏览器端视频预览、相机参数配置、AI 模型检测、检测区域绘制、异常报警输出、模型文件管理和本地录像管理。系统可在 Jetson 边缘设备上运行，帮助用户对工业现场进行实时监控、目标检测和异常联动处理。</w:t>
            </w:r>
          </w:p>
        </w:tc>
      </w:tr>
      <w:tr w14:paraId="0CF0C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16" w:hRule="atLeast"/>
        </w:trPr>
        <w:tc>
          <w:tcPr>
            <w:tcW w:w="1852" w:type="dxa"/>
            <w:tcBorders>
              <w:bottom w:val="single" w:color="auto" w:sz="4" w:space="0"/>
            </w:tcBorders>
            <w:shd w:val="clear" w:color="auto" w:fill="F3F3F3"/>
          </w:tcPr>
          <w:p w14:paraId="722A22F0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软件的技术特点</w:t>
            </w:r>
          </w:p>
        </w:tc>
        <w:tc>
          <w:tcPr>
            <w:tcW w:w="8035" w:type="dxa"/>
            <w:gridSpan w:val="5"/>
            <w:tcBorders>
              <w:bottom w:val="single" w:color="auto" w:sz="4" w:space="0"/>
            </w:tcBorders>
            <w:shd w:val="clear" w:color="auto" w:fill="F3F3F3"/>
            <w:vAlign w:val="center"/>
          </w:tcPr>
          <w:p w14:paraId="7DC2C99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sz w:val="21"/>
              </w:rPr>
              <w:t>1. 前后端分离架构：前端采用 Vue 3 + Vite + Pinia，后端采用 Python + Flask，便于系统维护和模块扩展。</w:t>
            </w:r>
            <w:r>
              <w:rPr>
                <w:rFonts w:ascii="宋体" w:hAnsi="宋体" w:eastAsia="宋体"/>
                <w:b w:val="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sz w:val="21"/>
              </w:rPr>
              <w:t>2. 边缘视觉处理：基于 Jetson、OpenCV、GStreamer 和 MediaMTX 实现摄像头采集、H.264 编码推流和浏览器低延迟播放。</w:t>
            </w:r>
            <w:r>
              <w:rPr>
                <w:rFonts w:ascii="宋体" w:hAnsi="宋体" w:eastAsia="宋体"/>
                <w:b w:val="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sz w:val="21"/>
              </w:rPr>
              <w:t>3. AI 推理加速：支持 TensorRT engine 模型，利用 CUDA/TensorRT 在边缘设备上进行目标检测推理。</w:t>
            </w:r>
            <w:r>
              <w:rPr>
                <w:rFonts w:ascii="宋体" w:hAnsi="宋体" w:eastAsia="宋体"/>
                <w:b w:val="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sz w:val="21"/>
              </w:rPr>
              <w:t>4. ROI 区域检测：支持在前端绘制检测区域，并以归一化坐标保存到后端配置，推理时可判断目标是否进入指定区域。</w:t>
            </w:r>
            <w:r>
              <w:rPr>
                <w:rFonts w:ascii="宋体" w:hAnsi="宋体" w:eastAsia="宋体"/>
                <w:b w:val="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sz w:val="21"/>
              </w:rPr>
              <w:t>5. GPIO 联动输出：检测异常时可通过 Jetson 40-Pin GPIO 输出高低电平，便于连接外部报警或控制设备。</w:t>
            </w:r>
            <w:r>
              <w:rPr>
                <w:rFonts w:ascii="宋体" w:hAnsi="宋体" w:eastAsia="宋体"/>
                <w:b w:val="0"/>
                <w:sz w:val="21"/>
              </w:rPr>
              <w:br w:type="textWrapping"/>
            </w:r>
            <w:r>
              <w:rPr>
                <w:rFonts w:ascii="宋体" w:hAnsi="宋体" w:eastAsia="宋体"/>
                <w:b w:val="0"/>
                <w:sz w:val="21"/>
              </w:rPr>
              <w:t>6. 模块化配置管理：相机、检测、模型、异常输出和录像功能分别封装，支持配置持久化和运行时同步。</w:t>
            </w:r>
          </w:p>
        </w:tc>
      </w:tr>
      <w:tr w14:paraId="61842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</w:trPr>
        <w:tc>
          <w:tcPr>
            <w:tcW w:w="9887" w:type="dxa"/>
            <w:gridSpan w:val="6"/>
            <w:tcBorders>
              <w:bottom w:val="single" w:color="auto" w:sz="4" w:space="0"/>
            </w:tcBorders>
            <w:shd w:val="clear" w:color="auto" w:fill="CCCCCC"/>
          </w:tcPr>
          <w:p w14:paraId="07C47448">
            <w:pPr>
              <w:jc w:val="center"/>
              <w:rPr>
                <w:rFonts w:ascii="隶书" w:eastAsia="隶书"/>
                <w:sz w:val="36"/>
                <w:szCs w:val="36"/>
              </w:rPr>
            </w:pPr>
            <w:r>
              <w:rPr>
                <w:rFonts w:hint="eastAsia" w:ascii="隶书" w:eastAsia="隶书"/>
                <w:sz w:val="36"/>
                <w:szCs w:val="36"/>
              </w:rPr>
              <w:t>著作权人信息</w:t>
            </w:r>
          </w:p>
        </w:tc>
      </w:tr>
      <w:tr w14:paraId="04F30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1" w:hRule="atLeast"/>
        </w:trPr>
        <w:tc>
          <w:tcPr>
            <w:tcW w:w="4056" w:type="dxa"/>
            <w:gridSpan w:val="3"/>
            <w:shd w:val="clear" w:color="auto" w:fill="F3F3F3"/>
          </w:tcPr>
          <w:p w14:paraId="0319B0F7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公司/个人名称</w:t>
            </w:r>
          </w:p>
        </w:tc>
        <w:tc>
          <w:tcPr>
            <w:tcW w:w="5831" w:type="dxa"/>
            <w:gridSpan w:val="3"/>
            <w:shd w:val="clear" w:color="auto" w:fill="F3F3F3"/>
          </w:tcPr>
          <w:p w14:paraId="72A4C496">
            <w:pPr>
              <w:rPr>
                <w:rFonts w:ascii="隶书" w:eastAsia="隶书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营业执照/居民身份证号</w:t>
            </w:r>
          </w:p>
        </w:tc>
      </w:tr>
      <w:tr w14:paraId="3582B9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6" w:hRule="atLeast"/>
        </w:trPr>
        <w:tc>
          <w:tcPr>
            <w:tcW w:w="4056" w:type="dxa"/>
            <w:gridSpan w:val="3"/>
            <w:tcBorders>
              <w:bottom w:val="single" w:color="auto" w:sz="4" w:space="0"/>
            </w:tcBorders>
            <w:shd w:val="clear" w:color="auto" w:fill="F3F3F3"/>
          </w:tcPr>
          <w:p w14:paraId="2880CF2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广州艾视维智能科技有限公司</w:t>
            </w:r>
          </w:p>
          <w:p w14:paraId="070A8BA4">
            <w:pPr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广东</w:t>
            </w:r>
            <w:r>
              <w:rPr>
                <w:rFonts w:ascii="宋体" w:hAnsi="宋体"/>
                <w:sz w:val="24"/>
              </w:rPr>
              <w:t>艾视维智能科技有限公司</w:t>
            </w:r>
          </w:p>
        </w:tc>
        <w:tc>
          <w:tcPr>
            <w:tcW w:w="5831" w:type="dxa"/>
            <w:gridSpan w:val="3"/>
            <w:tcBorders>
              <w:bottom w:val="single" w:color="auto" w:sz="4" w:space="0"/>
            </w:tcBorders>
            <w:shd w:val="clear" w:color="auto" w:fill="F3F3F3"/>
          </w:tcPr>
          <w:p w14:paraId="41348840">
            <w:pPr>
              <w:spacing w:line="24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91440101MA5D0H493A</w:t>
            </w:r>
          </w:p>
          <w:p w14:paraId="28DCE982">
            <w:pPr>
              <w:spacing w:line="240" w:lineRule="auto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91440402MABPWDWR4Y</w:t>
            </w:r>
          </w:p>
        </w:tc>
      </w:tr>
      <w:tr w14:paraId="5DEDB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9887" w:type="dxa"/>
            <w:gridSpan w:val="6"/>
            <w:tcBorders>
              <w:bottom w:val="single" w:color="auto" w:sz="4" w:space="0"/>
            </w:tcBorders>
            <w:shd w:val="clear" w:color="auto" w:fill="CCCCCC"/>
          </w:tcPr>
          <w:p w14:paraId="71918367">
            <w:pPr>
              <w:jc w:val="center"/>
              <w:rPr>
                <w:rFonts w:ascii="隶书" w:eastAsia="隶书"/>
                <w:sz w:val="36"/>
                <w:szCs w:val="36"/>
              </w:rPr>
            </w:pPr>
            <w:r>
              <w:rPr>
                <w:rFonts w:hint="eastAsia" w:ascii="隶书" w:eastAsia="隶书"/>
                <w:sz w:val="36"/>
                <w:szCs w:val="36"/>
              </w:rPr>
              <w:t>申请人信息（申请人必须是著作权人之一）</w:t>
            </w:r>
          </w:p>
        </w:tc>
      </w:tr>
      <w:tr w14:paraId="096BF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993" w:type="dxa"/>
            <w:gridSpan w:val="2"/>
            <w:shd w:val="clear" w:color="auto" w:fill="F3F3F3"/>
          </w:tcPr>
          <w:p w14:paraId="5F1E29FA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公司/个人名称</w:t>
            </w:r>
          </w:p>
        </w:tc>
        <w:tc>
          <w:tcPr>
            <w:tcW w:w="4523" w:type="dxa"/>
            <w:gridSpan w:val="2"/>
            <w:shd w:val="clear" w:color="auto" w:fill="F3F3F3"/>
          </w:tcPr>
          <w:p w14:paraId="38CE9CE9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广州艾视维智能科技有限公司</w:t>
            </w:r>
          </w:p>
        </w:tc>
        <w:tc>
          <w:tcPr>
            <w:tcW w:w="1276" w:type="dxa"/>
            <w:shd w:val="clear" w:color="auto" w:fill="F3F3F3"/>
          </w:tcPr>
          <w:p w14:paraId="37D7EEB8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邮政编码</w:t>
            </w:r>
          </w:p>
        </w:tc>
        <w:tc>
          <w:tcPr>
            <w:tcW w:w="2095" w:type="dxa"/>
            <w:shd w:val="clear" w:color="auto" w:fill="F3F3F3"/>
          </w:tcPr>
          <w:p w14:paraId="1B5064A4">
            <w:pPr>
              <w:rPr>
                <w:rFonts w:ascii="宋体" w:hAnsi="宋体"/>
                <w:sz w:val="24"/>
              </w:rPr>
            </w:pPr>
            <w:r>
              <w:rPr>
                <w:rFonts w:hint="eastAsia" w:ascii="Arial" w:hAnsi="Arial" w:cs="Arial"/>
                <w:color w:val="333333"/>
                <w:shd w:val="clear" w:color="auto" w:fill="FFFFFF"/>
              </w:rPr>
              <w:t>510000</w:t>
            </w:r>
          </w:p>
        </w:tc>
      </w:tr>
      <w:tr w14:paraId="4B3C4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7" w:hRule="atLeast"/>
        </w:trPr>
        <w:tc>
          <w:tcPr>
            <w:tcW w:w="1993" w:type="dxa"/>
            <w:gridSpan w:val="2"/>
            <w:shd w:val="clear" w:color="auto" w:fill="F3F3F3"/>
          </w:tcPr>
          <w:p w14:paraId="3FFA2A51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详细地址</w:t>
            </w:r>
          </w:p>
        </w:tc>
        <w:tc>
          <w:tcPr>
            <w:tcW w:w="7894" w:type="dxa"/>
            <w:gridSpan w:val="4"/>
            <w:shd w:val="clear" w:color="auto" w:fill="F3F3F3"/>
          </w:tcPr>
          <w:p w14:paraId="1EF7DF43">
            <w:pPr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广东省广州市黄埔区枝山路13号C栋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701</w:t>
            </w:r>
            <w:bookmarkStart w:id="0" w:name="_GoBack"/>
            <w:bookmarkEnd w:id="0"/>
            <w:r>
              <w:rPr>
                <w:rFonts w:hint="eastAsia" w:ascii="宋体" w:hAnsi="宋体"/>
                <w:sz w:val="24"/>
              </w:rPr>
              <w:t>房</w:t>
            </w:r>
          </w:p>
        </w:tc>
      </w:tr>
    </w:tbl>
    <w:p w14:paraId="0CEF2F2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KSOF4F9C2767">
    <w:panose1 w:val="020B0503020204020204"/>
    <w:charset w:val="86"/>
    <w:family w:val="auto"/>
    <w:pitch w:val="default"/>
    <w:sig w:usb0="00000001" w:usb1="00000000" w:usb2="00000000" w:usb3="00000000" w:csb0="00040001" w:csb1="00000000"/>
  </w:font>
  <w:font w:name="Kingsoft UE">
    <w:panose1 w:val="02000100010000000000"/>
    <w:charset w:val="00"/>
    <w:family w:val="auto"/>
    <w:pitch w:val="default"/>
    <w:sig w:usb0="00000001" w:usb1="00004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U3Nzc2OGIwNThjMTM3ZWYyODBjNjczMWZhM2QxYzEifQ=="/>
  </w:docVars>
  <w:rsids>
    <w:rsidRoot w:val="00EC1EE0"/>
    <w:rsid w:val="000B64F7"/>
    <w:rsid w:val="001441B8"/>
    <w:rsid w:val="002C4CB4"/>
    <w:rsid w:val="003043A7"/>
    <w:rsid w:val="00340192"/>
    <w:rsid w:val="00392F01"/>
    <w:rsid w:val="00404BF8"/>
    <w:rsid w:val="006C0963"/>
    <w:rsid w:val="00723CBC"/>
    <w:rsid w:val="00752631"/>
    <w:rsid w:val="008C1B2C"/>
    <w:rsid w:val="00927C64"/>
    <w:rsid w:val="00A1191F"/>
    <w:rsid w:val="00AA440B"/>
    <w:rsid w:val="00B075A6"/>
    <w:rsid w:val="00C14160"/>
    <w:rsid w:val="00C51A76"/>
    <w:rsid w:val="00CE7015"/>
    <w:rsid w:val="00D44F06"/>
    <w:rsid w:val="00E05352"/>
    <w:rsid w:val="00E25323"/>
    <w:rsid w:val="00EB1779"/>
    <w:rsid w:val="00EC1EE0"/>
    <w:rsid w:val="00EF1B0E"/>
    <w:rsid w:val="00F31597"/>
    <w:rsid w:val="02550DB5"/>
    <w:rsid w:val="0283369C"/>
    <w:rsid w:val="045A3333"/>
    <w:rsid w:val="05F14D68"/>
    <w:rsid w:val="06C673A5"/>
    <w:rsid w:val="07A70FB6"/>
    <w:rsid w:val="0B61769D"/>
    <w:rsid w:val="0CB76D3D"/>
    <w:rsid w:val="0D2C632F"/>
    <w:rsid w:val="0D722221"/>
    <w:rsid w:val="0DBC0BBA"/>
    <w:rsid w:val="0F2B060B"/>
    <w:rsid w:val="10354C54"/>
    <w:rsid w:val="11DC7709"/>
    <w:rsid w:val="124F46F3"/>
    <w:rsid w:val="17124372"/>
    <w:rsid w:val="1844637C"/>
    <w:rsid w:val="190873AA"/>
    <w:rsid w:val="1E7C61F2"/>
    <w:rsid w:val="1EDA1A35"/>
    <w:rsid w:val="1F7C276F"/>
    <w:rsid w:val="1F837A7A"/>
    <w:rsid w:val="29596B78"/>
    <w:rsid w:val="2B114F51"/>
    <w:rsid w:val="2BBE215A"/>
    <w:rsid w:val="2E1168A9"/>
    <w:rsid w:val="3B204BD4"/>
    <w:rsid w:val="3F1C47C2"/>
    <w:rsid w:val="40B01F51"/>
    <w:rsid w:val="40E76959"/>
    <w:rsid w:val="42BF022A"/>
    <w:rsid w:val="42D77C69"/>
    <w:rsid w:val="43291B47"/>
    <w:rsid w:val="450B3180"/>
    <w:rsid w:val="45600405"/>
    <w:rsid w:val="497958A5"/>
    <w:rsid w:val="4D246DEE"/>
    <w:rsid w:val="4E915170"/>
    <w:rsid w:val="550008C1"/>
    <w:rsid w:val="55395A94"/>
    <w:rsid w:val="57E64118"/>
    <w:rsid w:val="58801DB1"/>
    <w:rsid w:val="59977251"/>
    <w:rsid w:val="616546A9"/>
    <w:rsid w:val="61A10344"/>
    <w:rsid w:val="66A02FE8"/>
    <w:rsid w:val="67C1666E"/>
    <w:rsid w:val="6947584D"/>
    <w:rsid w:val="6A5B5DFA"/>
    <w:rsid w:val="6F8E6DCC"/>
    <w:rsid w:val="728D7922"/>
    <w:rsid w:val="79091C23"/>
    <w:rsid w:val="7CBB6119"/>
    <w:rsid w:val="7CDF2797"/>
    <w:rsid w:val="7FB16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autoRedefine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autoRedefine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944</Words>
  <Characters>1360</Characters>
  <Lines>6</Lines>
  <Paragraphs>1</Paragraphs>
  <TotalTime>0</TotalTime>
  <ScaleCrop>false</ScaleCrop>
  <LinksUpToDate>false</LinksUpToDate>
  <CharactersWithSpaces>1514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2022-02-11T01:31:00Z</dcterms:created>
  <dc:creator>张 春涛</dc:creator>
  <cp:lastModifiedBy>華</cp:lastModifiedBy>
  <dcterms:modified xsi:type="dcterms:W3CDTF">2026-06-02T03:26:17Z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9E088D6B40CC42F79DFB62FF24FE3773_13</vt:lpwstr>
  </property>
  <property fmtid="{D5CDD505-2E9C-101B-9397-08002B2CF9AE}" pid="4" name="KSOTemplateDocerSaveRecord">
    <vt:lpwstr>eyJoZGlkIjoiOWE2MzYyNGNlZmQ3ZmQ4YWE3ODY5MWQ2OGNmYjc0YmIiLCJ1c2VySWQiOiIzMzY5Mjk1MDIifQ==</vt:lpwstr>
  </property>
</Properties>
</file>