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0BC43" w14:textId="77777777" w:rsidR="00F85C8A" w:rsidRPr="00E35CA2" w:rsidRDefault="00F85C8A" w:rsidP="00F85C8A">
      <w:pPr>
        <w:spacing w:after="480"/>
        <w:jc w:val="center"/>
        <w:rPr>
          <w:rFonts w:ascii="Calibri" w:hAnsi="Calibri" w:cs="Calibri"/>
        </w:rPr>
      </w:pPr>
      <w:r w:rsidRPr="00E35CA2">
        <w:rPr>
          <w:rFonts w:ascii="Calibri" w:hAnsi="Calibri" w:cs="Calibri"/>
          <w:sz w:val="22"/>
          <w:szCs w:val="22"/>
        </w:rPr>
        <w:t>MSc Cyber Security: Dissertation Proposal (Research Methods and Strategies, Assessment)</w:t>
      </w:r>
    </w:p>
    <w:p w14:paraId="477338CC" w14:textId="77777777" w:rsidR="00F85C8A" w:rsidRPr="00E35CA2" w:rsidRDefault="00F85C8A" w:rsidP="00F85C8A">
      <w:pPr>
        <w:spacing w:after="160"/>
        <w:jc w:val="center"/>
        <w:rPr>
          <w:rFonts w:ascii="Calibri" w:hAnsi="Calibri" w:cs="Calibri"/>
          <w:b/>
          <w:bCs/>
          <w:sz w:val="40"/>
          <w:szCs w:val="40"/>
        </w:rPr>
      </w:pPr>
    </w:p>
    <w:p w14:paraId="2A56B783" w14:textId="77777777" w:rsidR="00F85C8A" w:rsidRPr="00E35CA2" w:rsidRDefault="00F85C8A" w:rsidP="00F85C8A">
      <w:pPr>
        <w:spacing w:after="160"/>
        <w:jc w:val="center"/>
        <w:rPr>
          <w:rFonts w:ascii="Calibri" w:hAnsi="Calibri" w:cs="Calibri"/>
          <w:b/>
          <w:bCs/>
          <w:sz w:val="40"/>
          <w:szCs w:val="40"/>
        </w:rPr>
      </w:pPr>
    </w:p>
    <w:p w14:paraId="124323D2" w14:textId="77777777" w:rsidR="00F85C8A" w:rsidRPr="00E35CA2" w:rsidRDefault="00F85C8A" w:rsidP="00F85C8A">
      <w:pPr>
        <w:spacing w:after="160"/>
        <w:rPr>
          <w:rFonts w:ascii="Calibri" w:hAnsi="Calibri" w:cs="Calibri"/>
          <w:b/>
          <w:bCs/>
          <w:sz w:val="40"/>
          <w:szCs w:val="40"/>
        </w:rPr>
      </w:pPr>
    </w:p>
    <w:p w14:paraId="34C1E5B0" w14:textId="77777777" w:rsidR="00F85C8A" w:rsidRPr="00E35CA2" w:rsidRDefault="00F85C8A" w:rsidP="00F85C8A">
      <w:pPr>
        <w:spacing w:after="160"/>
        <w:jc w:val="center"/>
        <w:rPr>
          <w:rFonts w:ascii="Calibri" w:hAnsi="Calibri" w:cs="Calibri"/>
          <w:b/>
          <w:bCs/>
          <w:sz w:val="40"/>
          <w:szCs w:val="40"/>
        </w:rPr>
      </w:pPr>
    </w:p>
    <w:p w14:paraId="7607DEB4" w14:textId="77777777" w:rsidR="00F85C8A" w:rsidRPr="00E35CA2" w:rsidRDefault="00F85C8A" w:rsidP="00E35CA2">
      <w:pPr>
        <w:spacing w:after="60"/>
        <w:jc w:val="center"/>
        <w:rPr>
          <w:rFonts w:ascii="Calibri" w:hAnsi="Calibri" w:cs="Calibri"/>
        </w:rPr>
      </w:pPr>
      <w:r w:rsidRPr="00E35CA2">
        <w:rPr>
          <w:rFonts w:ascii="Calibri" w:hAnsi="Calibri" w:cs="Calibri"/>
          <w:b/>
          <w:bCs/>
          <w:sz w:val="32"/>
          <w:szCs w:val="32"/>
        </w:rPr>
        <w:t>Evaluating Cyber Threat Intelligence Enrichment for Reducing False Positives in Machine Learning Alert Triage</w:t>
      </w:r>
    </w:p>
    <w:p w14:paraId="6F4C0155" w14:textId="77777777" w:rsidR="00F85C8A" w:rsidRPr="00E35CA2" w:rsidRDefault="00F85C8A" w:rsidP="00F85C8A">
      <w:pPr>
        <w:spacing w:after="60"/>
        <w:jc w:val="center"/>
        <w:rPr>
          <w:rFonts w:ascii="Calibri" w:hAnsi="Calibri" w:cs="Calibri"/>
          <w:i/>
          <w:iCs/>
          <w:sz w:val="22"/>
          <w:szCs w:val="22"/>
        </w:rPr>
      </w:pPr>
    </w:p>
    <w:p w14:paraId="51DC1C1A" w14:textId="77777777" w:rsidR="00F85C8A" w:rsidRPr="00E35CA2" w:rsidRDefault="00F85C8A" w:rsidP="00F85C8A">
      <w:pPr>
        <w:spacing w:after="60"/>
        <w:jc w:val="center"/>
        <w:rPr>
          <w:rFonts w:ascii="Calibri" w:hAnsi="Calibri" w:cs="Calibri"/>
          <w:i/>
          <w:iCs/>
          <w:sz w:val="22"/>
          <w:szCs w:val="22"/>
        </w:rPr>
      </w:pPr>
    </w:p>
    <w:p w14:paraId="042F05D0" w14:textId="77777777" w:rsidR="00F85C8A" w:rsidRPr="00E35CA2" w:rsidRDefault="00F85C8A" w:rsidP="00F85C8A">
      <w:pPr>
        <w:tabs>
          <w:tab w:val="left" w:pos="5406"/>
        </w:tabs>
        <w:spacing w:after="60"/>
        <w:rPr>
          <w:rFonts w:ascii="Calibri" w:hAnsi="Calibri" w:cs="Calibri"/>
          <w:i/>
          <w:iCs/>
          <w:sz w:val="22"/>
          <w:szCs w:val="22"/>
        </w:rPr>
      </w:pPr>
    </w:p>
    <w:p w14:paraId="1AFEB36A" w14:textId="77777777" w:rsidR="00F85C8A" w:rsidRPr="00E35CA2" w:rsidRDefault="00F85C8A" w:rsidP="00F85C8A">
      <w:pPr>
        <w:spacing w:after="60"/>
        <w:jc w:val="center"/>
        <w:rPr>
          <w:rFonts w:ascii="Calibri" w:hAnsi="Calibri" w:cs="Calibri"/>
          <w:i/>
          <w:iCs/>
          <w:sz w:val="22"/>
          <w:szCs w:val="22"/>
        </w:rPr>
      </w:pPr>
    </w:p>
    <w:p w14:paraId="38359B7C" w14:textId="77777777" w:rsidR="00F85C8A" w:rsidRPr="00E35CA2" w:rsidRDefault="00F85C8A" w:rsidP="00F85C8A">
      <w:pPr>
        <w:spacing w:after="60"/>
        <w:jc w:val="center"/>
        <w:rPr>
          <w:rFonts w:ascii="Calibri" w:hAnsi="Calibri" w:cs="Calibri"/>
          <w:i/>
          <w:iCs/>
          <w:sz w:val="22"/>
          <w:szCs w:val="22"/>
        </w:rPr>
      </w:pPr>
    </w:p>
    <w:p w14:paraId="7B9AC3CD" w14:textId="77777777" w:rsidR="00F85C8A" w:rsidRPr="00E35CA2" w:rsidRDefault="00F85C8A" w:rsidP="00F85C8A">
      <w:pPr>
        <w:spacing w:after="60"/>
        <w:jc w:val="center"/>
        <w:rPr>
          <w:rFonts w:ascii="Calibri" w:hAnsi="Calibri" w:cs="Calibri"/>
          <w:i/>
          <w:iCs/>
          <w:sz w:val="22"/>
          <w:szCs w:val="22"/>
        </w:rPr>
      </w:pPr>
    </w:p>
    <w:p w14:paraId="7B5694EB" w14:textId="77777777" w:rsidR="00F85C8A" w:rsidRPr="00E35CA2" w:rsidRDefault="00F85C8A" w:rsidP="00F85C8A">
      <w:pPr>
        <w:spacing w:after="60"/>
        <w:jc w:val="center"/>
        <w:rPr>
          <w:rFonts w:ascii="Calibri" w:hAnsi="Calibri" w:cs="Calibri"/>
          <w:i/>
          <w:iCs/>
          <w:sz w:val="22"/>
          <w:szCs w:val="22"/>
        </w:rPr>
      </w:pPr>
    </w:p>
    <w:p w14:paraId="439BE88B" w14:textId="77777777" w:rsidR="00F85C8A" w:rsidRPr="00E35CA2" w:rsidRDefault="00F85C8A" w:rsidP="00F85C8A">
      <w:pPr>
        <w:spacing w:after="60"/>
        <w:jc w:val="center"/>
        <w:rPr>
          <w:rFonts w:ascii="Calibri" w:hAnsi="Calibri" w:cs="Calibri"/>
          <w:i/>
          <w:iCs/>
          <w:sz w:val="22"/>
          <w:szCs w:val="22"/>
        </w:rPr>
      </w:pPr>
    </w:p>
    <w:p w14:paraId="4F34E8FF" w14:textId="77777777" w:rsidR="00F85C8A" w:rsidRPr="00E35CA2" w:rsidRDefault="00F85C8A" w:rsidP="00F85C8A">
      <w:pPr>
        <w:spacing w:after="60"/>
        <w:jc w:val="center"/>
        <w:rPr>
          <w:rFonts w:ascii="Calibri" w:hAnsi="Calibri" w:cs="Calibri"/>
          <w:i/>
          <w:iCs/>
          <w:sz w:val="22"/>
          <w:szCs w:val="22"/>
        </w:rPr>
      </w:pPr>
    </w:p>
    <w:p w14:paraId="3BDB69EF" w14:textId="77777777" w:rsidR="00F85C8A" w:rsidRPr="00E35CA2" w:rsidRDefault="00F85C8A" w:rsidP="00F85C8A">
      <w:pPr>
        <w:spacing w:after="60"/>
        <w:jc w:val="center"/>
        <w:rPr>
          <w:rFonts w:ascii="Calibri" w:hAnsi="Calibri" w:cs="Calibri"/>
          <w:i/>
          <w:iCs/>
          <w:sz w:val="22"/>
          <w:szCs w:val="22"/>
        </w:rPr>
      </w:pPr>
    </w:p>
    <w:p w14:paraId="6B7BD3DB" w14:textId="77777777" w:rsidR="00F85C8A" w:rsidRPr="00E35CA2" w:rsidRDefault="00F85C8A" w:rsidP="00F85C8A">
      <w:pPr>
        <w:spacing w:after="60"/>
        <w:jc w:val="center"/>
        <w:rPr>
          <w:rFonts w:ascii="Calibri" w:hAnsi="Calibri" w:cs="Calibri"/>
          <w:i/>
          <w:iCs/>
          <w:sz w:val="22"/>
          <w:szCs w:val="22"/>
        </w:rPr>
      </w:pPr>
    </w:p>
    <w:p w14:paraId="087B7731" w14:textId="77777777" w:rsidR="00F85C8A" w:rsidRPr="00E35CA2" w:rsidRDefault="00F85C8A" w:rsidP="00F85C8A">
      <w:pPr>
        <w:spacing w:after="60"/>
        <w:jc w:val="center"/>
        <w:rPr>
          <w:rFonts w:ascii="Calibri" w:hAnsi="Calibri" w:cs="Calibri"/>
          <w:i/>
          <w:iCs/>
          <w:sz w:val="22"/>
          <w:szCs w:val="22"/>
        </w:rPr>
      </w:pPr>
    </w:p>
    <w:p w14:paraId="0398453B" w14:textId="77777777" w:rsidR="00F85C8A" w:rsidRPr="00E35CA2" w:rsidRDefault="00F85C8A" w:rsidP="00F85C8A">
      <w:pPr>
        <w:spacing w:after="60"/>
        <w:jc w:val="center"/>
        <w:rPr>
          <w:rFonts w:ascii="Calibri" w:hAnsi="Calibri" w:cs="Calibri"/>
          <w:i/>
          <w:iCs/>
          <w:sz w:val="22"/>
          <w:szCs w:val="22"/>
        </w:rPr>
      </w:pPr>
    </w:p>
    <w:p w14:paraId="03A4A548" w14:textId="77777777" w:rsidR="00F85C8A" w:rsidRPr="00E35CA2" w:rsidRDefault="00F85C8A" w:rsidP="00F85C8A">
      <w:pPr>
        <w:spacing w:after="60"/>
        <w:rPr>
          <w:rFonts w:ascii="Calibri" w:hAnsi="Calibri" w:cs="Calibri"/>
          <w:b/>
          <w:bCs/>
        </w:rPr>
      </w:pPr>
    </w:p>
    <w:p w14:paraId="62019E1C" w14:textId="5165CA0A" w:rsidR="00F85C8A" w:rsidRPr="00E35CA2" w:rsidRDefault="00F85C8A" w:rsidP="00F85C8A">
      <w:pPr>
        <w:spacing w:after="60"/>
        <w:rPr>
          <w:rFonts w:ascii="Calibri" w:hAnsi="Calibri" w:cs="Calibri"/>
          <w:b/>
          <w:bCs/>
        </w:rPr>
      </w:pPr>
    </w:p>
    <w:p w14:paraId="04F0FC77" w14:textId="6092902F" w:rsidR="00714128" w:rsidRPr="00E35CA2" w:rsidRDefault="00F85C8A" w:rsidP="00E35CA2">
      <w:pPr>
        <w:rPr>
          <w:rFonts w:ascii="Calibri" w:hAnsi="Calibri" w:cs="Calibri"/>
        </w:rPr>
      </w:pPr>
      <w:r w:rsidRPr="00E35CA2">
        <w:rPr>
          <w:rFonts w:ascii="Calibri" w:hAnsi="Calibri" w:cs="Calibri"/>
          <w:b/>
          <w:bCs/>
          <w:sz w:val="32"/>
          <w:szCs w:val="32"/>
        </w:rPr>
        <w:br w:type="page"/>
      </w:r>
    </w:p>
    <w:p w14:paraId="2C12099E" w14:textId="77777777" w:rsidR="00714128" w:rsidRPr="00E35CA2" w:rsidRDefault="00000000">
      <w:pPr>
        <w:pStyle w:val="Heading1"/>
        <w:rPr>
          <w:rFonts w:ascii="Calibri" w:hAnsi="Calibri" w:cs="Calibri"/>
          <w:color w:val="auto"/>
        </w:rPr>
      </w:pPr>
      <w:r w:rsidRPr="00E35CA2">
        <w:rPr>
          <w:rFonts w:ascii="Calibri" w:hAnsi="Calibri" w:cs="Calibri"/>
          <w:color w:val="auto"/>
        </w:rPr>
        <w:lastRenderedPageBreak/>
        <w:t>1. Introduction and Motivation</w:t>
      </w:r>
    </w:p>
    <w:p w14:paraId="4B07C891"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Security Operations Centres defend organisations by monitoring a Security Information and Event Management system, investigating the alerts it raises, and responding to genuine incidents. Their central difficulty is volume. A modern system produces far more alerts than analysts can review, and most are false positives, meaning ordinary activity that has been flagged as suspicious. In practice only a small share of alerts are fully investigated, so genuine attacks can be missed in the noise. Industry and government reporting links this overload to analyst fatigue, missed attacks and high staff turnover (SANS Institute, 2025; ISC2, 2024; DSIT and Ipsos, 2024), and the documented 2013 Target breach, in which detection alerts were raised but not acted upon, illustrates how serious the consequences can be.</w:t>
      </w:r>
    </w:p>
    <w:p w14:paraId="04A6382C"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Two responses are common. Machine learning is used to classify and rank alerts so the most serious reach an analyst first (Jalalvand et al., 2024), and cyber threat intelligence enrichment adds context to an alert, such as the adversary technique it appears to match or whether an address is linked to a known campaign, drawn from open platforms such as OpenCTI. The two are usually combined, and threat intelligence is frequently credited with large reductions in false positives. The motivation for this study is that this benefit is asserted far more often than it is measured. It is rarely separated from the effect of the model, and it is rarely weighed against the extra time and computation the enrichment requires. Establishing this matters in practice, because enrichment is not free to run, and academically, because it tests an assumption the field relies upon.</w:t>
      </w:r>
    </w:p>
    <w:p w14:paraId="77C5AD1F" w14:textId="77777777" w:rsidR="00714128" w:rsidRPr="00E35CA2" w:rsidRDefault="00000000">
      <w:pPr>
        <w:pStyle w:val="Heading1"/>
        <w:rPr>
          <w:rFonts w:ascii="Calibri" w:hAnsi="Calibri" w:cs="Calibri"/>
          <w:color w:val="auto"/>
        </w:rPr>
      </w:pPr>
      <w:r w:rsidRPr="00E35CA2">
        <w:rPr>
          <w:rFonts w:ascii="Calibri" w:hAnsi="Calibri" w:cs="Calibri"/>
          <w:color w:val="auto"/>
        </w:rPr>
        <w:t>2. Literature Review</w:t>
      </w:r>
    </w:p>
    <w:p w14:paraId="758F86DA"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The literature is reviewed across four themes, combining current work from 2024 to 2026 with a small number of seminal references that remain standard.</w:t>
      </w:r>
    </w:p>
    <w:p w14:paraId="1E355E7F"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On the problem, Tariq et al. (2025) provide a recent and peer reviewed survey of alert fatigue based on direct observation of analysts, naming trust, explainability and context as the main open challenges. Jalalvand et al. (2024) survey the criteria and methods used to prioritise alerts. Both treat threat intelligence context as frequently relied upon yet rarely measured.</w:t>
      </w:r>
    </w:p>
    <w:p w14:paraId="0076E703"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On methods, established systems such as NoDoze (Hassan et al., 2019) and DeepCASE (van Ede et al., 2022) reduce the events needing review by using context. Recent work has turned to large language models, with Mustafa, Trad and Chehab (2025) applying them to reduce false positives and rank alerts and Habibzadeh et al. (2025) surveying their wider use. None of this work isolates how much of the benefit comes from the threat intelligence itself, and large language model methods are hard to reproduce and slow for each alert, which is one reason this study uses transparent models.</w:t>
      </w:r>
    </w:p>
    <w:p w14:paraId="6C890C65"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 xml:space="preserve">On evaluation and generalisation, Arp et al. (2022) catalogue the biases that make machine learning security results look better than they are, while Pendlebury et al. (2019) and Jordaney et al. (2017) set out evaluation that respects time and drift. Cantone, Marrocco and Bria (2024) show that intrusion detection models generalise poorly across datasets, falling to little </w:t>
      </w:r>
      <w:r w:rsidRPr="00E35CA2">
        <w:rPr>
          <w:rFonts w:ascii="Calibri" w:hAnsi="Calibri" w:cs="Calibri"/>
        </w:rPr>
        <w:lastRenderedPageBreak/>
        <w:t>better than chance, and Gupta et al. (2025) confirm and attempt to address the drift problem. This suggests a clear test, namely that genuinely useful threat intelligence, because it describes general adversary behaviour, should help a model cope with unfamiliar data.</w:t>
      </w:r>
    </w:p>
    <w:p w14:paraId="60AD6245"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On threat intelligence itself, MITRE ATT&amp;CK (Strom et al., 2018) provides the standard taxonomy that underlies enrichment, Husari et al. (2017) and Liao et al. (2016) show that intelligence can be extracted automatically, and Schlette et al. (2021) and Qamar et al. (2017) examine its real value critically. Barrios-González et al. (2026) survey how artificial intelligence is reshaping threat intelligence and again raise trust and reliability as open issues.</w:t>
      </w:r>
    </w:p>
    <w:p w14:paraId="769FE5BA"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Across these themes the same gap appears. The contribution of threat intelligence enrichment, meaning how much it adds beyond ordinary alert features for reducing false positives and for helping a model generalise, has not been measured on its own in open and repeatable work, and the cost of obtaining that contribution, in time and computation, has not been weighed against it. This study addresses both points directly.</w:t>
      </w:r>
    </w:p>
    <w:p w14:paraId="6F3D09A7" w14:textId="77777777" w:rsidR="00714128" w:rsidRPr="00E35CA2" w:rsidRDefault="00000000">
      <w:pPr>
        <w:pStyle w:val="Heading1"/>
        <w:rPr>
          <w:rFonts w:ascii="Calibri" w:hAnsi="Calibri" w:cs="Calibri"/>
          <w:color w:val="auto"/>
        </w:rPr>
      </w:pPr>
      <w:r w:rsidRPr="00E35CA2">
        <w:rPr>
          <w:rFonts w:ascii="Calibri" w:hAnsi="Calibri" w:cs="Calibri"/>
          <w:color w:val="auto"/>
        </w:rPr>
        <w:t>3. Research Question, Aim and Objectives</w:t>
      </w:r>
    </w:p>
    <w:p w14:paraId="13A839E4" w14:textId="19526FD5" w:rsidR="00714128" w:rsidRPr="00E35CA2" w:rsidRDefault="00E35CA2">
      <w:pPr>
        <w:spacing w:after="140" w:line="276" w:lineRule="auto"/>
        <w:rPr>
          <w:rFonts w:ascii="Calibri" w:hAnsi="Calibri" w:cs="Calibri"/>
        </w:rPr>
      </w:pPr>
      <w:r>
        <w:rPr>
          <w:rFonts w:ascii="Calibri" w:hAnsi="Calibri" w:cs="Calibri"/>
          <w:b/>
          <w:bCs/>
        </w:rPr>
        <w:t>RQ</w:t>
      </w:r>
      <w:r w:rsidRPr="00E35CA2">
        <w:rPr>
          <w:rFonts w:ascii="Calibri" w:hAnsi="Calibri" w:cs="Calibri"/>
          <w:b/>
          <w:bCs/>
        </w:rPr>
        <w:t xml:space="preserve"> </w:t>
      </w:r>
      <w:r w:rsidRPr="00E35CA2">
        <w:rPr>
          <w:rFonts w:ascii="Calibri" w:hAnsi="Calibri" w:cs="Calibri"/>
        </w:rPr>
        <w:t>To what extent does threat intelligence enrichment from OpenCTI improve machine learning alert triage, in reducing false positives and in generalising to unfamiliar data, and at what cost in time and computation, compared with using ordinary alert features alone?</w:t>
      </w:r>
    </w:p>
    <w:p w14:paraId="37C19ACC" w14:textId="7F924DFC" w:rsidR="00714128" w:rsidRPr="00E35CA2" w:rsidRDefault="00000000">
      <w:pPr>
        <w:spacing w:after="140" w:line="276" w:lineRule="auto"/>
        <w:rPr>
          <w:rFonts w:ascii="Calibri" w:hAnsi="Calibri" w:cs="Calibri"/>
        </w:rPr>
      </w:pPr>
      <w:r w:rsidRPr="00E35CA2">
        <w:rPr>
          <w:rFonts w:ascii="Calibri" w:hAnsi="Calibri" w:cs="Calibri"/>
          <w:b/>
          <w:bCs/>
        </w:rPr>
        <w:t xml:space="preserve">Subsidiary </w:t>
      </w:r>
      <w:r w:rsidR="00E35CA2">
        <w:rPr>
          <w:rFonts w:ascii="Calibri" w:hAnsi="Calibri" w:cs="Calibri"/>
          <w:b/>
          <w:bCs/>
        </w:rPr>
        <w:t>Q</w:t>
      </w:r>
      <w:r w:rsidRPr="00E35CA2">
        <w:rPr>
          <w:rFonts w:ascii="Calibri" w:hAnsi="Calibri" w:cs="Calibri"/>
          <w:b/>
          <w:bCs/>
        </w:rPr>
        <w:t xml:space="preserve">uestions. </w:t>
      </w:r>
      <w:r w:rsidRPr="00E35CA2">
        <w:rPr>
          <w:rFonts w:ascii="Calibri" w:hAnsi="Calibri" w:cs="Calibri"/>
        </w:rPr>
        <w:t>RQ1, which threat intelligence features can be produced reliably for public alert data using OpenCTI. RQ2, how much these features improve effectiveness, measured by false positive rate, recall and the F1 score, under both standard and harder evaluation. RQ3, what efficiency cost the enrichment adds, in enrichment, training and processing time and in computation, and whether any effectiveness gain justifies that cost. RQ4, which features matter most, shown through an explainability analysis.</w:t>
      </w:r>
    </w:p>
    <w:p w14:paraId="195C5C14" w14:textId="2CC6E1D5" w:rsidR="00714128" w:rsidRPr="00E35CA2" w:rsidRDefault="00E35CA2">
      <w:pPr>
        <w:spacing w:after="140" w:line="276" w:lineRule="auto"/>
        <w:rPr>
          <w:rFonts w:ascii="Calibri" w:hAnsi="Calibri" w:cs="Calibri"/>
        </w:rPr>
      </w:pPr>
      <w:r>
        <w:rPr>
          <w:rFonts w:ascii="Calibri" w:hAnsi="Calibri" w:cs="Calibri"/>
          <w:b/>
          <w:bCs/>
        </w:rPr>
        <w:t xml:space="preserve">Aim: </w:t>
      </w:r>
      <w:r w:rsidRPr="00E35CA2">
        <w:rPr>
          <w:rFonts w:ascii="Calibri" w:hAnsi="Calibri" w:cs="Calibri"/>
        </w:rPr>
        <w:t>To design and evaluate an open and repeatable process that adds threat intelligence context from OpenCTI to public alert data, and to measure both the effectiveness gained and the efficiency cost incurred, so that the trade-off between the two can be judged. Effectiveness and efficiency are treated as distinct: effectiveness is how well the triage performs, while efficiency is the resource cost of achieving it.</w:t>
      </w:r>
    </w:p>
    <w:p w14:paraId="07452830" w14:textId="77777777" w:rsidR="00714128" w:rsidRPr="00E35CA2" w:rsidRDefault="00000000">
      <w:pPr>
        <w:spacing w:after="140" w:line="276" w:lineRule="auto"/>
        <w:rPr>
          <w:rFonts w:ascii="Calibri" w:hAnsi="Calibri" w:cs="Calibri"/>
        </w:rPr>
      </w:pPr>
      <w:r w:rsidRPr="00E35CA2">
        <w:rPr>
          <w:rFonts w:ascii="Calibri" w:hAnsi="Calibri" w:cs="Calibri"/>
          <w:b/>
          <w:bCs/>
        </w:rPr>
        <w:t xml:space="preserve">Objectives. </w:t>
      </w:r>
      <w:r w:rsidRPr="00E35CA2">
        <w:rPr>
          <w:rFonts w:ascii="Calibri" w:hAnsi="Calibri" w:cs="Calibri"/>
        </w:rPr>
        <w:t>To review the literature and confirm the gap; to select and justify the most suitable public dataset; to set up OpenCTI and design the threat intelligence features; to build two comparable models that differ only in those features; to evaluate effectiveness under standard and generalisation conditions while measuring efficiency; and to use the Explain Model widget in Orange to identify which features matter and to draw practical conclusions.</w:t>
      </w:r>
    </w:p>
    <w:p w14:paraId="03236067" w14:textId="77777777" w:rsidR="00714128" w:rsidRPr="00E35CA2" w:rsidRDefault="00000000">
      <w:pPr>
        <w:pStyle w:val="Heading1"/>
        <w:rPr>
          <w:rFonts w:ascii="Calibri" w:hAnsi="Calibri" w:cs="Calibri"/>
          <w:color w:val="auto"/>
        </w:rPr>
      </w:pPr>
      <w:r w:rsidRPr="00E35CA2">
        <w:rPr>
          <w:rFonts w:ascii="Calibri" w:hAnsi="Calibri" w:cs="Calibri"/>
          <w:color w:val="auto"/>
        </w:rPr>
        <w:t>4. Dataset Selection</w:t>
      </w:r>
    </w:p>
    <w:p w14:paraId="7F361446" w14:textId="78E92663" w:rsidR="00714128" w:rsidRPr="00E35CA2" w:rsidRDefault="00000000" w:rsidP="00E35CA2">
      <w:pPr>
        <w:spacing w:after="140" w:line="276" w:lineRule="auto"/>
        <w:jc w:val="both"/>
        <w:rPr>
          <w:rFonts w:ascii="Calibri" w:hAnsi="Calibri" w:cs="Calibri"/>
        </w:rPr>
      </w:pPr>
      <w:r w:rsidRPr="00E35CA2">
        <w:rPr>
          <w:rFonts w:ascii="Calibri" w:hAnsi="Calibri" w:cs="Calibri"/>
        </w:rPr>
        <w:t xml:space="preserve">Choosing the most suitable dataset is a central decision, and a </w:t>
      </w:r>
      <w:r w:rsidR="00E35CA2" w:rsidRPr="00E35CA2">
        <w:rPr>
          <w:rFonts w:ascii="Calibri" w:hAnsi="Calibri" w:cs="Calibri"/>
        </w:rPr>
        <w:t>well-argued</w:t>
      </w:r>
      <w:r w:rsidRPr="00E35CA2">
        <w:rPr>
          <w:rFonts w:ascii="Calibri" w:hAnsi="Calibri" w:cs="Calibri"/>
        </w:rPr>
        <w:t xml:space="preserve"> choice is itself part of the contribution. Several public datasets are candidates, and they will be judged against </w:t>
      </w:r>
      <w:r w:rsidRPr="00E35CA2">
        <w:rPr>
          <w:rFonts w:ascii="Calibri" w:hAnsi="Calibri" w:cs="Calibri"/>
        </w:rPr>
        <w:lastRenderedPageBreak/>
        <w:t>clear criteria: public availability and licensing, the quality and clarity of the labels, how recent and relevant the traffic is, the range of attack types, whether the features can be mapped to MITRE ATT&amp;CK so that threat intelligence can be attached, whether a related dataset exists so that generalisation can be tested across datasets, and whether the size is manageable on a standard computer. Table 1 summarises the main candidates.</w:t>
      </w:r>
    </w:p>
    <w:tbl>
      <w:tblPr>
        <w:tblStyle w:val="PlainTable3"/>
        <w:tblW w:w="9026" w:type="dxa"/>
        <w:tblLook w:val="04A0" w:firstRow="1" w:lastRow="0" w:firstColumn="1" w:lastColumn="0" w:noHBand="0" w:noVBand="1"/>
      </w:tblPr>
      <w:tblGrid>
        <w:gridCol w:w="2300"/>
        <w:gridCol w:w="900"/>
        <w:gridCol w:w="3000"/>
        <w:gridCol w:w="2826"/>
      </w:tblGrid>
      <w:tr w:rsidR="00714128" w:rsidRPr="00E35CA2" w14:paraId="77074F59" w14:textId="77777777" w:rsidTr="00E35CA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00" w:type="dxa"/>
          </w:tcPr>
          <w:p w14:paraId="58B4BEDC" w14:textId="77777777" w:rsidR="00714128" w:rsidRPr="00E35CA2" w:rsidRDefault="00000000">
            <w:pPr>
              <w:rPr>
                <w:rFonts w:ascii="Calibri" w:hAnsi="Calibri" w:cs="Calibri"/>
              </w:rPr>
            </w:pPr>
            <w:r w:rsidRPr="00E35CA2">
              <w:rPr>
                <w:rFonts w:ascii="Calibri" w:hAnsi="Calibri" w:cs="Calibri"/>
                <w:sz w:val="19"/>
                <w:szCs w:val="19"/>
              </w:rPr>
              <w:t>Dataset</w:t>
            </w:r>
          </w:p>
        </w:tc>
        <w:tc>
          <w:tcPr>
            <w:tcW w:w="900" w:type="dxa"/>
          </w:tcPr>
          <w:p w14:paraId="290AF13D" w14:textId="77777777" w:rsidR="00714128" w:rsidRPr="00E35CA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Year</w:t>
            </w:r>
          </w:p>
        </w:tc>
        <w:tc>
          <w:tcPr>
            <w:tcW w:w="3000" w:type="dxa"/>
          </w:tcPr>
          <w:p w14:paraId="23D5798B" w14:textId="77777777" w:rsidR="00714128" w:rsidRPr="00E35CA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Strengths</w:t>
            </w:r>
          </w:p>
        </w:tc>
        <w:tc>
          <w:tcPr>
            <w:tcW w:w="2826" w:type="dxa"/>
          </w:tcPr>
          <w:p w14:paraId="4FA48ECE" w14:textId="77777777" w:rsidR="00714128" w:rsidRPr="00E35CA2" w:rsidRDefault="00000000">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Limitations</w:t>
            </w:r>
          </w:p>
        </w:tc>
      </w:tr>
      <w:tr w:rsidR="00714128" w:rsidRPr="00E35CA2" w14:paraId="50A7EB6A" w14:textId="77777777" w:rsidTr="00E35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E7BF35A" w14:textId="77777777" w:rsidR="00714128" w:rsidRPr="00E35CA2" w:rsidRDefault="00000000">
            <w:pPr>
              <w:rPr>
                <w:rFonts w:ascii="Calibri" w:hAnsi="Calibri" w:cs="Calibri"/>
              </w:rPr>
            </w:pPr>
            <w:r w:rsidRPr="00E35CA2">
              <w:rPr>
                <w:rFonts w:ascii="Calibri" w:hAnsi="Calibri" w:cs="Calibri"/>
                <w:sz w:val="19"/>
                <w:szCs w:val="19"/>
              </w:rPr>
              <w:t>UNSW-NB15</w:t>
            </w:r>
          </w:p>
        </w:tc>
        <w:tc>
          <w:tcPr>
            <w:tcW w:w="900" w:type="dxa"/>
          </w:tcPr>
          <w:p w14:paraId="2433C4CC" w14:textId="77777777" w:rsidR="00714128" w:rsidRPr="00E35CA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5CA2">
              <w:rPr>
                <w:rFonts w:ascii="Calibri" w:hAnsi="Calibri" w:cs="Calibri"/>
                <w:sz w:val="19"/>
                <w:szCs w:val="19"/>
              </w:rPr>
              <w:t>2015</w:t>
            </w:r>
          </w:p>
        </w:tc>
        <w:tc>
          <w:tcPr>
            <w:tcW w:w="3000" w:type="dxa"/>
          </w:tcPr>
          <w:p w14:paraId="71119EBF" w14:textId="77777777" w:rsidR="00714128" w:rsidRPr="00E35CA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5CA2">
              <w:rPr>
                <w:rFonts w:ascii="Calibri" w:hAnsi="Calibri" w:cs="Calibri"/>
                <w:sz w:val="19"/>
                <w:szCs w:val="19"/>
              </w:rPr>
              <w:t>Realistic attack mix, widely benchmarked</w:t>
            </w:r>
          </w:p>
        </w:tc>
        <w:tc>
          <w:tcPr>
            <w:tcW w:w="2826" w:type="dxa"/>
          </w:tcPr>
          <w:p w14:paraId="4C040105" w14:textId="77777777" w:rsidR="00714128" w:rsidRPr="00E35CA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5CA2">
              <w:rPr>
                <w:rFonts w:ascii="Calibri" w:hAnsi="Calibri" w:cs="Calibri"/>
                <w:sz w:val="19"/>
                <w:szCs w:val="19"/>
              </w:rPr>
              <w:t>Older traffic, single network</w:t>
            </w:r>
          </w:p>
        </w:tc>
      </w:tr>
      <w:tr w:rsidR="00714128" w:rsidRPr="00E35CA2" w14:paraId="44437A92" w14:textId="77777777" w:rsidTr="00E35CA2">
        <w:tc>
          <w:tcPr>
            <w:cnfStyle w:val="001000000000" w:firstRow="0" w:lastRow="0" w:firstColumn="1" w:lastColumn="0" w:oddVBand="0" w:evenVBand="0" w:oddHBand="0" w:evenHBand="0" w:firstRowFirstColumn="0" w:firstRowLastColumn="0" w:lastRowFirstColumn="0" w:lastRowLastColumn="0"/>
            <w:tcW w:w="2300" w:type="dxa"/>
          </w:tcPr>
          <w:p w14:paraId="54FF301A" w14:textId="77777777" w:rsidR="00714128" w:rsidRPr="00E35CA2" w:rsidRDefault="00000000">
            <w:pPr>
              <w:rPr>
                <w:rFonts w:ascii="Calibri" w:hAnsi="Calibri" w:cs="Calibri"/>
              </w:rPr>
            </w:pPr>
            <w:r w:rsidRPr="00E35CA2">
              <w:rPr>
                <w:rFonts w:ascii="Calibri" w:hAnsi="Calibri" w:cs="Calibri"/>
                <w:sz w:val="19"/>
                <w:szCs w:val="19"/>
              </w:rPr>
              <w:t>CIC-IDS-2017</w:t>
            </w:r>
          </w:p>
        </w:tc>
        <w:tc>
          <w:tcPr>
            <w:tcW w:w="900" w:type="dxa"/>
          </w:tcPr>
          <w:p w14:paraId="5CE5332E" w14:textId="77777777" w:rsidR="00714128" w:rsidRPr="00E35CA2"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2017</w:t>
            </w:r>
          </w:p>
        </w:tc>
        <w:tc>
          <w:tcPr>
            <w:tcW w:w="3000" w:type="dxa"/>
          </w:tcPr>
          <w:p w14:paraId="5FE94E77" w14:textId="77777777" w:rsidR="00714128" w:rsidRPr="00E35CA2"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Rich flow features, many attack types, mappable to ATT&amp;CK</w:t>
            </w:r>
          </w:p>
        </w:tc>
        <w:tc>
          <w:tcPr>
            <w:tcW w:w="2826" w:type="dxa"/>
          </w:tcPr>
          <w:p w14:paraId="14741482" w14:textId="77777777" w:rsidR="00714128" w:rsidRPr="00E35CA2"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Generated in a laboratory, known labelling quirks</w:t>
            </w:r>
          </w:p>
        </w:tc>
      </w:tr>
      <w:tr w:rsidR="00714128" w:rsidRPr="00E35CA2" w14:paraId="7452C6D2" w14:textId="77777777" w:rsidTr="00E35C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tcPr>
          <w:p w14:paraId="6BC2077B" w14:textId="77777777" w:rsidR="00714128" w:rsidRPr="00E35CA2" w:rsidRDefault="00000000">
            <w:pPr>
              <w:rPr>
                <w:rFonts w:ascii="Calibri" w:hAnsi="Calibri" w:cs="Calibri"/>
              </w:rPr>
            </w:pPr>
            <w:r w:rsidRPr="00E35CA2">
              <w:rPr>
                <w:rFonts w:ascii="Calibri" w:hAnsi="Calibri" w:cs="Calibri"/>
                <w:sz w:val="19"/>
                <w:szCs w:val="19"/>
              </w:rPr>
              <w:t>CSE-CIC-IDS2018</w:t>
            </w:r>
          </w:p>
        </w:tc>
        <w:tc>
          <w:tcPr>
            <w:tcW w:w="900" w:type="dxa"/>
          </w:tcPr>
          <w:p w14:paraId="0DA5EEBA" w14:textId="77777777" w:rsidR="00714128" w:rsidRPr="00E35CA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5CA2">
              <w:rPr>
                <w:rFonts w:ascii="Calibri" w:hAnsi="Calibri" w:cs="Calibri"/>
                <w:sz w:val="19"/>
                <w:szCs w:val="19"/>
              </w:rPr>
              <w:t>2018</w:t>
            </w:r>
          </w:p>
        </w:tc>
        <w:tc>
          <w:tcPr>
            <w:tcW w:w="3000" w:type="dxa"/>
          </w:tcPr>
          <w:p w14:paraId="31C3FE68" w14:textId="77777777" w:rsidR="00714128" w:rsidRPr="00E35CA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5CA2">
              <w:rPr>
                <w:rFonts w:ascii="Calibri" w:hAnsi="Calibri" w:cs="Calibri"/>
                <w:sz w:val="19"/>
                <w:szCs w:val="19"/>
              </w:rPr>
              <w:t>Related to the 2017 set, so supports across dataset testing</w:t>
            </w:r>
          </w:p>
        </w:tc>
        <w:tc>
          <w:tcPr>
            <w:tcW w:w="2826" w:type="dxa"/>
          </w:tcPr>
          <w:p w14:paraId="4703B565" w14:textId="77777777" w:rsidR="00714128" w:rsidRPr="00E35CA2" w:rsidRDefault="0000000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E35CA2">
              <w:rPr>
                <w:rFonts w:ascii="Calibri" w:hAnsi="Calibri" w:cs="Calibri"/>
                <w:sz w:val="19"/>
                <w:szCs w:val="19"/>
              </w:rPr>
              <w:t>Large size, also laboratory generated</w:t>
            </w:r>
          </w:p>
        </w:tc>
      </w:tr>
      <w:tr w:rsidR="00714128" w:rsidRPr="00E35CA2" w14:paraId="3D1DB463" w14:textId="77777777" w:rsidTr="00E35CA2">
        <w:tc>
          <w:tcPr>
            <w:cnfStyle w:val="001000000000" w:firstRow="0" w:lastRow="0" w:firstColumn="1" w:lastColumn="0" w:oddVBand="0" w:evenVBand="0" w:oddHBand="0" w:evenHBand="0" w:firstRowFirstColumn="0" w:firstRowLastColumn="0" w:lastRowFirstColumn="0" w:lastRowLastColumn="0"/>
            <w:tcW w:w="2300" w:type="dxa"/>
          </w:tcPr>
          <w:p w14:paraId="26A24C0B" w14:textId="77777777" w:rsidR="00714128" w:rsidRPr="00E35CA2" w:rsidRDefault="00000000">
            <w:pPr>
              <w:rPr>
                <w:rFonts w:ascii="Calibri" w:hAnsi="Calibri" w:cs="Calibri"/>
              </w:rPr>
            </w:pPr>
            <w:r w:rsidRPr="00E35CA2">
              <w:rPr>
                <w:rFonts w:ascii="Calibri" w:hAnsi="Calibri" w:cs="Calibri"/>
                <w:sz w:val="19"/>
                <w:szCs w:val="19"/>
              </w:rPr>
              <w:t>CIC-IoT2023</w:t>
            </w:r>
          </w:p>
        </w:tc>
        <w:tc>
          <w:tcPr>
            <w:tcW w:w="900" w:type="dxa"/>
          </w:tcPr>
          <w:p w14:paraId="3B4C0F19" w14:textId="77777777" w:rsidR="00714128" w:rsidRPr="00E35CA2"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2023</w:t>
            </w:r>
          </w:p>
        </w:tc>
        <w:tc>
          <w:tcPr>
            <w:tcW w:w="3000" w:type="dxa"/>
          </w:tcPr>
          <w:p w14:paraId="6FEC0866" w14:textId="77777777" w:rsidR="00714128" w:rsidRPr="00E35CA2"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Recent, very large, broad attack coverage</w:t>
            </w:r>
          </w:p>
        </w:tc>
        <w:tc>
          <w:tcPr>
            <w:tcW w:w="2826" w:type="dxa"/>
          </w:tcPr>
          <w:p w14:paraId="4D0B147C" w14:textId="77777777" w:rsidR="00714128" w:rsidRPr="00E35CA2" w:rsidRDefault="0000000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E35CA2">
              <w:rPr>
                <w:rFonts w:ascii="Calibri" w:hAnsi="Calibri" w:cs="Calibri"/>
                <w:sz w:val="19"/>
                <w:szCs w:val="19"/>
              </w:rPr>
              <w:t>IoT focused, may suit a narrower setting</w:t>
            </w:r>
          </w:p>
        </w:tc>
      </w:tr>
    </w:tbl>
    <w:p w14:paraId="379DFD8D" w14:textId="77777777" w:rsidR="00714128" w:rsidRPr="00E35CA2" w:rsidRDefault="00000000" w:rsidP="00E35CA2">
      <w:pPr>
        <w:spacing w:before="60" w:after="160"/>
        <w:jc w:val="center"/>
        <w:rPr>
          <w:rFonts w:ascii="Calibri" w:hAnsi="Calibri" w:cs="Calibri"/>
        </w:rPr>
      </w:pPr>
      <w:r w:rsidRPr="00E35CA2">
        <w:rPr>
          <w:rFonts w:ascii="Calibri" w:hAnsi="Calibri" w:cs="Calibri"/>
          <w:i/>
          <w:iCs/>
          <w:sz w:val="18"/>
          <w:szCs w:val="18"/>
        </w:rPr>
        <w:t>Table 1. Candidate public datasets considered for the study.</w:t>
      </w:r>
    </w:p>
    <w:p w14:paraId="4314DDEB" w14:textId="77777777" w:rsidR="00714128" w:rsidRPr="00E35CA2" w:rsidRDefault="00000000" w:rsidP="00E35CA2">
      <w:pPr>
        <w:spacing w:after="140" w:line="276" w:lineRule="auto"/>
        <w:jc w:val="both"/>
        <w:rPr>
          <w:rFonts w:ascii="Calibri" w:hAnsi="Calibri" w:cs="Calibri"/>
        </w:rPr>
      </w:pPr>
      <w:r w:rsidRPr="00E35CA2">
        <w:rPr>
          <w:rFonts w:ascii="Calibri" w:hAnsi="Calibri" w:cs="Calibri"/>
        </w:rPr>
        <w:t>On these criteria, the related pair CIC-IDS-2017 and CSE-CIC-IDS2018 (Sharafaldin, Lashkari and Ghorbani, 2018) is the strongest starting point, because the two share a feature format and so make the across dataset test possible, which is essential to the generalisation question. UNSW-NB15 (Moustafa and Slay, 2015) and the more recent CIC-IoT2023 (Neto et al., 2023) are kept as comparators, and if a short pilot in the first week shows that one of them gives clearer or stronger results for model training, that finding would itself form a useful argument and the choice would be revisited. The final selection will be confirmed in that pilot and agreed with my supervisor.</w:t>
      </w:r>
    </w:p>
    <w:p w14:paraId="12925618" w14:textId="77777777" w:rsidR="00714128" w:rsidRPr="00E35CA2" w:rsidRDefault="00000000">
      <w:pPr>
        <w:pStyle w:val="Heading1"/>
        <w:rPr>
          <w:rFonts w:ascii="Calibri" w:hAnsi="Calibri" w:cs="Calibri"/>
          <w:color w:val="auto"/>
        </w:rPr>
      </w:pPr>
      <w:r w:rsidRPr="00E35CA2">
        <w:rPr>
          <w:rFonts w:ascii="Calibri" w:hAnsi="Calibri" w:cs="Calibri"/>
          <w:color w:val="auto"/>
        </w:rPr>
        <w:t>5. Research Methodology</w:t>
      </w:r>
    </w:p>
    <w:p w14:paraId="12FD8268" w14:textId="4597B63D" w:rsidR="00714128" w:rsidRPr="00E35CA2" w:rsidRDefault="00000000" w:rsidP="00E35CA2">
      <w:pPr>
        <w:spacing w:after="140" w:line="276" w:lineRule="auto"/>
        <w:jc w:val="both"/>
        <w:rPr>
          <w:rFonts w:ascii="Calibri" w:hAnsi="Calibri" w:cs="Calibri"/>
        </w:rPr>
      </w:pPr>
      <w:r w:rsidRPr="00E35CA2">
        <w:rPr>
          <w:rFonts w:ascii="Calibri" w:hAnsi="Calibri" w:cs="Calibri"/>
        </w:rPr>
        <w:t xml:space="preserve">Framed with the Situation, Complication, Resolution structure, the situation is that teams face more alerts than they can review, the complication is that machine learning helps but is distrusted and often evaluated too favourably while the value of threat intelligence is assumed rather than measured, and the resolution is to measure both that value and its cost honestly. Positioned on Saunders' Research Onion, the study takes a positivist philosophy, a mainly deductive approach, an experimental strategy supported by the design and build of the process, a mainly quantitative choice with an interpretive layer for explainability, a </w:t>
      </w:r>
      <w:r w:rsidR="00E35CA2" w:rsidRPr="00E35CA2">
        <w:rPr>
          <w:rFonts w:ascii="Calibri" w:hAnsi="Calibri" w:cs="Calibri"/>
        </w:rPr>
        <w:t>cross-sectional</w:t>
      </w:r>
      <w:r w:rsidRPr="00E35CA2">
        <w:rPr>
          <w:rFonts w:ascii="Calibri" w:hAnsi="Calibri" w:cs="Calibri"/>
        </w:rPr>
        <w:t xml:space="preserve"> time horizon with a deliberate across time split, and the techniques described below.</w:t>
      </w:r>
    </w:p>
    <w:p w14:paraId="22807F4A" w14:textId="77777777" w:rsidR="00714128" w:rsidRPr="00E35CA2" w:rsidRDefault="00000000">
      <w:pPr>
        <w:spacing w:after="140" w:line="276" w:lineRule="auto"/>
        <w:rPr>
          <w:rFonts w:ascii="Calibri" w:hAnsi="Calibri" w:cs="Calibri"/>
        </w:rPr>
      </w:pPr>
      <w:r w:rsidRPr="00E35CA2">
        <w:rPr>
          <w:rFonts w:ascii="Calibri" w:hAnsi="Calibri" w:cs="Calibri"/>
          <w:b/>
          <w:bCs/>
        </w:rPr>
        <w:t xml:space="preserve">Design. </w:t>
      </w:r>
      <w:r w:rsidRPr="00E35CA2">
        <w:rPr>
          <w:rFonts w:ascii="Calibri" w:hAnsi="Calibri" w:cs="Calibri"/>
        </w:rPr>
        <w:t>Two closely matched models will be compared, so that the only meaningful difference between them is the presence of threat intelligence context. Feature set A holds the ordinary network flow features supplied with the dataset. Feature set B holds the same features together with threat intelligence context from OpenCTI, such as the ATT&amp;CK technique and tactic an alert maps to, the prevalence and severity of that technique, and any link to a known campaign. The same models, preparation and data splits are used for both sets, so any difference in results can be attributed to the threat intelligence.</w:t>
      </w:r>
    </w:p>
    <w:p w14:paraId="369FF381" w14:textId="77777777" w:rsidR="00714128" w:rsidRPr="00E35CA2" w:rsidRDefault="00000000">
      <w:pPr>
        <w:spacing w:after="140" w:line="276" w:lineRule="auto"/>
        <w:rPr>
          <w:rFonts w:ascii="Calibri" w:hAnsi="Calibri" w:cs="Calibri"/>
        </w:rPr>
      </w:pPr>
      <w:r w:rsidRPr="00E35CA2">
        <w:rPr>
          <w:rFonts w:ascii="Calibri" w:hAnsi="Calibri" w:cs="Calibri"/>
          <w:b/>
          <w:bCs/>
        </w:rPr>
        <w:lastRenderedPageBreak/>
        <w:t xml:space="preserve">Evaluation of alternatives. </w:t>
      </w:r>
      <w:r w:rsidRPr="00E35CA2">
        <w:rPr>
          <w:rFonts w:ascii="Calibri" w:hAnsi="Calibri" w:cs="Calibri"/>
        </w:rPr>
        <w:t>A deep learning or large language model classifier might raise headline accuracy, but such models are harder to reproduce, slower for each alert, and difficult to explain, which would obscure the effect being isolated (Habibzadeh et al., 2025). A study using a live network's data was rejected because access and ethical approval could not be assured in the time. A purely qualitative study would not answer a quantitative question. A controlled experiment is therefore the most appropriate design. Within it, Random Forest and Gradient Boosting were chosen because they are transparent, well suited to table style data, and quick to train.</w:t>
      </w:r>
    </w:p>
    <w:p w14:paraId="314D697D" w14:textId="77777777" w:rsidR="00714128" w:rsidRPr="00E35CA2" w:rsidRDefault="00000000">
      <w:pPr>
        <w:spacing w:after="140" w:line="276" w:lineRule="auto"/>
        <w:rPr>
          <w:rFonts w:ascii="Calibri" w:hAnsi="Calibri" w:cs="Calibri"/>
        </w:rPr>
      </w:pPr>
      <w:r w:rsidRPr="00E35CA2">
        <w:rPr>
          <w:rFonts w:ascii="Calibri" w:hAnsi="Calibri" w:cs="Calibri"/>
          <w:b/>
          <w:bCs/>
        </w:rPr>
        <w:t xml:space="preserve">Tools. </w:t>
      </w:r>
      <w:r w:rsidRPr="00E35CA2">
        <w:rPr>
          <w:rFonts w:ascii="Calibri" w:hAnsi="Calibri" w:cs="Calibri"/>
        </w:rPr>
        <w:t>The environment will be managed with Anaconda, which will run any data preparation and the OpenCTI Python client. The machine learning will be carried out in Orange, a visual platform, using its Random Forest and Gradient Boosting learners, its Test and Score and Confusion Matrix widgets for evaluation, and its Explain Model widget, which applies SHAP, for explainability. Orange keeps the workflow transparent and repeatable, which suits the aims of this study.</w:t>
      </w:r>
    </w:p>
    <w:p w14:paraId="01D4C126" w14:textId="77777777" w:rsidR="00714128" w:rsidRPr="00E35CA2" w:rsidRDefault="00000000">
      <w:pPr>
        <w:pStyle w:val="Heading1"/>
        <w:rPr>
          <w:rFonts w:ascii="Calibri" w:hAnsi="Calibri" w:cs="Calibri"/>
          <w:color w:val="auto"/>
        </w:rPr>
      </w:pPr>
      <w:r w:rsidRPr="00E35CA2">
        <w:rPr>
          <w:rFonts w:ascii="Calibri" w:hAnsi="Calibri" w:cs="Calibri"/>
          <w:color w:val="auto"/>
        </w:rPr>
        <w:t>6. Data Analysis and Evaluation</w:t>
      </w:r>
    </w:p>
    <w:p w14:paraId="5A026F06" w14:textId="77777777" w:rsidR="00714128" w:rsidRPr="00E35CA2" w:rsidRDefault="00000000">
      <w:pPr>
        <w:spacing w:after="140" w:line="276" w:lineRule="auto"/>
        <w:rPr>
          <w:rFonts w:ascii="Calibri" w:hAnsi="Calibri" w:cs="Calibri"/>
        </w:rPr>
      </w:pPr>
      <w:r w:rsidRPr="00E35CA2">
        <w:rPr>
          <w:rFonts w:ascii="Calibri" w:hAnsi="Calibri" w:cs="Calibri"/>
          <w:b/>
          <w:bCs/>
        </w:rPr>
        <w:t xml:space="preserve">Effectiveness. </w:t>
      </w:r>
      <w:r w:rsidRPr="00E35CA2">
        <w:rPr>
          <w:rFonts w:ascii="Calibri" w:hAnsi="Calibri" w:cs="Calibri"/>
        </w:rPr>
        <w:t>After cleaning the data and addressing the imbalance between classes, both feature sets will train the models. Effectiveness will be measured with precision, recall, the F1 score and the false positive rate, with attention to not missing the most serious true positives, and differences will be tested for significance.</w:t>
      </w:r>
    </w:p>
    <w:p w14:paraId="2A6A1712" w14:textId="77777777" w:rsidR="00714128" w:rsidRPr="00E35CA2" w:rsidRDefault="00000000">
      <w:pPr>
        <w:spacing w:after="140" w:line="276" w:lineRule="auto"/>
        <w:rPr>
          <w:rFonts w:ascii="Calibri" w:hAnsi="Calibri" w:cs="Calibri"/>
        </w:rPr>
      </w:pPr>
      <w:r w:rsidRPr="00E35CA2">
        <w:rPr>
          <w:rFonts w:ascii="Calibri" w:hAnsi="Calibri" w:cs="Calibri"/>
          <w:b/>
          <w:bCs/>
        </w:rPr>
        <w:t xml:space="preserve">Efficiency. </w:t>
      </w:r>
      <w:r w:rsidRPr="00E35CA2">
        <w:rPr>
          <w:rFonts w:ascii="Calibri" w:hAnsi="Calibri" w:cs="Calibri"/>
        </w:rPr>
        <w:t>Efficiency will be measured separately as the resource cost of the enrichment: the time to generate the threat intelligence features, the training time, the processing time per alert, and the computation used. The central comparison then asks whether any effectiveness gain from the threat intelligence justifies its efficiency cost, which is the trade-off at the heart of the study.</w:t>
      </w:r>
    </w:p>
    <w:p w14:paraId="4303C882" w14:textId="69FD71CD" w:rsidR="00714128" w:rsidRPr="00E35CA2" w:rsidRDefault="00000000">
      <w:pPr>
        <w:spacing w:after="140" w:line="276" w:lineRule="auto"/>
        <w:rPr>
          <w:rFonts w:ascii="Calibri" w:hAnsi="Calibri" w:cs="Calibri"/>
        </w:rPr>
      </w:pPr>
      <w:r w:rsidRPr="00E35CA2">
        <w:rPr>
          <w:rFonts w:ascii="Calibri" w:hAnsi="Calibri" w:cs="Calibri"/>
        </w:rPr>
        <w:t xml:space="preserve">Effectiveness will be assessed under three conditions. The standard split is the usual and most favourable setting. The across time split trains on earlier traffic and tests on later traffic, </w:t>
      </w:r>
      <w:r w:rsidR="00E86635">
        <w:rPr>
          <w:rFonts w:ascii="Calibri" w:hAnsi="Calibri" w:cs="Calibri"/>
        </w:rPr>
        <w:t xml:space="preserve">in order </w:t>
      </w:r>
      <w:r w:rsidR="00E86635" w:rsidRPr="00E35CA2">
        <w:rPr>
          <w:rFonts w:ascii="Calibri" w:hAnsi="Calibri" w:cs="Calibri"/>
        </w:rPr>
        <w:t>to</w:t>
      </w:r>
      <w:r w:rsidRPr="00E35CA2">
        <w:rPr>
          <w:rFonts w:ascii="Calibri" w:hAnsi="Calibri" w:cs="Calibri"/>
        </w:rPr>
        <w:t xml:space="preserve"> check for concept drift. The across dataset condition trains on one dataset and tests on another, which is the strongest test and the setting in which models that use ordinary features are known to weaken. The Explain Model widget in Orange will then identify which threat intelligence features drove any improvement, interpreted with the caution recommended by Warnecke et al. (2020).</w:t>
      </w:r>
    </w:p>
    <w:p w14:paraId="032FFB32" w14:textId="77777777" w:rsidR="00714128" w:rsidRPr="00E35CA2" w:rsidRDefault="00000000">
      <w:pPr>
        <w:pStyle w:val="Heading1"/>
        <w:rPr>
          <w:rFonts w:ascii="Calibri" w:hAnsi="Calibri" w:cs="Calibri"/>
          <w:color w:val="auto"/>
        </w:rPr>
      </w:pPr>
      <w:r w:rsidRPr="00E35CA2">
        <w:rPr>
          <w:rFonts w:ascii="Calibri" w:hAnsi="Calibri" w:cs="Calibri"/>
          <w:color w:val="auto"/>
        </w:rPr>
        <w:t>7. Resources</w:t>
      </w:r>
    </w:p>
    <w:p w14:paraId="62C46A14" w14:textId="77777777" w:rsidR="00714128" w:rsidRPr="00E35CA2" w:rsidRDefault="00000000">
      <w:pPr>
        <w:spacing w:after="140" w:line="276" w:lineRule="auto"/>
        <w:rPr>
          <w:rFonts w:ascii="Calibri" w:hAnsi="Calibri" w:cs="Calibri"/>
        </w:rPr>
      </w:pPr>
      <w:r w:rsidRPr="00E35CA2">
        <w:rPr>
          <w:rFonts w:ascii="Calibri" w:hAnsi="Calibri" w:cs="Calibri"/>
        </w:rPr>
        <w:t>The study needs only free and available resources: Anaconda to manage the environment, Orange for the modelling and explanation, OpenCTI running in Docker with the MITRE ATT&amp;CK and abuse.ch feeds, the chosen public datasets, and a standard computer with at least 16 GB of memory, with university computing facilities available if required.</w:t>
      </w:r>
    </w:p>
    <w:p w14:paraId="242674F6" w14:textId="77777777" w:rsidR="00714128" w:rsidRPr="00E35CA2" w:rsidRDefault="00000000">
      <w:pPr>
        <w:pStyle w:val="Heading1"/>
        <w:rPr>
          <w:rFonts w:ascii="Calibri" w:hAnsi="Calibri" w:cs="Calibri"/>
          <w:color w:val="auto"/>
        </w:rPr>
      </w:pPr>
      <w:r w:rsidRPr="00E35CA2">
        <w:rPr>
          <w:rFonts w:ascii="Calibri" w:hAnsi="Calibri" w:cs="Calibri"/>
          <w:color w:val="auto"/>
        </w:rPr>
        <w:lastRenderedPageBreak/>
        <w:t>8. Project Plan</w:t>
      </w:r>
    </w:p>
    <w:p w14:paraId="7261B6DD" w14:textId="77777777" w:rsidR="00714128" w:rsidRPr="00E35CA2" w:rsidRDefault="00000000">
      <w:pPr>
        <w:spacing w:after="140" w:line="276" w:lineRule="auto"/>
        <w:rPr>
          <w:rFonts w:ascii="Calibri" w:hAnsi="Calibri" w:cs="Calibri"/>
        </w:rPr>
      </w:pPr>
      <w:r w:rsidRPr="00E35CA2">
        <w:rPr>
          <w:rFonts w:ascii="Calibri" w:hAnsi="Calibri" w:cs="Calibri"/>
        </w:rPr>
        <w:t>Following my supervisor's guidance that the work can be completed in six to eight weeks, the plan below runs over eight weeks. A small core result, the comparison on the chosen dataset under the standard split, is reached by week five, with the harder tests and the explainability work following, which protects the timeline. The schedule is set out in the Gantt chart below (Figure 1).</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53"/>
        <w:gridCol w:w="753"/>
        <w:gridCol w:w="753"/>
        <w:gridCol w:w="753"/>
        <w:gridCol w:w="753"/>
        <w:gridCol w:w="753"/>
        <w:gridCol w:w="753"/>
        <w:gridCol w:w="753"/>
      </w:tblGrid>
      <w:tr w:rsidR="00714128" w:rsidRPr="00E35CA2" w14:paraId="50CD0B4D"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29B130A7" w14:textId="77777777" w:rsidR="00714128" w:rsidRPr="00E35CA2" w:rsidRDefault="00000000">
            <w:pPr>
              <w:rPr>
                <w:rFonts w:ascii="Calibri" w:hAnsi="Calibri" w:cs="Calibri"/>
              </w:rPr>
            </w:pPr>
            <w:r w:rsidRPr="00E35CA2">
              <w:rPr>
                <w:rFonts w:ascii="Calibri" w:hAnsi="Calibri" w:cs="Calibri"/>
                <w:b/>
                <w:bCs/>
                <w:sz w:val="16"/>
                <w:szCs w:val="16"/>
              </w:rPr>
              <w:t>Task</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0DA42D98" w14:textId="77777777" w:rsidR="00714128" w:rsidRPr="00E35CA2" w:rsidRDefault="00000000">
            <w:pPr>
              <w:jc w:val="center"/>
              <w:rPr>
                <w:rFonts w:ascii="Calibri" w:hAnsi="Calibri" w:cs="Calibri"/>
              </w:rPr>
            </w:pPr>
            <w:r w:rsidRPr="00E35CA2">
              <w:rPr>
                <w:rFonts w:ascii="Calibri" w:hAnsi="Calibri" w:cs="Calibri"/>
                <w:b/>
                <w:bCs/>
                <w:sz w:val="15"/>
                <w:szCs w:val="15"/>
              </w:rPr>
              <w:t>W1</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6E75D929" w14:textId="77777777" w:rsidR="00714128" w:rsidRPr="00E35CA2" w:rsidRDefault="00000000">
            <w:pPr>
              <w:jc w:val="center"/>
              <w:rPr>
                <w:rFonts w:ascii="Calibri" w:hAnsi="Calibri" w:cs="Calibri"/>
              </w:rPr>
            </w:pPr>
            <w:r w:rsidRPr="00E35CA2">
              <w:rPr>
                <w:rFonts w:ascii="Calibri" w:hAnsi="Calibri" w:cs="Calibri"/>
                <w:b/>
                <w:bCs/>
                <w:sz w:val="15"/>
                <w:szCs w:val="15"/>
              </w:rPr>
              <w:t>W2</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3A18FBE5" w14:textId="77777777" w:rsidR="00714128" w:rsidRPr="00E35CA2" w:rsidRDefault="00000000">
            <w:pPr>
              <w:jc w:val="center"/>
              <w:rPr>
                <w:rFonts w:ascii="Calibri" w:hAnsi="Calibri" w:cs="Calibri"/>
              </w:rPr>
            </w:pPr>
            <w:r w:rsidRPr="00E35CA2">
              <w:rPr>
                <w:rFonts w:ascii="Calibri" w:hAnsi="Calibri" w:cs="Calibri"/>
                <w:b/>
                <w:bCs/>
                <w:sz w:val="15"/>
                <w:szCs w:val="15"/>
              </w:rPr>
              <w:t>W3</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6B845FB9" w14:textId="77777777" w:rsidR="00714128" w:rsidRPr="00E35CA2" w:rsidRDefault="00000000">
            <w:pPr>
              <w:jc w:val="center"/>
              <w:rPr>
                <w:rFonts w:ascii="Calibri" w:hAnsi="Calibri" w:cs="Calibri"/>
              </w:rPr>
            </w:pPr>
            <w:r w:rsidRPr="00E35CA2">
              <w:rPr>
                <w:rFonts w:ascii="Calibri" w:hAnsi="Calibri" w:cs="Calibri"/>
                <w:b/>
                <w:bCs/>
                <w:sz w:val="15"/>
                <w:szCs w:val="15"/>
              </w:rPr>
              <w:t>W4</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50592CC0" w14:textId="77777777" w:rsidR="00714128" w:rsidRPr="00E35CA2" w:rsidRDefault="00000000">
            <w:pPr>
              <w:jc w:val="center"/>
              <w:rPr>
                <w:rFonts w:ascii="Calibri" w:hAnsi="Calibri" w:cs="Calibri"/>
              </w:rPr>
            </w:pPr>
            <w:r w:rsidRPr="00E35CA2">
              <w:rPr>
                <w:rFonts w:ascii="Calibri" w:hAnsi="Calibri" w:cs="Calibri"/>
                <w:b/>
                <w:bCs/>
                <w:sz w:val="15"/>
                <w:szCs w:val="15"/>
              </w:rPr>
              <w:t>W5</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081694D9" w14:textId="77777777" w:rsidR="00714128" w:rsidRPr="00E35CA2" w:rsidRDefault="00000000">
            <w:pPr>
              <w:jc w:val="center"/>
              <w:rPr>
                <w:rFonts w:ascii="Calibri" w:hAnsi="Calibri" w:cs="Calibri"/>
              </w:rPr>
            </w:pPr>
            <w:r w:rsidRPr="00E35CA2">
              <w:rPr>
                <w:rFonts w:ascii="Calibri" w:hAnsi="Calibri" w:cs="Calibri"/>
                <w:b/>
                <w:bCs/>
                <w:sz w:val="15"/>
                <w:szCs w:val="15"/>
              </w:rPr>
              <w:t>W6</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65590D2A" w14:textId="77777777" w:rsidR="00714128" w:rsidRPr="00E35CA2" w:rsidRDefault="00000000">
            <w:pPr>
              <w:jc w:val="center"/>
              <w:rPr>
                <w:rFonts w:ascii="Calibri" w:hAnsi="Calibri" w:cs="Calibri"/>
              </w:rPr>
            </w:pPr>
            <w:r w:rsidRPr="00E35CA2">
              <w:rPr>
                <w:rFonts w:ascii="Calibri" w:hAnsi="Calibri" w:cs="Calibri"/>
                <w:b/>
                <w:bCs/>
                <w:sz w:val="15"/>
                <w:szCs w:val="15"/>
              </w:rPr>
              <w:t>W7</w:t>
            </w:r>
          </w:p>
        </w:tc>
        <w:tc>
          <w:tcPr>
            <w:tcW w:w="753" w:type="dxa"/>
            <w:tcBorders>
              <w:top w:val="single" w:sz="1" w:space="0" w:color="BBBBBB"/>
              <w:left w:val="single" w:sz="1" w:space="0" w:color="BBBBBB"/>
              <w:bottom w:val="single" w:sz="1" w:space="0" w:color="BBBBBB"/>
              <w:right w:val="single" w:sz="1" w:space="0" w:color="BBBBBB"/>
            </w:tcBorders>
            <w:shd w:val="clear" w:color="auto" w:fill="1F4E79"/>
            <w:tcMar>
              <w:top w:w="30" w:type="dxa"/>
              <w:left w:w="70" w:type="dxa"/>
              <w:bottom w:w="30" w:type="dxa"/>
              <w:right w:w="40" w:type="dxa"/>
            </w:tcMar>
            <w:vAlign w:val="center"/>
          </w:tcPr>
          <w:p w14:paraId="245AF746" w14:textId="77777777" w:rsidR="00714128" w:rsidRPr="00E35CA2" w:rsidRDefault="00000000">
            <w:pPr>
              <w:jc w:val="center"/>
              <w:rPr>
                <w:rFonts w:ascii="Calibri" w:hAnsi="Calibri" w:cs="Calibri"/>
              </w:rPr>
            </w:pPr>
            <w:r w:rsidRPr="00E35CA2">
              <w:rPr>
                <w:rFonts w:ascii="Calibri" w:hAnsi="Calibri" w:cs="Calibri"/>
                <w:b/>
                <w:bCs/>
                <w:sz w:val="15"/>
                <w:szCs w:val="15"/>
              </w:rPr>
              <w:t>W8</w:t>
            </w:r>
          </w:p>
        </w:tc>
      </w:tr>
      <w:tr w:rsidR="00714128" w:rsidRPr="00E35CA2" w14:paraId="05AE5C76" w14:textId="77777777">
        <w:tc>
          <w:tcPr>
            <w:tcW w:w="3000"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65375EC3" w14:textId="77777777" w:rsidR="00714128" w:rsidRPr="00E35CA2" w:rsidRDefault="00000000">
            <w:pPr>
              <w:rPr>
                <w:rFonts w:ascii="Calibri" w:hAnsi="Calibri" w:cs="Calibri"/>
              </w:rPr>
            </w:pPr>
            <w:r w:rsidRPr="00E35CA2">
              <w:rPr>
                <w:rFonts w:ascii="Calibri" w:hAnsi="Calibri" w:cs="Calibri"/>
                <w:b/>
                <w:bCs/>
                <w:sz w:val="16"/>
                <w:szCs w:val="16"/>
              </w:rPr>
              <w:t>Phase 1  Setup and dataset selection</w:t>
            </w: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83B5E3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89A5C1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4CBBEB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67603C9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7201129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E34263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1AAFEB3"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7F9D007" w14:textId="77777777" w:rsidR="00714128" w:rsidRPr="00E35CA2" w:rsidRDefault="00714128">
            <w:pPr>
              <w:jc w:val="center"/>
              <w:rPr>
                <w:rFonts w:ascii="Calibri" w:hAnsi="Calibri" w:cs="Calibri"/>
              </w:rPr>
            </w:pPr>
          </w:p>
        </w:tc>
      </w:tr>
      <w:tr w:rsidR="00714128" w:rsidRPr="00E35CA2" w14:paraId="70C0D5D0"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D1DCC06" w14:textId="77777777" w:rsidR="00714128" w:rsidRPr="00E35CA2" w:rsidRDefault="00000000">
            <w:pPr>
              <w:rPr>
                <w:rFonts w:ascii="Calibri" w:hAnsi="Calibri" w:cs="Calibri"/>
              </w:rPr>
            </w:pPr>
            <w:r w:rsidRPr="00E35CA2">
              <w:rPr>
                <w:rFonts w:ascii="Calibri" w:hAnsi="Calibri" w:cs="Calibri"/>
                <w:sz w:val="15"/>
                <w:szCs w:val="15"/>
              </w:rPr>
              <w:t>1.1  Finalise review, confirm gap</w:t>
            </w: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4B28BBA6"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4B3B55B"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D414D0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D35182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8ED623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5DED3F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075A236"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BDCCD67" w14:textId="77777777" w:rsidR="00714128" w:rsidRPr="00E35CA2" w:rsidRDefault="00714128">
            <w:pPr>
              <w:jc w:val="center"/>
              <w:rPr>
                <w:rFonts w:ascii="Calibri" w:hAnsi="Calibri" w:cs="Calibri"/>
              </w:rPr>
            </w:pPr>
          </w:p>
        </w:tc>
      </w:tr>
      <w:tr w:rsidR="00714128" w:rsidRPr="00E35CA2" w14:paraId="2C4A9283"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0D76DE5" w14:textId="77777777" w:rsidR="00714128" w:rsidRPr="00E35CA2" w:rsidRDefault="00000000">
            <w:pPr>
              <w:rPr>
                <w:rFonts w:ascii="Calibri" w:hAnsi="Calibri" w:cs="Calibri"/>
              </w:rPr>
            </w:pPr>
            <w:r w:rsidRPr="00E35CA2">
              <w:rPr>
                <w:rFonts w:ascii="Calibri" w:hAnsi="Calibri" w:cs="Calibri"/>
                <w:sz w:val="15"/>
                <w:szCs w:val="15"/>
              </w:rPr>
              <w:t>1.2  Select dataset (short pilot)</w:t>
            </w: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539FC23B"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2EB3BA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55D71C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CE2CAE3"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38E605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8140AB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3EC893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457EDCD" w14:textId="77777777" w:rsidR="00714128" w:rsidRPr="00E35CA2" w:rsidRDefault="00714128">
            <w:pPr>
              <w:jc w:val="center"/>
              <w:rPr>
                <w:rFonts w:ascii="Calibri" w:hAnsi="Calibri" w:cs="Calibri"/>
              </w:rPr>
            </w:pPr>
          </w:p>
        </w:tc>
      </w:tr>
      <w:tr w:rsidR="00714128" w:rsidRPr="00E35CA2" w14:paraId="1FFC699E"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3E3788B" w14:textId="77777777" w:rsidR="00714128" w:rsidRPr="00E35CA2" w:rsidRDefault="00000000">
            <w:pPr>
              <w:rPr>
                <w:rFonts w:ascii="Calibri" w:hAnsi="Calibri" w:cs="Calibri"/>
              </w:rPr>
            </w:pPr>
            <w:r w:rsidRPr="00E35CA2">
              <w:rPr>
                <w:rFonts w:ascii="Calibri" w:hAnsi="Calibri" w:cs="Calibri"/>
                <w:sz w:val="15"/>
                <w:szCs w:val="15"/>
              </w:rPr>
              <w:t>1.3  Set up Anaconda, Orange, OpenCTI</w:t>
            </w: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089434E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8BD610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440E3D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872CC0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70A4FE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1A9556B"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83EE2A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F8A1960" w14:textId="77777777" w:rsidR="00714128" w:rsidRPr="00E35CA2" w:rsidRDefault="00714128">
            <w:pPr>
              <w:jc w:val="center"/>
              <w:rPr>
                <w:rFonts w:ascii="Calibri" w:hAnsi="Calibri" w:cs="Calibri"/>
              </w:rPr>
            </w:pPr>
          </w:p>
        </w:tc>
      </w:tr>
      <w:tr w:rsidR="00714128" w:rsidRPr="00E35CA2" w14:paraId="199BD6BF" w14:textId="77777777">
        <w:tc>
          <w:tcPr>
            <w:tcW w:w="3000"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16CA1E6" w14:textId="77777777" w:rsidR="00714128" w:rsidRPr="00E35CA2" w:rsidRDefault="00000000">
            <w:pPr>
              <w:rPr>
                <w:rFonts w:ascii="Calibri" w:hAnsi="Calibri" w:cs="Calibri"/>
              </w:rPr>
            </w:pPr>
            <w:r w:rsidRPr="00E35CA2">
              <w:rPr>
                <w:rFonts w:ascii="Calibri" w:hAnsi="Calibri" w:cs="Calibri"/>
                <w:b/>
                <w:bCs/>
                <w:sz w:val="16"/>
                <w:szCs w:val="16"/>
              </w:rPr>
              <w:t>Phase 2  Data and features</w:t>
            </w: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F8BC3A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FDEBCD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F0004C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7EC55E93"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74CA2463"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09E2D4E4"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5E0DEA1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56DA8E8F" w14:textId="77777777" w:rsidR="00714128" w:rsidRPr="00E35CA2" w:rsidRDefault="00714128">
            <w:pPr>
              <w:jc w:val="center"/>
              <w:rPr>
                <w:rFonts w:ascii="Calibri" w:hAnsi="Calibri" w:cs="Calibri"/>
              </w:rPr>
            </w:pPr>
          </w:p>
        </w:tc>
      </w:tr>
      <w:tr w:rsidR="00714128" w:rsidRPr="00E35CA2" w14:paraId="0579A251"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A8A2C37" w14:textId="77777777" w:rsidR="00714128" w:rsidRPr="00E35CA2" w:rsidRDefault="00000000">
            <w:pPr>
              <w:rPr>
                <w:rFonts w:ascii="Calibri" w:hAnsi="Calibri" w:cs="Calibri"/>
              </w:rPr>
            </w:pPr>
            <w:r w:rsidRPr="00E35CA2">
              <w:rPr>
                <w:rFonts w:ascii="Calibri" w:hAnsi="Calibri" w:cs="Calibri"/>
                <w:sz w:val="15"/>
                <w:szCs w:val="15"/>
              </w:rPr>
              <w:t>2.1  Prepare data, define labels</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1CEF0C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2AF6ED7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E0191E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D480FC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0934274"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C69364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B542F5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7A8E582" w14:textId="77777777" w:rsidR="00714128" w:rsidRPr="00E35CA2" w:rsidRDefault="00714128">
            <w:pPr>
              <w:jc w:val="center"/>
              <w:rPr>
                <w:rFonts w:ascii="Calibri" w:hAnsi="Calibri" w:cs="Calibri"/>
              </w:rPr>
            </w:pPr>
          </w:p>
        </w:tc>
      </w:tr>
      <w:tr w:rsidR="00714128" w:rsidRPr="00E35CA2" w14:paraId="71737E32"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654BB18" w14:textId="77777777" w:rsidR="00714128" w:rsidRPr="00E35CA2" w:rsidRDefault="00000000">
            <w:pPr>
              <w:rPr>
                <w:rFonts w:ascii="Calibri" w:hAnsi="Calibri" w:cs="Calibri"/>
              </w:rPr>
            </w:pPr>
            <w:r w:rsidRPr="00E35CA2">
              <w:rPr>
                <w:rFonts w:ascii="Calibri" w:hAnsi="Calibri" w:cs="Calibri"/>
                <w:sz w:val="15"/>
                <w:szCs w:val="15"/>
              </w:rPr>
              <w:t>2.2  Build feature set A</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B9A4E0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09AF3E6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2F8C3B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C78167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602EA2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8DD13D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44DD6E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93A0234" w14:textId="77777777" w:rsidR="00714128" w:rsidRPr="00E35CA2" w:rsidRDefault="00714128">
            <w:pPr>
              <w:jc w:val="center"/>
              <w:rPr>
                <w:rFonts w:ascii="Calibri" w:hAnsi="Calibri" w:cs="Calibri"/>
              </w:rPr>
            </w:pPr>
          </w:p>
        </w:tc>
      </w:tr>
      <w:tr w:rsidR="00714128" w:rsidRPr="00E35CA2" w14:paraId="6F365A1C"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6BD4749" w14:textId="77777777" w:rsidR="00714128" w:rsidRPr="00E35CA2" w:rsidRDefault="00000000">
            <w:pPr>
              <w:rPr>
                <w:rFonts w:ascii="Calibri" w:hAnsi="Calibri" w:cs="Calibri"/>
              </w:rPr>
            </w:pPr>
            <w:r w:rsidRPr="00E35CA2">
              <w:rPr>
                <w:rFonts w:ascii="Calibri" w:hAnsi="Calibri" w:cs="Calibri"/>
                <w:sz w:val="15"/>
                <w:szCs w:val="15"/>
              </w:rPr>
              <w:t>2.3  ATT&amp;CK mapping, feature set B</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664B6C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0C4C27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4766193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2E22AB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98DC99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F7B32D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459660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4ABD5D0" w14:textId="77777777" w:rsidR="00714128" w:rsidRPr="00E35CA2" w:rsidRDefault="00714128">
            <w:pPr>
              <w:jc w:val="center"/>
              <w:rPr>
                <w:rFonts w:ascii="Calibri" w:hAnsi="Calibri" w:cs="Calibri"/>
              </w:rPr>
            </w:pPr>
          </w:p>
        </w:tc>
      </w:tr>
      <w:tr w:rsidR="00714128" w:rsidRPr="00E35CA2" w14:paraId="6E6A0B13" w14:textId="77777777">
        <w:tc>
          <w:tcPr>
            <w:tcW w:w="3000"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32BE44D" w14:textId="77777777" w:rsidR="00714128" w:rsidRPr="00E35CA2" w:rsidRDefault="00000000">
            <w:pPr>
              <w:rPr>
                <w:rFonts w:ascii="Calibri" w:hAnsi="Calibri" w:cs="Calibri"/>
              </w:rPr>
            </w:pPr>
            <w:r w:rsidRPr="00E35CA2">
              <w:rPr>
                <w:rFonts w:ascii="Calibri" w:hAnsi="Calibri" w:cs="Calibri"/>
                <w:b/>
                <w:bCs/>
                <w:sz w:val="16"/>
                <w:szCs w:val="16"/>
              </w:rPr>
              <w:t>Phase 3  Modelling in Orange</w:t>
            </w: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5E228A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03F525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8476146"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56B89B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98E9EF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5F75957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CF3DC5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72597F00" w14:textId="77777777" w:rsidR="00714128" w:rsidRPr="00E35CA2" w:rsidRDefault="00714128">
            <w:pPr>
              <w:jc w:val="center"/>
              <w:rPr>
                <w:rFonts w:ascii="Calibri" w:hAnsi="Calibri" w:cs="Calibri"/>
              </w:rPr>
            </w:pPr>
          </w:p>
        </w:tc>
      </w:tr>
      <w:tr w:rsidR="00714128" w:rsidRPr="00E35CA2" w14:paraId="2C402269"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537BD47" w14:textId="77777777" w:rsidR="00714128" w:rsidRPr="00E35CA2" w:rsidRDefault="00000000">
            <w:pPr>
              <w:rPr>
                <w:rFonts w:ascii="Calibri" w:hAnsi="Calibri" w:cs="Calibri"/>
              </w:rPr>
            </w:pPr>
            <w:r w:rsidRPr="00E35CA2">
              <w:rPr>
                <w:rFonts w:ascii="Calibri" w:hAnsi="Calibri" w:cs="Calibri"/>
                <w:sz w:val="15"/>
                <w:szCs w:val="15"/>
              </w:rPr>
              <w:t>3.1  Random Forest and Gradient Boosting</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66543D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5E8F42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4EBAD5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1067059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B4EDAF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B32C61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5E54494"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784C9D8" w14:textId="77777777" w:rsidR="00714128" w:rsidRPr="00E35CA2" w:rsidRDefault="00714128">
            <w:pPr>
              <w:jc w:val="center"/>
              <w:rPr>
                <w:rFonts w:ascii="Calibri" w:hAnsi="Calibri" w:cs="Calibri"/>
              </w:rPr>
            </w:pPr>
          </w:p>
        </w:tc>
      </w:tr>
      <w:tr w:rsidR="00714128" w:rsidRPr="00E35CA2" w14:paraId="64149C08" w14:textId="77777777">
        <w:tc>
          <w:tcPr>
            <w:tcW w:w="3000"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374DFCD" w14:textId="77777777" w:rsidR="00714128" w:rsidRPr="00E35CA2" w:rsidRDefault="00000000">
            <w:pPr>
              <w:rPr>
                <w:rFonts w:ascii="Calibri" w:hAnsi="Calibri" w:cs="Calibri"/>
              </w:rPr>
            </w:pPr>
            <w:r w:rsidRPr="00E35CA2">
              <w:rPr>
                <w:rFonts w:ascii="Calibri" w:hAnsi="Calibri" w:cs="Calibri"/>
                <w:b/>
                <w:bCs/>
                <w:sz w:val="16"/>
                <w:szCs w:val="16"/>
              </w:rPr>
              <w:t>Phase 4  Evaluation</w:t>
            </w: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5BA842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7F6CAD5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07431FB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524E7BB"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63DABD8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59A5167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D5CB9B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594C6D94" w14:textId="77777777" w:rsidR="00714128" w:rsidRPr="00E35CA2" w:rsidRDefault="00714128">
            <w:pPr>
              <w:jc w:val="center"/>
              <w:rPr>
                <w:rFonts w:ascii="Calibri" w:hAnsi="Calibri" w:cs="Calibri"/>
              </w:rPr>
            </w:pPr>
          </w:p>
        </w:tc>
      </w:tr>
      <w:tr w:rsidR="00714128" w:rsidRPr="00E35CA2" w14:paraId="59453D9C"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5B2D3E0" w14:textId="77777777" w:rsidR="00714128" w:rsidRPr="00E35CA2" w:rsidRDefault="00000000">
            <w:pPr>
              <w:rPr>
                <w:rFonts w:ascii="Calibri" w:hAnsi="Calibri" w:cs="Calibri"/>
              </w:rPr>
            </w:pPr>
            <w:r w:rsidRPr="00E35CA2">
              <w:rPr>
                <w:rFonts w:ascii="Calibri" w:hAnsi="Calibri" w:cs="Calibri"/>
                <w:sz w:val="15"/>
                <w:szCs w:val="15"/>
              </w:rPr>
              <w:t>4.1  Effectiveness: three conditions</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876DA3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29F5A4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65678BB"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E62873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54E9DE0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AF7DAC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190160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FA8C975" w14:textId="77777777" w:rsidR="00714128" w:rsidRPr="00E35CA2" w:rsidRDefault="00714128">
            <w:pPr>
              <w:jc w:val="center"/>
              <w:rPr>
                <w:rFonts w:ascii="Calibri" w:hAnsi="Calibri" w:cs="Calibri"/>
              </w:rPr>
            </w:pPr>
          </w:p>
        </w:tc>
      </w:tr>
      <w:tr w:rsidR="00714128" w:rsidRPr="00E35CA2" w14:paraId="21341B63"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059602D" w14:textId="77777777" w:rsidR="00714128" w:rsidRPr="00E35CA2" w:rsidRDefault="00000000">
            <w:pPr>
              <w:rPr>
                <w:rFonts w:ascii="Calibri" w:hAnsi="Calibri" w:cs="Calibri"/>
              </w:rPr>
            </w:pPr>
            <w:r w:rsidRPr="00E35CA2">
              <w:rPr>
                <w:rFonts w:ascii="Calibri" w:hAnsi="Calibri" w:cs="Calibri"/>
                <w:sz w:val="15"/>
                <w:szCs w:val="15"/>
              </w:rPr>
              <w:t>4.2  Efficiency: time and compute</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FCB800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CFC6D8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B02C91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4E8F9D4"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38C513A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B8EEA9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4CB952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125C646" w14:textId="77777777" w:rsidR="00714128" w:rsidRPr="00E35CA2" w:rsidRDefault="00714128">
            <w:pPr>
              <w:jc w:val="center"/>
              <w:rPr>
                <w:rFonts w:ascii="Calibri" w:hAnsi="Calibri" w:cs="Calibri"/>
              </w:rPr>
            </w:pPr>
          </w:p>
        </w:tc>
      </w:tr>
      <w:tr w:rsidR="00714128" w:rsidRPr="00E35CA2" w14:paraId="74E87921"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70B6208" w14:textId="77777777" w:rsidR="00714128" w:rsidRPr="00E35CA2" w:rsidRDefault="00000000">
            <w:pPr>
              <w:rPr>
                <w:rFonts w:ascii="Calibri" w:hAnsi="Calibri" w:cs="Calibri"/>
              </w:rPr>
            </w:pPr>
            <w:r w:rsidRPr="00E35CA2">
              <w:rPr>
                <w:rFonts w:ascii="Calibri" w:hAnsi="Calibri" w:cs="Calibri"/>
                <w:sz w:val="15"/>
                <w:szCs w:val="15"/>
              </w:rPr>
              <w:t>4.3  Explainability and significance</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ABCB3A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44598C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D0345E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19DF54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3D690E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698118D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8A41CF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AF93162" w14:textId="77777777" w:rsidR="00714128" w:rsidRPr="00E35CA2" w:rsidRDefault="00714128">
            <w:pPr>
              <w:jc w:val="center"/>
              <w:rPr>
                <w:rFonts w:ascii="Calibri" w:hAnsi="Calibri" w:cs="Calibri"/>
              </w:rPr>
            </w:pPr>
          </w:p>
        </w:tc>
      </w:tr>
      <w:tr w:rsidR="00714128" w:rsidRPr="00E35CA2" w14:paraId="7251C1B2"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57BE2D9" w14:textId="77777777" w:rsidR="00714128" w:rsidRPr="00E35CA2" w:rsidRDefault="00000000">
            <w:pPr>
              <w:rPr>
                <w:rFonts w:ascii="Calibri" w:hAnsi="Calibri" w:cs="Calibri"/>
              </w:rPr>
            </w:pPr>
            <w:r w:rsidRPr="00E35CA2">
              <w:rPr>
                <w:rFonts w:ascii="Calibri" w:hAnsi="Calibri" w:cs="Calibri"/>
                <w:sz w:val="15"/>
                <w:szCs w:val="15"/>
              </w:rPr>
              <w:t>4.4  Analyse the trade-off</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CBA5C0C"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46A219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69645B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DFC498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29CA82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7EEC25F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479D60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1151EF8" w14:textId="77777777" w:rsidR="00714128" w:rsidRPr="00E35CA2" w:rsidRDefault="00714128">
            <w:pPr>
              <w:jc w:val="center"/>
              <w:rPr>
                <w:rFonts w:ascii="Calibri" w:hAnsi="Calibri" w:cs="Calibri"/>
              </w:rPr>
            </w:pPr>
          </w:p>
        </w:tc>
      </w:tr>
      <w:tr w:rsidR="00714128" w:rsidRPr="00E35CA2" w14:paraId="1DD94C5E" w14:textId="77777777">
        <w:tc>
          <w:tcPr>
            <w:tcW w:w="3000"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4580ACF2" w14:textId="77777777" w:rsidR="00714128" w:rsidRPr="00E35CA2" w:rsidRDefault="00000000">
            <w:pPr>
              <w:rPr>
                <w:rFonts w:ascii="Calibri" w:hAnsi="Calibri" w:cs="Calibri"/>
              </w:rPr>
            </w:pPr>
            <w:r w:rsidRPr="00E35CA2">
              <w:rPr>
                <w:rFonts w:ascii="Calibri" w:hAnsi="Calibri" w:cs="Calibri"/>
                <w:b/>
                <w:bCs/>
                <w:sz w:val="16"/>
                <w:szCs w:val="16"/>
              </w:rPr>
              <w:t>Phase 5  Writing</w:t>
            </w: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74778D5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975284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0E96189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F3902B6"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929D503"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4DDA63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63E4275"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6D883800" w14:textId="77777777" w:rsidR="00714128" w:rsidRPr="00E35CA2" w:rsidRDefault="00714128">
            <w:pPr>
              <w:jc w:val="center"/>
              <w:rPr>
                <w:rFonts w:ascii="Calibri" w:hAnsi="Calibri" w:cs="Calibri"/>
              </w:rPr>
            </w:pPr>
          </w:p>
        </w:tc>
      </w:tr>
      <w:tr w:rsidR="00714128" w:rsidRPr="00E35CA2" w14:paraId="61A451B1"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4536912" w14:textId="77777777" w:rsidR="00714128" w:rsidRPr="00E35CA2" w:rsidRDefault="00000000">
            <w:pPr>
              <w:rPr>
                <w:rFonts w:ascii="Calibri" w:hAnsi="Calibri" w:cs="Calibri"/>
              </w:rPr>
            </w:pPr>
            <w:r w:rsidRPr="00E35CA2">
              <w:rPr>
                <w:rFonts w:ascii="Calibri" w:hAnsi="Calibri" w:cs="Calibri"/>
                <w:sz w:val="15"/>
                <w:szCs w:val="15"/>
              </w:rPr>
              <w:t>5.1  Draft the dissertation</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EF2B6D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05D7E7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DC9A12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B37392B"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098F9B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7B0CC2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5495CD5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1F43BBC" w14:textId="77777777" w:rsidR="00714128" w:rsidRPr="00E35CA2" w:rsidRDefault="00714128">
            <w:pPr>
              <w:jc w:val="center"/>
              <w:rPr>
                <w:rFonts w:ascii="Calibri" w:hAnsi="Calibri" w:cs="Calibri"/>
              </w:rPr>
            </w:pPr>
          </w:p>
        </w:tc>
      </w:tr>
      <w:tr w:rsidR="00714128" w:rsidRPr="00E35CA2" w14:paraId="28301B4A" w14:textId="77777777">
        <w:tc>
          <w:tcPr>
            <w:tcW w:w="3000"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77DEEE8E" w14:textId="77777777" w:rsidR="00714128" w:rsidRPr="00E35CA2" w:rsidRDefault="00000000">
            <w:pPr>
              <w:rPr>
                <w:rFonts w:ascii="Calibri" w:hAnsi="Calibri" w:cs="Calibri"/>
              </w:rPr>
            </w:pPr>
            <w:r w:rsidRPr="00E35CA2">
              <w:rPr>
                <w:rFonts w:ascii="Calibri" w:hAnsi="Calibri" w:cs="Calibri"/>
                <w:b/>
                <w:bCs/>
                <w:sz w:val="16"/>
                <w:szCs w:val="16"/>
              </w:rPr>
              <w:t>Phase 6  Finalise</w:t>
            </w: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3E72B612"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51BFAD6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416B17B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447A7BA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29E6DF9B"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191D15A7"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0BD4611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D9E2EF"/>
            <w:tcMar>
              <w:top w:w="30" w:type="dxa"/>
              <w:left w:w="70" w:type="dxa"/>
              <w:bottom w:w="30" w:type="dxa"/>
              <w:right w:w="40" w:type="dxa"/>
            </w:tcMar>
            <w:vAlign w:val="center"/>
          </w:tcPr>
          <w:p w14:paraId="6D9C81E5" w14:textId="77777777" w:rsidR="00714128" w:rsidRPr="00E35CA2" w:rsidRDefault="00714128">
            <w:pPr>
              <w:jc w:val="center"/>
              <w:rPr>
                <w:rFonts w:ascii="Calibri" w:hAnsi="Calibri" w:cs="Calibri"/>
              </w:rPr>
            </w:pPr>
          </w:p>
        </w:tc>
      </w:tr>
      <w:tr w:rsidR="00714128" w:rsidRPr="00E35CA2" w14:paraId="474288C5"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893AB57" w14:textId="77777777" w:rsidR="00714128" w:rsidRPr="00E35CA2" w:rsidRDefault="00000000">
            <w:pPr>
              <w:rPr>
                <w:rFonts w:ascii="Calibri" w:hAnsi="Calibri" w:cs="Calibri"/>
              </w:rPr>
            </w:pPr>
            <w:r w:rsidRPr="00E35CA2">
              <w:rPr>
                <w:rFonts w:ascii="Calibri" w:hAnsi="Calibri" w:cs="Calibri"/>
                <w:sz w:val="15"/>
                <w:szCs w:val="15"/>
              </w:rPr>
              <w:t>6.1  Supervisor feedback and revision</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421110E"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39827D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2F3E4B10"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03D26F5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B0738B9"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F17E74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7311437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785746C2" w14:textId="77777777" w:rsidR="00714128" w:rsidRPr="00E35CA2" w:rsidRDefault="00714128">
            <w:pPr>
              <w:jc w:val="center"/>
              <w:rPr>
                <w:rFonts w:ascii="Calibri" w:hAnsi="Calibri" w:cs="Calibri"/>
              </w:rPr>
            </w:pPr>
          </w:p>
        </w:tc>
      </w:tr>
      <w:tr w:rsidR="00714128" w:rsidRPr="00E35CA2" w14:paraId="2DE49558" w14:textId="77777777">
        <w:tc>
          <w:tcPr>
            <w:tcW w:w="3000"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5E85D6FD" w14:textId="77777777" w:rsidR="00714128" w:rsidRPr="00E35CA2" w:rsidRDefault="00000000">
            <w:pPr>
              <w:rPr>
                <w:rFonts w:ascii="Calibri" w:hAnsi="Calibri" w:cs="Calibri"/>
              </w:rPr>
            </w:pPr>
            <w:r w:rsidRPr="00E35CA2">
              <w:rPr>
                <w:rFonts w:ascii="Calibri" w:hAnsi="Calibri" w:cs="Calibri"/>
                <w:sz w:val="15"/>
                <w:szCs w:val="15"/>
              </w:rPr>
              <w:t>6.2  Finalise and submit</w:t>
            </w: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4F95978D"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8E3EEC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B4C8ACF"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275EF5A"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616C4CD3"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12CC2188"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tcMar>
              <w:top w:w="30" w:type="dxa"/>
              <w:left w:w="70" w:type="dxa"/>
              <w:bottom w:w="30" w:type="dxa"/>
              <w:right w:w="40" w:type="dxa"/>
            </w:tcMar>
            <w:vAlign w:val="center"/>
          </w:tcPr>
          <w:p w14:paraId="3C2F20F1" w14:textId="77777777" w:rsidR="00714128" w:rsidRPr="00E35CA2" w:rsidRDefault="00714128">
            <w:pPr>
              <w:jc w:val="center"/>
              <w:rPr>
                <w:rFonts w:ascii="Calibri" w:hAnsi="Calibri" w:cs="Calibri"/>
              </w:rPr>
            </w:pPr>
          </w:p>
        </w:tc>
        <w:tc>
          <w:tcPr>
            <w:tcW w:w="753" w:type="dxa"/>
            <w:tcBorders>
              <w:top w:val="single" w:sz="1" w:space="0" w:color="BBBBBB"/>
              <w:left w:val="single" w:sz="1" w:space="0" w:color="BBBBBB"/>
              <w:bottom w:val="single" w:sz="1" w:space="0" w:color="BBBBBB"/>
              <w:right w:val="single" w:sz="1" w:space="0" w:color="BBBBBB"/>
            </w:tcBorders>
            <w:shd w:val="clear" w:color="auto" w:fill="4F9BD9"/>
            <w:tcMar>
              <w:top w:w="30" w:type="dxa"/>
              <w:left w:w="70" w:type="dxa"/>
              <w:bottom w:w="30" w:type="dxa"/>
              <w:right w:w="40" w:type="dxa"/>
            </w:tcMar>
            <w:vAlign w:val="center"/>
          </w:tcPr>
          <w:p w14:paraId="770FA2C7" w14:textId="77777777" w:rsidR="00714128" w:rsidRPr="00E35CA2" w:rsidRDefault="00714128">
            <w:pPr>
              <w:jc w:val="center"/>
              <w:rPr>
                <w:rFonts w:ascii="Calibri" w:hAnsi="Calibri" w:cs="Calibri"/>
              </w:rPr>
            </w:pPr>
          </w:p>
        </w:tc>
      </w:tr>
    </w:tbl>
    <w:p w14:paraId="35421DC5" w14:textId="09F8AB48" w:rsidR="00714128" w:rsidRPr="00E35CA2" w:rsidRDefault="00000000" w:rsidP="00E86635">
      <w:pPr>
        <w:spacing w:before="60" w:after="160"/>
        <w:jc w:val="center"/>
        <w:rPr>
          <w:rFonts w:ascii="Calibri" w:hAnsi="Calibri" w:cs="Calibri"/>
        </w:rPr>
      </w:pPr>
      <w:r w:rsidRPr="00E35CA2">
        <w:rPr>
          <w:rFonts w:ascii="Calibri" w:hAnsi="Calibri" w:cs="Calibri"/>
          <w:i/>
          <w:iCs/>
          <w:sz w:val="18"/>
          <w:szCs w:val="18"/>
        </w:rPr>
        <w:t xml:space="preserve">Figure 1. Gantt chart of the </w:t>
      </w:r>
      <w:r w:rsidR="00E86635" w:rsidRPr="00E35CA2">
        <w:rPr>
          <w:rFonts w:ascii="Calibri" w:hAnsi="Calibri" w:cs="Calibri"/>
          <w:i/>
          <w:iCs/>
          <w:sz w:val="18"/>
          <w:szCs w:val="18"/>
        </w:rPr>
        <w:t>eight-week</w:t>
      </w:r>
      <w:r w:rsidRPr="00E35CA2">
        <w:rPr>
          <w:rFonts w:ascii="Calibri" w:hAnsi="Calibri" w:cs="Calibri"/>
          <w:i/>
          <w:iCs/>
          <w:sz w:val="18"/>
          <w:szCs w:val="18"/>
        </w:rPr>
        <w:t xml:space="preserve"> project plan.</w:t>
      </w:r>
    </w:p>
    <w:p w14:paraId="447CEF60" w14:textId="77777777" w:rsidR="00714128" w:rsidRPr="00E35CA2" w:rsidRDefault="00000000">
      <w:pPr>
        <w:pStyle w:val="Heading1"/>
        <w:rPr>
          <w:rFonts w:ascii="Calibri" w:hAnsi="Calibri" w:cs="Calibri"/>
          <w:color w:val="auto"/>
        </w:rPr>
      </w:pPr>
      <w:r w:rsidRPr="00E35CA2">
        <w:rPr>
          <w:rFonts w:ascii="Calibri" w:hAnsi="Calibri" w:cs="Calibri"/>
          <w:color w:val="auto"/>
        </w:rPr>
        <w:t>9. Expected Outcomes, Contribution and Ethics</w:t>
      </w:r>
    </w:p>
    <w:p w14:paraId="07F8036E" w14:textId="77777777" w:rsidR="00714128" w:rsidRPr="00E35CA2" w:rsidRDefault="00000000">
      <w:pPr>
        <w:spacing w:after="140" w:line="276" w:lineRule="auto"/>
        <w:rPr>
          <w:rFonts w:ascii="Calibri" w:hAnsi="Calibri" w:cs="Calibri"/>
        </w:rPr>
      </w:pPr>
      <w:r w:rsidRPr="00E35CA2">
        <w:rPr>
          <w:rFonts w:ascii="Calibri" w:hAnsi="Calibri" w:cs="Calibri"/>
        </w:rPr>
        <w:t>The study will deliver an open and repeatable process that adds threat intelligence context to public alert data, a clear measurement of both the effectiveness gained and the efficiency cost of that enrichment, a justified choice of dataset, and practical guidance for security teams on whether enrichment is worth its cost. If enrichment helps, the study shows where and at what price; if it does not, it offers a useful corrective to a widely repeated claim. The work also provides a foundation for possible doctoral study into the automated use of threat intelligence and adaptation to concept drift. The study uses only secondary public data with no human participants, so the ethical risk is low, and the School research ethics checklist will be completed.</w:t>
      </w:r>
    </w:p>
    <w:p w14:paraId="50A8465C" w14:textId="77777777" w:rsidR="00714128" w:rsidRPr="00E35CA2" w:rsidRDefault="00000000">
      <w:pPr>
        <w:pStyle w:val="Heading1"/>
        <w:rPr>
          <w:rFonts w:ascii="Calibri" w:hAnsi="Calibri" w:cs="Calibri"/>
          <w:color w:val="auto"/>
        </w:rPr>
      </w:pPr>
      <w:r w:rsidRPr="00E35CA2">
        <w:rPr>
          <w:rFonts w:ascii="Calibri" w:hAnsi="Calibri" w:cs="Calibri"/>
          <w:color w:val="auto"/>
        </w:rPr>
        <w:lastRenderedPageBreak/>
        <w:t>References</w:t>
      </w:r>
    </w:p>
    <w:p w14:paraId="62A0287D"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Apruzzese, G., Laskov, P., Montes de Oca, E., Mallouli, W., Brdalo Rapa, L., Grammatopoulos, A. V., and Di Franco, F. (2023). </w:t>
      </w:r>
      <w:r w:rsidRPr="00E35CA2">
        <w:rPr>
          <w:rFonts w:ascii="Calibri" w:hAnsi="Calibri" w:cs="Calibri"/>
        </w:rPr>
        <w:t xml:space="preserve">The role of machine learning in cybersecurity. </w:t>
      </w:r>
      <w:r w:rsidRPr="00E35CA2">
        <w:rPr>
          <w:rFonts w:ascii="Calibri" w:hAnsi="Calibri" w:cs="Calibri"/>
          <w:i/>
          <w:iCs/>
        </w:rPr>
        <w:t>Digital Threats: Research and Practice, 4</w:t>
      </w:r>
      <w:r w:rsidRPr="00E35CA2">
        <w:rPr>
          <w:rFonts w:ascii="Calibri" w:hAnsi="Calibri" w:cs="Calibri"/>
        </w:rPr>
        <w:t>(1), Article 8.</w:t>
      </w:r>
    </w:p>
    <w:p w14:paraId="353E20EC"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Arp, D., Quiring, E., Pendlebury, F., Warnecke, A., Pierazzi, F., Wressnegger, C., Cavallaro, L., and Rieck, K. (2022). </w:t>
      </w:r>
      <w:r w:rsidRPr="00E35CA2">
        <w:rPr>
          <w:rFonts w:ascii="Calibri" w:hAnsi="Calibri" w:cs="Calibri"/>
        </w:rPr>
        <w:t xml:space="preserve">Dos and don'ts of machine learning in computer security. In </w:t>
      </w:r>
      <w:r w:rsidRPr="00E35CA2">
        <w:rPr>
          <w:rFonts w:ascii="Calibri" w:hAnsi="Calibri" w:cs="Calibri"/>
          <w:i/>
          <w:iCs/>
        </w:rPr>
        <w:t>Proceedings of the 31st USENIX Security Symposium</w:t>
      </w:r>
      <w:r w:rsidRPr="00E35CA2">
        <w:rPr>
          <w:rFonts w:ascii="Calibri" w:hAnsi="Calibri" w:cs="Calibri"/>
        </w:rPr>
        <w:t xml:space="preserve"> (pp. 3971 to 3988).</w:t>
      </w:r>
    </w:p>
    <w:p w14:paraId="2B81CB96"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Barrios-González, M., Aguiar-Pérez, J. M., Pérez-Juárez, M. Á., and Castañeda-de-Benito, E. (2026). </w:t>
      </w:r>
      <w:r w:rsidRPr="00E35CA2">
        <w:rPr>
          <w:rFonts w:ascii="Calibri" w:hAnsi="Calibri" w:cs="Calibri"/>
        </w:rPr>
        <w:t xml:space="preserve">Redefining cyber threat intelligence with artificial intelligence. </w:t>
      </w:r>
      <w:r w:rsidRPr="00E35CA2">
        <w:rPr>
          <w:rFonts w:ascii="Calibri" w:hAnsi="Calibri" w:cs="Calibri"/>
          <w:i/>
          <w:iCs/>
        </w:rPr>
        <w:t>Applied Sciences, 16</w:t>
      </w:r>
      <w:r w:rsidRPr="00E35CA2">
        <w:rPr>
          <w:rFonts w:ascii="Calibri" w:hAnsi="Calibri" w:cs="Calibri"/>
        </w:rPr>
        <w:t>(3), Article 1668.</w:t>
      </w:r>
    </w:p>
    <w:p w14:paraId="2D6C08C5"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Cantone, M., Marrocco, C., and Bria, A. (2024). </w:t>
      </w:r>
      <w:r w:rsidRPr="00E35CA2">
        <w:rPr>
          <w:rFonts w:ascii="Calibri" w:hAnsi="Calibri" w:cs="Calibri"/>
        </w:rPr>
        <w:t xml:space="preserve">Machine learning in network intrusion detection: A cross dataset generalization study. </w:t>
      </w:r>
      <w:r w:rsidRPr="00E35CA2">
        <w:rPr>
          <w:rFonts w:ascii="Calibri" w:hAnsi="Calibri" w:cs="Calibri"/>
          <w:i/>
          <w:iCs/>
        </w:rPr>
        <w:t>IEEE Access, 12</w:t>
      </w:r>
      <w:r w:rsidRPr="00E35CA2">
        <w:rPr>
          <w:rFonts w:ascii="Calibri" w:hAnsi="Calibri" w:cs="Calibri"/>
        </w:rPr>
        <w:t>, 144489 to 144508.</w:t>
      </w:r>
    </w:p>
    <w:p w14:paraId="249927CA"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Department for Science, Innovation and Technology, and Ipsos. (2024). </w:t>
      </w:r>
      <w:r w:rsidRPr="00E35CA2">
        <w:rPr>
          <w:rFonts w:ascii="Calibri" w:hAnsi="Calibri" w:cs="Calibri"/>
          <w:i/>
          <w:iCs/>
        </w:rPr>
        <w:t xml:space="preserve">Cyber security breaches survey 2024. </w:t>
      </w:r>
      <w:r w:rsidRPr="00E35CA2">
        <w:rPr>
          <w:rFonts w:ascii="Calibri" w:hAnsi="Calibri" w:cs="Calibri"/>
        </w:rPr>
        <w:t>UK Government.</w:t>
      </w:r>
    </w:p>
    <w:p w14:paraId="22982908"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Gupta, R., Liu, S., Zhang, R., Hu, X., Wang, X., Benkraouda, H., Kommaraju, P., Cao, P., Feamster, N., and Nahrstedt, K. (2025). </w:t>
      </w:r>
      <w:r w:rsidRPr="00E35CA2">
        <w:rPr>
          <w:rFonts w:ascii="Calibri" w:hAnsi="Calibri" w:cs="Calibri"/>
        </w:rPr>
        <w:t xml:space="preserve">Generative active adaptation for drifting and imbalanced network intrusion detection. </w:t>
      </w:r>
      <w:r w:rsidRPr="00E35CA2">
        <w:rPr>
          <w:rFonts w:ascii="Calibri" w:hAnsi="Calibri" w:cs="Calibri"/>
          <w:i/>
          <w:iCs/>
        </w:rPr>
        <w:t>arXiv:2503.03022.</w:t>
      </w:r>
      <w:r w:rsidRPr="00E35CA2">
        <w:rPr>
          <w:rFonts w:ascii="Calibri" w:hAnsi="Calibri" w:cs="Calibri"/>
        </w:rPr>
        <w:t xml:space="preserve"> Preprint.</w:t>
      </w:r>
    </w:p>
    <w:p w14:paraId="426AD7AC"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Habibzadeh, A., Fevzi, F., and Ebrahimi Atani, R. (2025). </w:t>
      </w:r>
      <w:r w:rsidRPr="00E35CA2">
        <w:rPr>
          <w:rFonts w:ascii="Calibri" w:hAnsi="Calibri" w:cs="Calibri"/>
        </w:rPr>
        <w:t xml:space="preserve">Large language models for security operations centers: A comprehensive survey. </w:t>
      </w:r>
      <w:r w:rsidRPr="00E35CA2">
        <w:rPr>
          <w:rFonts w:ascii="Calibri" w:hAnsi="Calibri" w:cs="Calibri"/>
          <w:i/>
          <w:iCs/>
        </w:rPr>
        <w:t>arXiv:2509.10858.</w:t>
      </w:r>
      <w:r w:rsidRPr="00E35CA2">
        <w:rPr>
          <w:rFonts w:ascii="Calibri" w:hAnsi="Calibri" w:cs="Calibri"/>
        </w:rPr>
        <w:t xml:space="preserve"> Preprint.</w:t>
      </w:r>
    </w:p>
    <w:p w14:paraId="17E0AB11"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Hassan, W. U., Guo, S., Li, D., Chen, Z., Jee, K., Li, Z., and Bates, A. (2019). </w:t>
      </w:r>
      <w:r w:rsidRPr="00E35CA2">
        <w:rPr>
          <w:rFonts w:ascii="Calibri" w:hAnsi="Calibri" w:cs="Calibri"/>
        </w:rPr>
        <w:t xml:space="preserve">NoDoze: Combatting threat alert fatigue with automated provenance triage. In </w:t>
      </w:r>
      <w:r w:rsidRPr="00E35CA2">
        <w:rPr>
          <w:rFonts w:ascii="Calibri" w:hAnsi="Calibri" w:cs="Calibri"/>
          <w:i/>
          <w:iCs/>
        </w:rPr>
        <w:t>Proceedings of the Network and Distributed System Security Symposium</w:t>
      </w:r>
      <w:r w:rsidRPr="00E35CA2">
        <w:rPr>
          <w:rFonts w:ascii="Calibri" w:hAnsi="Calibri" w:cs="Calibri"/>
        </w:rPr>
        <w:t>.</w:t>
      </w:r>
    </w:p>
    <w:p w14:paraId="210F6CE4"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Husari, G., Al-Shaer, E., Ahmed, M., Chu, B., and Niu, X. (2017). </w:t>
      </w:r>
      <w:r w:rsidRPr="00E35CA2">
        <w:rPr>
          <w:rFonts w:ascii="Calibri" w:hAnsi="Calibri" w:cs="Calibri"/>
        </w:rPr>
        <w:t xml:space="preserve">TTPDrill: Automatic and accurate extraction of threat actions from unstructured text of cyber threat intelligence sources. In </w:t>
      </w:r>
      <w:r w:rsidRPr="00E35CA2">
        <w:rPr>
          <w:rFonts w:ascii="Calibri" w:hAnsi="Calibri" w:cs="Calibri"/>
          <w:i/>
          <w:iCs/>
        </w:rPr>
        <w:t>Proceedings of the 33rd Annual Computer Security Applications Conference</w:t>
      </w:r>
      <w:r w:rsidRPr="00E35CA2">
        <w:rPr>
          <w:rFonts w:ascii="Calibri" w:hAnsi="Calibri" w:cs="Calibri"/>
        </w:rPr>
        <w:t>.</w:t>
      </w:r>
    </w:p>
    <w:p w14:paraId="67D125C4"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ISC2. (2024). </w:t>
      </w:r>
      <w:r w:rsidRPr="00E35CA2">
        <w:rPr>
          <w:rFonts w:ascii="Calibri" w:hAnsi="Calibri" w:cs="Calibri"/>
          <w:i/>
          <w:iCs/>
        </w:rPr>
        <w:t>ISC2 cybersecurity workforce study 2024.</w:t>
      </w:r>
      <w:r w:rsidRPr="00E35CA2">
        <w:rPr>
          <w:rFonts w:ascii="Calibri" w:hAnsi="Calibri" w:cs="Calibri"/>
        </w:rPr>
        <w:t xml:space="preserve"> ISC2.</w:t>
      </w:r>
    </w:p>
    <w:p w14:paraId="5DA2C038"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Jalalvand, F., Baruwal Chhetri, M., Nepal, S., and Paris, C. (2024). </w:t>
      </w:r>
      <w:r w:rsidRPr="00E35CA2">
        <w:rPr>
          <w:rFonts w:ascii="Calibri" w:hAnsi="Calibri" w:cs="Calibri"/>
        </w:rPr>
        <w:t xml:space="preserve">Alert prioritisation in security operations centres: A systematic survey on criteria and methods. </w:t>
      </w:r>
      <w:r w:rsidRPr="00E35CA2">
        <w:rPr>
          <w:rFonts w:ascii="Calibri" w:hAnsi="Calibri" w:cs="Calibri"/>
          <w:i/>
          <w:iCs/>
        </w:rPr>
        <w:t>ACM Computing Surveys, 57</w:t>
      </w:r>
      <w:r w:rsidRPr="00E35CA2">
        <w:rPr>
          <w:rFonts w:ascii="Calibri" w:hAnsi="Calibri" w:cs="Calibri"/>
        </w:rPr>
        <w:t>(2), Article 42.</w:t>
      </w:r>
    </w:p>
    <w:p w14:paraId="47B51363"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Jordaney, R., Sharad, K., Dash, S. K., Wang, Z., Papini, D., Nouretdinov, I., and Cavallaro, L. (2017). </w:t>
      </w:r>
      <w:r w:rsidRPr="00E35CA2">
        <w:rPr>
          <w:rFonts w:ascii="Calibri" w:hAnsi="Calibri" w:cs="Calibri"/>
        </w:rPr>
        <w:t xml:space="preserve">Transcend: Detecting concept drift in malware classification models. In </w:t>
      </w:r>
      <w:r w:rsidRPr="00E35CA2">
        <w:rPr>
          <w:rFonts w:ascii="Calibri" w:hAnsi="Calibri" w:cs="Calibri"/>
          <w:i/>
          <w:iCs/>
        </w:rPr>
        <w:t>Proceedings of the 26th USENIX Security Symposium</w:t>
      </w:r>
      <w:r w:rsidRPr="00E35CA2">
        <w:rPr>
          <w:rFonts w:ascii="Calibri" w:hAnsi="Calibri" w:cs="Calibri"/>
        </w:rPr>
        <w:t xml:space="preserve"> (pp. 625 to 642).</w:t>
      </w:r>
    </w:p>
    <w:p w14:paraId="08B59E27"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Liao, X., Yuan, K., Wang, X., Li, Z., Xing, L., and Beyah, R. (2016). </w:t>
      </w:r>
      <w:r w:rsidRPr="00E35CA2">
        <w:rPr>
          <w:rFonts w:ascii="Calibri" w:hAnsi="Calibri" w:cs="Calibri"/>
        </w:rPr>
        <w:t xml:space="preserve">Acing the IOC game: Toward automatic discovery and analysis of open source cyber threat intelligence. In </w:t>
      </w:r>
      <w:r w:rsidRPr="00E35CA2">
        <w:rPr>
          <w:rFonts w:ascii="Calibri" w:hAnsi="Calibri" w:cs="Calibri"/>
          <w:i/>
          <w:iCs/>
        </w:rPr>
        <w:t>Proceedings of the 23rd ACM Conference on Computer and Communications Security</w:t>
      </w:r>
      <w:r w:rsidRPr="00E35CA2">
        <w:rPr>
          <w:rFonts w:ascii="Calibri" w:hAnsi="Calibri" w:cs="Calibri"/>
        </w:rPr>
        <w:t xml:space="preserve"> (pp. 755 to 766).</w:t>
      </w:r>
    </w:p>
    <w:p w14:paraId="3A80E1D6"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lastRenderedPageBreak/>
        <w:t xml:space="preserve">Moustafa, N., and Slay, J. (2015). </w:t>
      </w:r>
      <w:r w:rsidRPr="00E35CA2">
        <w:rPr>
          <w:rFonts w:ascii="Calibri" w:hAnsi="Calibri" w:cs="Calibri"/>
        </w:rPr>
        <w:t xml:space="preserve">UNSW-NB15: A comprehensive data set for network intrusion detection systems. In </w:t>
      </w:r>
      <w:r w:rsidRPr="00E35CA2">
        <w:rPr>
          <w:rFonts w:ascii="Calibri" w:hAnsi="Calibri" w:cs="Calibri"/>
          <w:i/>
          <w:iCs/>
        </w:rPr>
        <w:t>Military Communications and Information Systems Conference (MilCIS)</w:t>
      </w:r>
      <w:r w:rsidRPr="00E35CA2">
        <w:rPr>
          <w:rFonts w:ascii="Calibri" w:hAnsi="Calibri" w:cs="Calibri"/>
        </w:rPr>
        <w:t xml:space="preserve"> (pp. 1 to 6).</w:t>
      </w:r>
    </w:p>
    <w:p w14:paraId="7D6493E6"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Mustafa, A., Trad, F., and Chehab, A. (2025). </w:t>
      </w:r>
      <w:r w:rsidRPr="00E35CA2">
        <w:rPr>
          <w:rFonts w:ascii="Calibri" w:hAnsi="Calibri" w:cs="Calibri"/>
        </w:rPr>
        <w:t xml:space="preserve">Leveraging large language models for reducing false positives and prioritizing alerts in intrusion detection systems. In L. Barolli (Ed.), </w:t>
      </w:r>
      <w:r w:rsidRPr="00E35CA2">
        <w:rPr>
          <w:rFonts w:ascii="Calibri" w:hAnsi="Calibri" w:cs="Calibri"/>
          <w:i/>
          <w:iCs/>
        </w:rPr>
        <w:t>Advanced Information Networking and Applications, AINA 2025, LNDECT vol. 248</w:t>
      </w:r>
      <w:r w:rsidRPr="00E35CA2">
        <w:rPr>
          <w:rFonts w:ascii="Calibri" w:hAnsi="Calibri" w:cs="Calibri"/>
        </w:rPr>
        <w:t>. Springer.</w:t>
      </w:r>
    </w:p>
    <w:p w14:paraId="168AD17F"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Neto, E. C. P., Dadkhah, S., Ferreira, R., Zohourian, A., Lu, R., and Ghorbani, A. A. (2023). </w:t>
      </w:r>
      <w:r w:rsidRPr="00E35CA2">
        <w:rPr>
          <w:rFonts w:ascii="Calibri" w:hAnsi="Calibri" w:cs="Calibri"/>
        </w:rPr>
        <w:t xml:space="preserve">CICIoT2023: A real-time dataset and benchmark for large-scale attacks in IoT environment. </w:t>
      </w:r>
      <w:r w:rsidRPr="00E35CA2">
        <w:rPr>
          <w:rFonts w:ascii="Calibri" w:hAnsi="Calibri" w:cs="Calibri"/>
          <w:i/>
          <w:iCs/>
        </w:rPr>
        <w:t>Sensors, 23</w:t>
      </w:r>
      <w:r w:rsidRPr="00E35CA2">
        <w:rPr>
          <w:rFonts w:ascii="Calibri" w:hAnsi="Calibri" w:cs="Calibri"/>
        </w:rPr>
        <w:t>(13), Article 5941.</w:t>
      </w:r>
    </w:p>
    <w:p w14:paraId="6693C109"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Pendlebury, F., Pierazzi, F., Jordaney, R., Kinder, J., and Cavallaro, L. (2019). </w:t>
      </w:r>
      <w:r w:rsidRPr="00E35CA2">
        <w:rPr>
          <w:rFonts w:ascii="Calibri" w:hAnsi="Calibri" w:cs="Calibri"/>
        </w:rPr>
        <w:t xml:space="preserve">TESSERACT: Eliminating experimental bias in malware classification across space and time. In </w:t>
      </w:r>
      <w:r w:rsidRPr="00E35CA2">
        <w:rPr>
          <w:rFonts w:ascii="Calibri" w:hAnsi="Calibri" w:cs="Calibri"/>
          <w:i/>
          <w:iCs/>
        </w:rPr>
        <w:t>Proceedings of the 28th USENIX Security Symposium</w:t>
      </w:r>
      <w:r w:rsidRPr="00E35CA2">
        <w:rPr>
          <w:rFonts w:ascii="Calibri" w:hAnsi="Calibri" w:cs="Calibri"/>
        </w:rPr>
        <w:t xml:space="preserve"> (pp. 729 to 746).</w:t>
      </w:r>
    </w:p>
    <w:p w14:paraId="4D61768C"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Qamar, S., Anwar, Z., Rahman, M. A., Al-Shaer, E., and Chu, B. (2017). </w:t>
      </w:r>
      <w:r w:rsidRPr="00E35CA2">
        <w:rPr>
          <w:rFonts w:ascii="Calibri" w:hAnsi="Calibri" w:cs="Calibri"/>
        </w:rPr>
        <w:t xml:space="preserve">Data driven analytics for cyber threat intelligence and information sharing. </w:t>
      </w:r>
      <w:r w:rsidRPr="00E35CA2">
        <w:rPr>
          <w:rFonts w:ascii="Calibri" w:hAnsi="Calibri" w:cs="Calibri"/>
          <w:i/>
          <w:iCs/>
        </w:rPr>
        <w:t>Computers and Security, 67</w:t>
      </w:r>
      <w:r w:rsidRPr="00E35CA2">
        <w:rPr>
          <w:rFonts w:ascii="Calibri" w:hAnsi="Calibri" w:cs="Calibri"/>
        </w:rPr>
        <w:t>, 35 to 58.</w:t>
      </w:r>
    </w:p>
    <w:p w14:paraId="2F0DB180"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SANS Institute. (2025). </w:t>
      </w:r>
      <w:r w:rsidRPr="00E35CA2">
        <w:rPr>
          <w:rFonts w:ascii="Calibri" w:hAnsi="Calibri" w:cs="Calibri"/>
          <w:i/>
          <w:iCs/>
        </w:rPr>
        <w:t>SANS SOC survey 2025.</w:t>
      </w:r>
      <w:r w:rsidRPr="00E35CA2">
        <w:rPr>
          <w:rFonts w:ascii="Calibri" w:hAnsi="Calibri" w:cs="Calibri"/>
        </w:rPr>
        <w:t xml:space="preserve"> SANS Institute.</w:t>
      </w:r>
    </w:p>
    <w:p w14:paraId="3B5F50C5"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Schlette, D., Caselli, M., and Pernul, G. (2021). </w:t>
      </w:r>
      <w:r w:rsidRPr="00E35CA2">
        <w:rPr>
          <w:rFonts w:ascii="Calibri" w:hAnsi="Calibri" w:cs="Calibri"/>
        </w:rPr>
        <w:t xml:space="preserve">A comparative study on cyber threat intelligence: The security incident response perspective. </w:t>
      </w:r>
      <w:r w:rsidRPr="00E35CA2">
        <w:rPr>
          <w:rFonts w:ascii="Calibri" w:hAnsi="Calibri" w:cs="Calibri"/>
          <w:i/>
          <w:iCs/>
        </w:rPr>
        <w:t>IEEE Access, 9</w:t>
      </w:r>
      <w:r w:rsidRPr="00E35CA2">
        <w:rPr>
          <w:rFonts w:ascii="Calibri" w:hAnsi="Calibri" w:cs="Calibri"/>
        </w:rPr>
        <w:t>, 64250 to 64263.</w:t>
      </w:r>
    </w:p>
    <w:p w14:paraId="52AA642A"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Sharafaldin, I., Lashkari, A. H., and Ghorbani, A. A. (2018). </w:t>
      </w:r>
      <w:r w:rsidRPr="00E35CA2">
        <w:rPr>
          <w:rFonts w:ascii="Calibri" w:hAnsi="Calibri" w:cs="Calibri"/>
        </w:rPr>
        <w:t xml:space="preserve">Toward generating a new intrusion detection dataset and intrusion traffic characterization. In </w:t>
      </w:r>
      <w:r w:rsidRPr="00E35CA2">
        <w:rPr>
          <w:rFonts w:ascii="Calibri" w:hAnsi="Calibri" w:cs="Calibri"/>
          <w:i/>
          <w:iCs/>
        </w:rPr>
        <w:t>Proceedings of the 4th International Conference on Information Systems Security and Privacy</w:t>
      </w:r>
      <w:r w:rsidRPr="00E35CA2">
        <w:rPr>
          <w:rFonts w:ascii="Calibri" w:hAnsi="Calibri" w:cs="Calibri"/>
        </w:rPr>
        <w:t xml:space="preserve"> (pp. 108 to 116).</w:t>
      </w:r>
    </w:p>
    <w:p w14:paraId="6DD18DD9"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Strom, B. E., Applebaum, A., Miller, D. P., Nickels, K. C., Pennington, A. G., and Thomas, C. B. (2018). </w:t>
      </w:r>
      <w:r w:rsidRPr="00E35CA2">
        <w:rPr>
          <w:rFonts w:ascii="Calibri" w:hAnsi="Calibri" w:cs="Calibri"/>
          <w:i/>
          <w:iCs/>
        </w:rPr>
        <w:t>MITRE ATT&amp;CK: Design and philosophy.</w:t>
      </w:r>
      <w:r w:rsidRPr="00E35CA2">
        <w:rPr>
          <w:rFonts w:ascii="Calibri" w:hAnsi="Calibri" w:cs="Calibri"/>
        </w:rPr>
        <w:t xml:space="preserve"> MITRE Corporation.</w:t>
      </w:r>
    </w:p>
    <w:p w14:paraId="1B3BC1EF"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Tariq, S., Baruwal Chhetri, M., Nepal, S., and Paris, C. (2025). </w:t>
      </w:r>
      <w:r w:rsidRPr="00E35CA2">
        <w:rPr>
          <w:rFonts w:ascii="Calibri" w:hAnsi="Calibri" w:cs="Calibri"/>
        </w:rPr>
        <w:t xml:space="preserve">Alert fatigue in security operations centres: Research challenges and opportunities. </w:t>
      </w:r>
      <w:r w:rsidRPr="00E35CA2">
        <w:rPr>
          <w:rFonts w:ascii="Calibri" w:hAnsi="Calibri" w:cs="Calibri"/>
          <w:i/>
          <w:iCs/>
        </w:rPr>
        <w:t>ACM Computing Surveys, 57</w:t>
      </w:r>
      <w:r w:rsidRPr="00E35CA2">
        <w:rPr>
          <w:rFonts w:ascii="Calibri" w:hAnsi="Calibri" w:cs="Calibri"/>
        </w:rPr>
        <w:t>(9), Article 224.</w:t>
      </w:r>
    </w:p>
    <w:p w14:paraId="5E8BAA4A"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van Ede, T., Aghakhani, H., Spahn, N., Bortolameotti, R., Cova, M., Continella, A., van Steen, M., Peter, A., Kruegel, C., and Vigna, G. (2022). </w:t>
      </w:r>
      <w:r w:rsidRPr="00E35CA2">
        <w:rPr>
          <w:rFonts w:ascii="Calibri" w:hAnsi="Calibri" w:cs="Calibri"/>
        </w:rPr>
        <w:t xml:space="preserve">DEEPCASE: Semi supervised contextual analysis of security events. In </w:t>
      </w:r>
      <w:r w:rsidRPr="00E35CA2">
        <w:rPr>
          <w:rFonts w:ascii="Calibri" w:hAnsi="Calibri" w:cs="Calibri"/>
          <w:i/>
          <w:iCs/>
        </w:rPr>
        <w:t>Proceedings of the IEEE Symposium on Security and Privacy</w:t>
      </w:r>
      <w:r w:rsidRPr="00E35CA2">
        <w:rPr>
          <w:rFonts w:ascii="Calibri" w:hAnsi="Calibri" w:cs="Calibri"/>
        </w:rPr>
        <w:t xml:space="preserve"> (pp. 522 to 539).</w:t>
      </w:r>
    </w:p>
    <w:p w14:paraId="2F10C920" w14:textId="77777777" w:rsidR="00714128" w:rsidRPr="00E35CA2" w:rsidRDefault="00000000">
      <w:pPr>
        <w:spacing w:after="120" w:line="276" w:lineRule="auto"/>
        <w:ind w:left="480" w:hanging="480"/>
        <w:rPr>
          <w:rFonts w:ascii="Calibri" w:hAnsi="Calibri" w:cs="Calibri"/>
        </w:rPr>
      </w:pPr>
      <w:r w:rsidRPr="00E35CA2">
        <w:rPr>
          <w:rFonts w:ascii="Calibri" w:hAnsi="Calibri" w:cs="Calibri"/>
          <w:b/>
          <w:bCs/>
        </w:rPr>
        <w:t xml:space="preserve">Warnecke, A., Arp, D., Wressnegger, C., and Rieck, K. (2020). </w:t>
      </w:r>
      <w:r w:rsidRPr="00E35CA2">
        <w:rPr>
          <w:rFonts w:ascii="Calibri" w:hAnsi="Calibri" w:cs="Calibri"/>
        </w:rPr>
        <w:t xml:space="preserve">Evaluating explanation methods for deep learning in security. In </w:t>
      </w:r>
      <w:r w:rsidRPr="00E35CA2">
        <w:rPr>
          <w:rFonts w:ascii="Calibri" w:hAnsi="Calibri" w:cs="Calibri"/>
          <w:i/>
          <w:iCs/>
        </w:rPr>
        <w:t>Proceedings of the IEEE European Symposium on Security and Privacy</w:t>
      </w:r>
      <w:r w:rsidRPr="00E35CA2">
        <w:rPr>
          <w:rFonts w:ascii="Calibri" w:hAnsi="Calibri" w:cs="Calibri"/>
        </w:rPr>
        <w:t xml:space="preserve"> (pp. 158 to 174).</w:t>
      </w:r>
    </w:p>
    <w:sectPr w:rsidR="00714128" w:rsidRPr="00E35CA2" w:rsidSect="00E35CA2">
      <w:footerReference w:type="default" r:id="rId7"/>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C221CE" w14:textId="77777777" w:rsidR="00F33C69" w:rsidRDefault="00F33C69">
      <w:r>
        <w:separator/>
      </w:r>
    </w:p>
  </w:endnote>
  <w:endnote w:type="continuationSeparator" w:id="0">
    <w:p w14:paraId="3E0AD793" w14:textId="77777777" w:rsidR="00F33C69" w:rsidRDefault="00F33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F3288E" w14:textId="3715F381" w:rsidR="00714128" w:rsidRPr="00E35CA2" w:rsidRDefault="00E35CA2" w:rsidP="00412911">
    <w:r>
      <w:rPr>
        <w:color w:val="888888"/>
        <w:sz w:val="18"/>
        <w:szCs w:val="18"/>
      </w:rPr>
      <w:t xml:space="preserve"> MSc Cyber Security Dissertation Proposal, Page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3DE40C" w14:textId="77777777" w:rsidR="00F33C69" w:rsidRDefault="00F33C69">
      <w:r>
        <w:separator/>
      </w:r>
    </w:p>
  </w:footnote>
  <w:footnote w:type="continuationSeparator" w:id="0">
    <w:p w14:paraId="0CB4AB2D" w14:textId="77777777" w:rsidR="00F33C69" w:rsidRDefault="00F33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371EDE"/>
    <w:multiLevelType w:val="hybridMultilevel"/>
    <w:tmpl w:val="D160F1E2"/>
    <w:lvl w:ilvl="0" w:tplc="E9B8ED3A">
      <w:start w:val="1"/>
      <w:numFmt w:val="bullet"/>
      <w:lvlText w:val="●"/>
      <w:lvlJc w:val="left"/>
      <w:pPr>
        <w:ind w:left="720" w:hanging="360"/>
      </w:pPr>
    </w:lvl>
    <w:lvl w:ilvl="1" w:tplc="64C4442C">
      <w:start w:val="1"/>
      <w:numFmt w:val="bullet"/>
      <w:lvlText w:val="○"/>
      <w:lvlJc w:val="left"/>
      <w:pPr>
        <w:ind w:left="1440" w:hanging="360"/>
      </w:pPr>
    </w:lvl>
    <w:lvl w:ilvl="2" w:tplc="C7606A6C">
      <w:start w:val="1"/>
      <w:numFmt w:val="bullet"/>
      <w:lvlText w:val="■"/>
      <w:lvlJc w:val="left"/>
      <w:pPr>
        <w:ind w:left="2160" w:hanging="360"/>
      </w:pPr>
    </w:lvl>
    <w:lvl w:ilvl="3" w:tplc="3C90C002">
      <w:start w:val="1"/>
      <w:numFmt w:val="bullet"/>
      <w:lvlText w:val="●"/>
      <w:lvlJc w:val="left"/>
      <w:pPr>
        <w:ind w:left="2880" w:hanging="360"/>
      </w:pPr>
    </w:lvl>
    <w:lvl w:ilvl="4" w:tplc="89587DBA">
      <w:start w:val="1"/>
      <w:numFmt w:val="bullet"/>
      <w:lvlText w:val="○"/>
      <w:lvlJc w:val="left"/>
      <w:pPr>
        <w:ind w:left="3600" w:hanging="360"/>
      </w:pPr>
    </w:lvl>
    <w:lvl w:ilvl="5" w:tplc="BBA2C8DA">
      <w:start w:val="1"/>
      <w:numFmt w:val="bullet"/>
      <w:lvlText w:val="■"/>
      <w:lvlJc w:val="left"/>
      <w:pPr>
        <w:ind w:left="4320" w:hanging="360"/>
      </w:pPr>
    </w:lvl>
    <w:lvl w:ilvl="6" w:tplc="E5DA831A">
      <w:start w:val="1"/>
      <w:numFmt w:val="bullet"/>
      <w:lvlText w:val="●"/>
      <w:lvlJc w:val="left"/>
      <w:pPr>
        <w:ind w:left="5040" w:hanging="360"/>
      </w:pPr>
    </w:lvl>
    <w:lvl w:ilvl="7" w:tplc="DF52F2DA">
      <w:start w:val="1"/>
      <w:numFmt w:val="bullet"/>
      <w:lvlText w:val="●"/>
      <w:lvlJc w:val="left"/>
      <w:pPr>
        <w:ind w:left="5760" w:hanging="360"/>
      </w:pPr>
    </w:lvl>
    <w:lvl w:ilvl="8" w:tplc="37DA0706">
      <w:start w:val="1"/>
      <w:numFmt w:val="bullet"/>
      <w:lvlText w:val="●"/>
      <w:lvlJc w:val="left"/>
      <w:pPr>
        <w:ind w:left="6480" w:hanging="360"/>
      </w:pPr>
    </w:lvl>
  </w:abstractNum>
  <w:num w:numId="1" w16cid:durableId="20551553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writeProtection w:recommended="1"/>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128"/>
    <w:rsid w:val="00067E89"/>
    <w:rsid w:val="00412911"/>
    <w:rsid w:val="00497A2F"/>
    <w:rsid w:val="00581A64"/>
    <w:rsid w:val="00714128"/>
    <w:rsid w:val="008C651E"/>
    <w:rsid w:val="009E1B81"/>
    <w:rsid w:val="00A92396"/>
    <w:rsid w:val="00E35CA2"/>
    <w:rsid w:val="00E86635"/>
    <w:rsid w:val="00F33C69"/>
    <w:rsid w:val="00F85C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20A5AD"/>
  <w15:docId w15:val="{7610B7CC-F29F-1643-BE90-9B6477C1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1F4E79"/>
      <w:sz w:val="29"/>
      <w:szCs w:val="29"/>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5CA2"/>
    <w:pPr>
      <w:tabs>
        <w:tab w:val="center" w:pos="4513"/>
        <w:tab w:val="right" w:pos="9026"/>
      </w:tabs>
    </w:pPr>
  </w:style>
  <w:style w:type="character" w:customStyle="1" w:styleId="HeaderChar">
    <w:name w:val="Header Char"/>
    <w:basedOn w:val="DefaultParagraphFont"/>
    <w:link w:val="Header"/>
    <w:uiPriority w:val="99"/>
    <w:rsid w:val="00E35CA2"/>
  </w:style>
  <w:style w:type="paragraph" w:styleId="Footer">
    <w:name w:val="footer"/>
    <w:basedOn w:val="Normal"/>
    <w:link w:val="FooterChar"/>
    <w:uiPriority w:val="99"/>
    <w:unhideWhenUsed/>
    <w:rsid w:val="00E35CA2"/>
    <w:pPr>
      <w:tabs>
        <w:tab w:val="center" w:pos="4513"/>
        <w:tab w:val="right" w:pos="9026"/>
      </w:tabs>
    </w:pPr>
  </w:style>
  <w:style w:type="character" w:customStyle="1" w:styleId="FooterChar">
    <w:name w:val="Footer Char"/>
    <w:basedOn w:val="DefaultParagraphFont"/>
    <w:link w:val="Footer"/>
    <w:uiPriority w:val="99"/>
    <w:rsid w:val="00E35CA2"/>
  </w:style>
  <w:style w:type="table" w:styleId="PlainTable3">
    <w:name w:val="Plain Table 3"/>
    <w:basedOn w:val="TableNormal"/>
    <w:uiPriority w:val="43"/>
    <w:rsid w:val="00E35CA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2929</Words>
  <Characters>16696</Characters>
  <Application>Microsoft Office Word</Application>
  <DocSecurity>2</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Harris Shah</cp:lastModifiedBy>
  <cp:revision>6</cp:revision>
  <dcterms:created xsi:type="dcterms:W3CDTF">2026-06-17T18:13:00Z</dcterms:created>
  <dcterms:modified xsi:type="dcterms:W3CDTF">2026-07-08T17:58:00Z</dcterms:modified>
</cp:coreProperties>
</file>