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32"/>
          <w:szCs w:val="32"/>
        </w:rPr>
        <w:t xml:space="preserve">Sampling and Split Protocol — GUIDE Dataset</w:t>
      </w:r>
    </w:p>
    <w:p>
      <w:pPr>
        <w:spacing w:after="60" w:before="60"/>
      </w:pPr>
      <w:r>
        <w:rPr>
          <w:rFonts w:ascii="Arial" w:cs="Arial" w:eastAsia="Arial" w:hAnsi="Arial"/>
          <w:b w:val="false"/>
          <w:bCs w:val="false"/>
          <w:i/>
          <w:iCs/>
          <w:sz w:val="22"/>
          <w:szCs w:val="22"/>
        </w:rPr>
        <w:t>For the dissertation: Evaluating Cyber Threat Intelligence Enrichment for Reducing False Positives in Machine Learning Alert Triage. Haris Abuzaid. Version 1.1, 28 July 2026 (Condition 3 cutoff revised - see Section 3).</w:t>
      </w:r>
    </w:p>
    <w:p>
      <w:pPr>
        <w:spacing w:after="60" w:before="60"/>
      </w:pPr>
      <w:r>
        <w:rPr>
          <w:rFonts w:ascii="Arial" w:cs="Arial" w:eastAsia="Arial" w:hAnsi="Arial"/>
          <w:b w:val="false"/>
          <w:bCs w:val="false"/>
          <w:i/>
          <w:iCs/>
          <w:sz w:val="22"/>
          <w:szCs w:val="22"/>
        </w:rPr>
        <w:t xml:space="preserve">This protocol is fixed before any model is trained, follows Arp et al. (2022, P1/P3/P7) and Pendlebury et al. (2019) on sampling and temporal bias, and is reported in the methodology chapter. Any later deviation is recorded in the decisions log with its reason.</w:t>
      </w:r>
    </w:p>
    <w:p>
      <w:pPr>
        <w:pStyle w:val="Heading1"/>
        <w:spacing w:after="120" w:before="260"/>
      </w:pPr>
      <w:r>
        <w:rPr>
          <w:rFonts w:ascii="Arial" w:cs="Arial" w:eastAsia="Arial" w:hAnsi="Arial"/>
          <w:b/>
          <w:bCs/>
          <w:color w:val="1F4E79"/>
          <w:sz w:val="28"/>
          <w:szCs w:val="28"/>
        </w:rPr>
        <w:t xml:space="preserve">1. Source data</w:t>
      </w:r>
    </w:p>
    <w:p>
      <w:pPr>
        <w:spacing w:after="60" w:before="60"/>
      </w:pPr>
      <w:r>
        <w:rPr>
          <w:rFonts w:ascii="Arial" w:cs="Arial" w:eastAsia="Arial" w:hAnsi="Arial"/>
          <w:b w:val="false"/>
          <w:bCs w:val="false"/>
          <w:i w:val="false"/>
          <w:iCs w:val="false"/>
          <w:sz w:val="22"/>
          <w:szCs w:val="22"/>
        </w:rPr>
        <w:t xml:space="preserve">Microsoft GUIDE, Version 2, downloaded from Kaggle as the official zip on 18 July 2026 (CDLA-2.0). Verified contents: GUIDE_Train.csv - 9,516,837 evidence rows, 1,265,644 alerts, 730,778 incidents, 5,769 organisations; GUIDE_Test.csv - 4,147,992 evidence rows, 637,320 alerts, 303,220 incidents, 4,400 organisations; timestamps 20 November 2023 to 17 June 2024. GUIDE_Test_Queue_Rankings.csv is out of scope. Raw files are kept read-only; all derived tables are produced by script.</w:t>
      </w:r>
    </w:p>
    <w:p>
      <w:pPr>
        <w:pStyle w:val="Heading1"/>
        <w:spacing w:after="120" w:before="260"/>
      </w:pPr>
      <w:r>
        <w:rPr>
          <w:rFonts w:ascii="Arial" w:cs="Arial" w:eastAsia="Arial" w:hAnsi="Arial"/>
          <w:b/>
          <w:bCs/>
          <w:color w:val="1F4E79"/>
          <w:sz w:val="28"/>
          <w:szCs w:val="28"/>
        </w:rPr>
        <w:t xml:space="preserve">2. Modelling unit and label</w:t>
      </w:r>
    </w:p>
    <w:p>
      <w:pPr>
        <w:spacing w:after="60" w:before="60"/>
      </w:pPr>
      <w:r>
        <w:rPr>
          <w:rFonts w:ascii="Arial" w:cs="Arial" w:eastAsia="Arial" w:hAnsi="Arial"/>
          <w:b w:val="false"/>
          <w:bCs w:val="false"/>
          <w:i w:val="false"/>
          <w:iCs w:val="false"/>
          <w:sz w:val="22"/>
          <w:szCs w:val="22"/>
        </w:rPr>
        <w:t xml:space="preserve">Unit: the incident (OrgId, IncidentId pair), mirroring the aggregation used by the Freitas et al. (2025) baseline. Evidence rows are aggregated to alert level, alert rows to incident level; the feature construction is specified in the Feature Set Design document.</w:t>
      </w:r>
    </w:p>
    <w:p>
      <w:pPr>
        <w:spacing w:after="60" w:before="60"/>
      </w:pPr>
      <w:r>
        <w:rPr>
          <w:rFonts w:ascii="Arial" w:cs="Arial" w:eastAsia="Arial" w:hAnsi="Arial"/>
          <w:b w:val="false"/>
          <w:bCs w:val="false"/>
          <w:i w:val="false"/>
          <w:iCs w:val="false"/>
          <w:sz w:val="22"/>
          <w:szCs w:val="22"/>
        </w:rPr>
        <w:t xml:space="preserve">Label: IncidentGrade. Primary task is binary - TruePositive ('needs investigation') versus BenignPositive plus FalsePositive ('can be safely deprioritised') - with the three-class task reported as a secondary comparison (supervisor approval, 17 July 2026). Incidents with a missing grade are excluded and counted (train: 23,670 incidents, 3.2%). Test-set grades are complete.</w:t>
      </w:r>
    </w:p>
    <w:p>
      <w:pPr>
        <w:spacing w:after="60" w:before="60"/>
      </w:pPr>
      <w:r>
        <w:rPr>
          <w:rFonts w:ascii="Arial" w:cs="Arial" w:eastAsia="Arial" w:hAnsi="Arial"/>
          <w:b w:val="false"/>
          <w:bCs w:val="false"/>
          <w:i w:val="false"/>
          <w:iCs w:val="false"/>
          <w:sz w:val="22"/>
          <w:szCs w:val="22"/>
        </w:rPr>
        <w:t xml:space="preserve">Class proportions are preserved everywhere; no oversampling or undersampling of evaluation data (spatial-bias rule). Class imbalance is handled in the learner via class weights, with SMOTE considered only as a compared alternative inside training folds (see decisions log).</w:t>
      </w:r>
    </w:p>
    <w:p>
      <w:pPr>
        <w:pStyle w:val="Heading1"/>
        <w:spacing w:after="120" w:before="260"/>
      </w:pPr>
      <w:r>
        <w:rPr>
          <w:rFonts w:ascii="Arial" w:cs="Arial" w:eastAsia="Arial" w:hAnsi="Arial"/>
          <w:b/>
          <w:bCs/>
          <w:color w:val="1F4E79"/>
          <w:sz w:val="28"/>
          <w:szCs w:val="28"/>
        </w:rPr>
        <w:t xml:space="preserve">3. Evaluation conditions and splits</w:t>
      </w:r>
    </w:p>
    <w:p>
      <w:pPr>
        <w:spacing w:after="60" w:before="60"/>
      </w:pPr>
      <w:r>
        <w:rPr>
          <w:rFonts w:ascii="Arial" w:cs="Arial" w:eastAsia="Arial" w:hAnsi="Arial"/>
          <w:b w:val="false"/>
          <w:bCs w:val="false"/>
          <w:i w:val="false"/>
          <w:iCs w:val="false"/>
          <w:sz w:val="22"/>
          <w:szCs w:val="22"/>
        </w:rPr>
        <w:t xml:space="preserve">Condition 1 - Standard (provided split). Train on a sample of GUIDE_Train incidents; evaluate on a sample of GUIDE_Test incidents. This mirrors the official benchmark and keeps results comparable with Freitas et al. (2025). Note (verified 28 July): the provided split is not organisation-disjoint - 4,054 of 4,400 test organisations also appear in training - so this condition measures standard performance, not generalisation.</w:t>
      </w:r>
    </w:p>
    <w:p>
      <w:pPr>
        <w:spacing w:after="60" w:before="60"/>
      </w:pPr>
      <w:r>
        <w:rPr>
          <w:rFonts w:ascii="Arial" w:cs="Arial" w:eastAsia="Arial" w:hAnsi="Arial"/>
          <w:b w:val="false"/>
          <w:bCs w:val="false"/>
          <w:i w:val="false"/>
          <w:iCs w:val="false"/>
          <w:sz w:val="22"/>
          <w:szCs w:val="22"/>
        </w:rPr>
        <w:t xml:space="preserve">Condition 2 - Cross-organisation (purpose-built). From GUIDE_Train, a seeded random 20% of organisations are held out entirely; models train on incidents from the remaining 80% and are evaluated on incidents from held-out organisations only. No organisation appears on both sides. As a supplementary check, performance is also reported on the 346 naturally unseen organisations in GUIDE_Test.</w:t>
      </w:r>
    </w:p>
    <w:p>
      <w:pPr>
        <w:spacing w:after="60" w:before="60"/>
      </w:pPr>
      <w:r>
        <w:rPr>
          <w:rFonts w:ascii="Arial" w:hAnsi="Arial"/>
          <w:sz w:val="22"/>
        </w:rPr>
        <w:t>Condition 3 - Across-time (revised in v1.1). Verification showed about 95% of GUIDE incidents fall between 3 and 17 June 2024, with only a thin tail back to November 2023, so a months-long temporal split is not possible. The revised split trains on incidents whose earliest alert precedes 10 June 2024 (~365k incidents including the tail) and evaluates on incidents from 10 June onwards (~342k). No future information enters training, but the horizon is roughly one week; this is reported as a short-horizon temporal check, not a long-term drift study - an honest limitation of the dataset recorded in the decisions log (28 July).</w:t>
      </w:r>
    </w:p>
    <w:p>
      <w:pPr>
        <w:spacing w:after="60" w:before="60"/>
      </w:pPr>
      <w:r>
        <w:rPr>
          <w:rFonts w:ascii="Arial" w:cs="Arial" w:eastAsia="Arial" w:hAnsi="Arial"/>
          <w:b w:val="false"/>
          <w:bCs w:val="false"/>
          <w:i w:val="false"/>
          <w:iCs w:val="false"/>
          <w:sz w:val="22"/>
          <w:szCs w:val="22"/>
        </w:rPr>
        <w:t xml:space="preserve">In every condition the identical sampled training budget and the identical feature pipelines are used for feature sets A and B, so differences are attributable to the threat intelligence context.</w:t>
      </w:r>
    </w:p>
    <w:p>
      <w:pPr>
        <w:pStyle w:val="Heading1"/>
        <w:spacing w:after="120" w:before="260"/>
      </w:pPr>
      <w:r>
        <w:rPr>
          <w:rFonts w:ascii="Arial" w:cs="Arial" w:eastAsia="Arial" w:hAnsi="Arial"/>
          <w:b/>
          <w:bCs/>
          <w:color w:val="1F4E79"/>
          <w:sz w:val="28"/>
          <w:szCs w:val="28"/>
        </w:rPr>
        <w:t xml:space="preserve">4. Sampling procedure</w:t>
      </w:r>
    </w:p>
    <w:p>
      <w:pPr>
        <w:spacing w:after="60" w:before="60"/>
      </w:pPr>
      <w:r>
        <w:rPr>
          <w:rFonts w:ascii="Arial" w:cs="Arial" w:eastAsia="Arial" w:hAnsi="Arial"/>
          <w:b w:val="false"/>
          <w:bCs w:val="false"/>
          <w:i w:val="false"/>
          <w:iCs w:val="false"/>
          <w:sz w:val="22"/>
          <w:szCs w:val="22"/>
        </w:rPr>
        <w:t xml:space="preserve">Random seed 42 for every sampling operation, fixed in the scripts. Sampling is at incident level - an incident is drawn with all its alerts and evidence rows, so no incident is ever split across train and test.</w:t>
      </w:r>
    </w:p>
    <w:p>
      <w:pPr>
        <w:spacing w:after="60" w:before="60"/>
      </w:pPr>
      <w:r>
        <w:rPr>
          <w:rFonts w:ascii="Arial" w:cs="Arial" w:eastAsia="Arial" w:hAnsi="Arial"/>
          <w:b w:val="false"/>
          <w:bCs w:val="false"/>
          <w:i w:val="false"/>
          <w:iCs w:val="false"/>
          <w:sz w:val="22"/>
          <w:szCs w:val="22"/>
        </w:rPr>
        <w:t xml:space="preserve">Initial budgets, chosen for the 16 GB working environment and revisited only if a pilot shows Orange cannot handle them (any change recorded): training sample 100,000 incidents; evaluation samples 50,000 incidents per condition. Samples are stratified by IncidentGrade and incident Category so that grade and category proportions match the parent population; per-organisation contribution is capped at 5% of a sample to prevent single large tenants dominating (documented sensitivity check: results with and without the cap on the standard condition).</w:t>
      </w:r>
    </w:p>
    <w:p>
      <w:pPr>
        <w:spacing w:after="60" w:before="60"/>
      </w:pPr>
      <w:r>
        <w:rPr>
          <w:rFonts w:ascii="Arial" w:cs="Arial" w:eastAsia="Arial" w:hAnsi="Arial"/>
          <w:b w:val="false"/>
          <w:bCs w:val="false"/>
          <w:i w:val="false"/>
          <w:iCs w:val="false"/>
          <w:sz w:val="22"/>
          <w:szCs w:val="22"/>
        </w:rPr>
        <w:t xml:space="preserve">Each generated table is saved with a manifest recording: source file, filter steps with row counts at each step, seed, resulting class and category proportions, and a content hash - sufficient to regenerate or audit any sample.</w:t>
      </w:r>
    </w:p>
    <w:p>
      <w:pPr>
        <w:pStyle w:val="Heading1"/>
        <w:spacing w:after="120" w:before="260"/>
      </w:pPr>
      <w:r>
        <w:rPr>
          <w:rFonts w:ascii="Arial" w:cs="Arial" w:eastAsia="Arial" w:hAnsi="Arial"/>
          <w:b/>
          <w:bCs/>
          <w:color w:val="1F4E79"/>
          <w:sz w:val="28"/>
          <w:szCs w:val="28"/>
        </w:rPr>
        <w:t xml:space="preserve">5. Leakage controls</w:t>
      </w:r>
    </w:p>
    <w:p>
      <w:pPr>
        <w:spacing w:after="60" w:before="60"/>
      </w:pPr>
      <w:r>
        <w:rPr>
          <w:rFonts w:ascii="Arial" w:cs="Arial" w:eastAsia="Arial" w:hAnsi="Arial"/>
          <w:b w:val="false"/>
          <w:bCs w:val="false"/>
          <w:i w:val="false"/>
          <w:iCs w:val="false"/>
          <w:sz w:val="22"/>
          <w:szCs w:val="22"/>
        </w:rPr>
        <w:t xml:space="preserve">(1) Incident-level sampling and splitting - never alert- or evidence-level. (2) All preprocessing statistics (encodings, aggregation vocabularies, imputation values) are fitted on training data only and applied to evaluation data. (3) Feature set B's threat intelligence context is derived exclusively from the MitreTechniques field (available at alert time) joined to OpenCTI knowledge - never from IncidentGrade, analyst actions (ActionGrouped/ActionGranular are excluded from features), or any post-triage field. (4) Hyperparameters tuned by cross-validation within training data only. (5) The test samples for each condition are generated once and not examined until final evaluation.</w:t>
      </w:r>
    </w:p>
    <w:p>
      <w:pPr>
        <w:pStyle w:val="Heading1"/>
        <w:spacing w:after="120" w:before="260"/>
      </w:pPr>
      <w:r>
        <w:rPr>
          <w:rFonts w:ascii="Arial" w:cs="Arial" w:eastAsia="Arial" w:hAnsi="Arial"/>
          <w:b/>
          <w:bCs/>
          <w:color w:val="1F4E79"/>
          <w:sz w:val="28"/>
          <w:szCs w:val="28"/>
        </w:rPr>
        <w:t xml:space="preserve">6. Reporting</w:t>
      </w:r>
    </w:p>
    <w:p>
      <w:pPr>
        <w:spacing w:after="60" w:before="60"/>
      </w:pPr>
      <w:r>
        <w:rPr>
          <w:rFonts w:ascii="Arial" w:cs="Arial" w:eastAsia="Arial" w:hAnsi="Arial"/>
          <w:b w:val="false"/>
          <w:bCs w:val="false"/>
          <w:i w:val="false"/>
          <w:iCs w:val="false"/>
          <w:sz w:val="22"/>
          <w:szCs w:val="22"/>
        </w:rPr>
        <w:t xml:space="preserve">For every condition and both feature sets: precision, recall, F1 and false positive rate on the binary task (TruePositive as the positive class), with per-class results for the three-class secondary task; efficiency measurements per RQ3 (enrichment, training and per-incident scoring time); and the explainability analysis per RQ4 with top-feature stability across repeated runs. Statistical comparison of A versus B uses McNemar's test on paired predictions, with the test named and justified in the methodology chapter before results are inspected.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2026-07-28T15:44:00.132Z</dcterms:created>
  <dcterms:modified xsi:type="dcterms:W3CDTF">2026-07-28T15:44:00.137Z</dcterms:modified>
</cp:coreProperties>
</file>

<file path=docProps/custom.xml><?xml version="1.0" encoding="utf-8"?>
<Properties xmlns="http://schemas.openxmlformats.org/officeDocument/2006/custom-properties" xmlns:vt="http://schemas.openxmlformats.org/officeDocument/2006/docPropsVTypes"/>
</file>