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32"/>
          <w:szCs w:val="32"/>
        </w:rPr>
        <w:t xml:space="preserve">Dataset Selection and Justification — Version 2</w:t>
      </w:r>
    </w:p>
    <w:p>
      <w:pPr>
        <w:spacing w:after="60" w:before="60"/>
      </w:pPr>
      <w:r>
        <w:rPr>
          <w:rFonts w:ascii="Arial" w:cs="Arial" w:eastAsia="Arial" w:hAnsi="Arial"/>
          <w:b w:val="false"/>
          <w:bCs w:val="false"/>
          <w:i/>
          <w:iCs/>
          <w:sz w:val="22"/>
          <w:szCs w:val="22"/>
        </w:rPr>
        <w:t xml:space="preserve">For the dissertation: Evaluating Cyber Threat Intelligence Enrichment for Reducing False Positives in Machine Learning Alert Triage. Haris Abuzaid.</w:t>
      </w:r>
    </w:p>
    <w:p>
      <w:pPr>
        <w:spacing w:after="60" w:before="60"/>
      </w:pPr>
      <w:r>
        <w:rPr>
          <w:rFonts w:ascii="Arial" w:cs="Arial" w:eastAsia="Arial" w:hAnsi="Arial"/>
          <w:b w:val="false"/>
          <w:bCs w:val="false"/>
          <w:i/>
          <w:iCs/>
          <w:sz w:val="22"/>
          <w:szCs w:val="22"/>
        </w:rPr>
        <w:t xml:space="preserve">Version 2, 15 July 2026. Supersedes Version 1, which selected the CIC-IDS-2017/2018 pair. The dataset decision was revisited and changed with supervisor agreement (email exchange with Dr John Haggerty, 13–14 July 2026).</w:t>
      </w:r>
    </w:p>
    <w:p>
      <w:pPr>
        <w:pStyle w:val="Heading1"/>
        <w:spacing w:after="120" w:before="280"/>
      </w:pPr>
      <w:r>
        <w:rPr>
          <w:rFonts w:ascii="Arial" w:cs="Arial" w:eastAsia="Arial" w:hAnsi="Arial"/>
          <w:b/>
          <w:bCs/>
          <w:color w:val="1F4E79"/>
          <w:sz w:val="28"/>
          <w:szCs w:val="28"/>
        </w:rPr>
        <w:t xml:space="preserve">1. Why the decision was revisited</w:t>
      </w:r>
    </w:p>
    <w:p>
      <w:pPr>
        <w:spacing w:after="60" w:before="60"/>
      </w:pPr>
      <w:r>
        <w:rPr>
          <w:rFonts w:ascii="Arial" w:cs="Arial" w:eastAsia="Arial" w:hAnsi="Arial"/>
          <w:b w:val="false"/>
          <w:bCs w:val="false"/>
          <w:i w:val="false"/>
          <w:iCs w:val="false"/>
          <w:sz w:val="22"/>
          <w:szCs w:val="22"/>
        </w:rPr>
        <w:t xml:space="preserve">Version 1 selected the CIC-IDS-2017/2018 pair as the strongest of the commonly used intrusion detection datasets. On closer examination, those datasets have a structural mismatch with the research question: they label network flows by attack type, whereas this study asks whether enrichment reduces false positives in alert triage. A flow labelled “DoS” says nothing about whether an analyst would grade the resulting alert a true or false positive; treating attack labels as triage labels is a proxy, and it is exactly the kind of quiet substitution that weakens security studies (Arp et al., 2022). The supervisor had also identified the dataset as the biggest challenge in the project. A wider search was therefore carried out across three groups: network flow datasets, real analyst-graded incident data, and academic alert data. Two candidates fitted the question directly — the Microsoft GUIDE dataset and the AIT Alert Data Set — and both were put to the supervisor with a structured comparison.</w:t>
      </w:r>
    </w:p>
    <w:p>
      <w:pPr>
        <w:pStyle w:val="Heading1"/>
        <w:spacing w:after="120" w:before="280"/>
      </w:pPr>
      <w:r>
        <w:rPr>
          <w:rFonts w:ascii="Arial" w:cs="Arial" w:eastAsia="Arial" w:hAnsi="Arial"/>
          <w:b/>
          <w:bCs/>
          <w:color w:val="1F4E79"/>
          <w:sz w:val="28"/>
          <w:szCs w:val="28"/>
        </w:rPr>
        <w:t xml:space="preserve">2. Selection criteria</w:t>
      </w:r>
    </w:p>
    <w:p>
      <w:pPr>
        <w:spacing w:after="60" w:before="60"/>
      </w:pPr>
      <w:r>
        <w:rPr>
          <w:rFonts w:ascii="Arial" w:cs="Arial" w:eastAsia="Arial" w:hAnsi="Arial"/>
          <w:b w:val="false"/>
          <w:bCs w:val="false"/>
          <w:i w:val="false"/>
          <w:iCs w:val="false"/>
          <w:sz w:val="22"/>
          <w:szCs w:val="22"/>
        </w:rPr>
        <w:t xml:space="preserve">The criteria follow from the aims of the study, in order of importance: (1) ground-truth triage labels — each record graded as a true or false positive by an analyst, because this is the variable the study predicts; (2) realism — alerts from real detection systems rather than laboratory traffic; (3) ATT&amp;CK mappability — enough structure to attach threat intelligence context from OpenCTI; (4) support for a generalisation test — a natural way to train on one population and test on another; (5) a body of prior work — published baselines to reproduce before adding enrichment; (6) availability and licence; and (7) manageable size on the available hardware.</w:t>
      </w:r>
    </w:p>
    <w:p>
      <w:pPr>
        <w:pStyle w:val="Heading1"/>
        <w:spacing w:after="120" w:before="280"/>
      </w:pPr>
      <w:r>
        <w:rPr>
          <w:rFonts w:ascii="Arial" w:cs="Arial" w:eastAsia="Arial" w:hAnsi="Arial"/>
          <w:b/>
          <w:bCs/>
          <w:color w:val="1F4E79"/>
          <w:sz w:val="28"/>
          <w:szCs w:val="28"/>
        </w:rPr>
        <w:t xml:space="preserve">3. Candidates evaluated</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500"/>
        <w:gridCol w:w="700"/>
        <w:gridCol w:w="3600"/>
        <w:gridCol w:w="3560"/>
      </w:tblGrid>
      <w:tr>
        <w:tc>
          <w:tcPr>
            <w:tcW w:type="dxa" w:w="1500"/>
            <w:shd w:fill="1F4E79" w:val="clear"/>
            <w:tcMar>
              <w:top w:type="dxa" w:w="60"/>
              <w:left w:type="dxa" w:w="100"/>
              <w:bottom w:type="dxa" w:w="60"/>
              <w:right w:type="dxa" w:w="100"/>
            </w:tcMar>
          </w:tcPr>
          <w:p>
            <w:r>
              <w:rPr>
                <w:rFonts w:ascii="Arial" w:cs="Arial" w:eastAsia="Arial" w:hAnsi="Arial"/>
                <w:b/>
                <w:bCs/>
                <w:color w:val="FFFFFF"/>
                <w:sz w:val="20"/>
                <w:szCs w:val="20"/>
              </w:rPr>
              <w:t xml:space="preserve">Dataset</w:t>
            </w:r>
          </w:p>
        </w:tc>
        <w:tc>
          <w:tcPr>
            <w:tcW w:type="dxa" w:w="700"/>
            <w:shd w:fill="1F4E79"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3600"/>
            <w:shd w:fill="1F4E79" w:val="clear"/>
            <w:tcMar>
              <w:top w:type="dxa" w:w="60"/>
              <w:left w:type="dxa" w:w="100"/>
              <w:bottom w:type="dxa" w:w="60"/>
              <w:right w:type="dxa" w:w="100"/>
            </w:tcMar>
          </w:tcPr>
          <w:p>
            <w:r>
              <w:rPr>
                <w:rFonts w:ascii="Arial" w:cs="Arial" w:eastAsia="Arial" w:hAnsi="Arial"/>
                <w:b/>
                <w:bCs/>
                <w:color w:val="FFFFFF"/>
                <w:sz w:val="20"/>
                <w:szCs w:val="20"/>
              </w:rPr>
              <w:t xml:space="preserve">Strengths</w:t>
            </w:r>
          </w:p>
        </w:tc>
        <w:tc>
          <w:tcPr>
            <w:tcW w:type="dxa" w:w="3560"/>
            <w:shd w:fill="1F4E79" w:val="clear"/>
            <w:tcMar>
              <w:top w:type="dxa" w:w="60"/>
              <w:left w:type="dxa" w:w="100"/>
              <w:bottom w:type="dxa" w:w="60"/>
              <w:right w:type="dxa" w:w="100"/>
            </w:tcMar>
          </w:tcPr>
          <w:p>
            <w:r>
              <w:rPr>
                <w:rFonts w:ascii="Arial" w:cs="Arial" w:eastAsia="Arial" w:hAnsi="Arial"/>
                <w:b/>
                <w:bCs/>
                <w:color w:val="FFFFFF"/>
                <w:sz w:val="20"/>
                <w:szCs w:val="20"/>
              </w:rPr>
              <w:t xml:space="preserve">Limitations</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CIC-IDS-2017 / CSE-CIC-IDS2018</w:t>
            </w:r>
          </w:p>
        </w:tc>
        <w:tc>
          <w:tcPr>
            <w:tcW w:type="dxa" w:w="700"/>
            <w:tcMar>
              <w:top w:type="dxa" w:w="60"/>
              <w:left w:type="dxa" w:w="100"/>
              <w:bottom w:type="dxa" w:w="60"/>
              <w:right w:type="dxa" w:w="100"/>
            </w:tcMar>
          </w:tcPr>
          <w:p>
            <w:r>
              <w:rPr>
                <w:rFonts w:ascii="Arial" w:cs="Arial" w:eastAsia="Arial" w:hAnsi="Arial"/>
                <w:b w:val="false"/>
                <w:bCs w:val="false"/>
                <w:sz w:val="20"/>
                <w:szCs w:val="20"/>
              </w:rPr>
              <w:t xml:space="preserve">2017/18</w:t>
            </w:r>
          </w:p>
        </w:tc>
        <w:tc>
          <w:tcPr>
            <w:tcW w:type="dxa" w:w="3600"/>
            <w:tcMar>
              <w:top w:type="dxa" w:w="60"/>
              <w:left w:type="dxa" w:w="100"/>
              <w:bottom w:type="dxa" w:w="60"/>
              <w:right w:type="dxa" w:w="100"/>
            </w:tcMar>
          </w:tcPr>
          <w:p>
            <w:r>
              <w:rPr>
                <w:rFonts w:ascii="Arial" w:cs="Arial" w:eastAsia="Arial" w:hAnsi="Arial"/>
                <w:b w:val="false"/>
                <w:bCs w:val="false"/>
                <w:sz w:val="20"/>
                <w:szCs w:val="20"/>
              </w:rPr>
              <w:t xml:space="preserve">Widely used, rich flow features, paired sets enable cross-dataset test, corrected versions exist</w:t>
            </w:r>
          </w:p>
        </w:tc>
        <w:tc>
          <w:tcPr>
            <w:tcW w:type="dxa" w:w="3560"/>
            <w:tcMar>
              <w:top w:type="dxa" w:w="60"/>
              <w:left w:type="dxa" w:w="100"/>
              <w:bottom w:type="dxa" w:w="60"/>
              <w:right w:type="dxa" w:w="100"/>
            </w:tcMar>
          </w:tcPr>
          <w:p>
            <w:r>
              <w:rPr>
                <w:rFonts w:ascii="Arial" w:cs="Arial" w:eastAsia="Arial" w:hAnsi="Arial"/>
                <w:b w:val="false"/>
                <w:bCs w:val="false"/>
                <w:sz w:val="20"/>
                <w:szCs w:val="20"/>
              </w:rPr>
              <w:t xml:space="preserve">Labels flows by attack type, not true/false positive; laboratory traffic; known labelling errors</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UNSW-NB15</w:t>
            </w:r>
          </w:p>
        </w:tc>
        <w:tc>
          <w:tcPr>
            <w:tcW w:type="dxa" w:w="700"/>
            <w:tcMar>
              <w:top w:type="dxa" w:w="60"/>
              <w:left w:type="dxa" w:w="100"/>
              <w:bottom w:type="dxa" w:w="60"/>
              <w:right w:type="dxa" w:w="100"/>
            </w:tcMar>
          </w:tcPr>
          <w:p>
            <w:r>
              <w:rPr>
                <w:rFonts w:ascii="Arial" w:cs="Arial" w:eastAsia="Arial" w:hAnsi="Arial"/>
                <w:b w:val="false"/>
                <w:bCs w:val="false"/>
                <w:sz w:val="20"/>
                <w:szCs w:val="20"/>
              </w:rPr>
              <w:t xml:space="preserve">2015</w:t>
            </w:r>
          </w:p>
        </w:tc>
        <w:tc>
          <w:tcPr>
            <w:tcW w:type="dxa" w:w="3600"/>
            <w:tcMar>
              <w:top w:type="dxa" w:w="60"/>
              <w:left w:type="dxa" w:w="100"/>
              <w:bottom w:type="dxa" w:w="60"/>
              <w:right w:type="dxa" w:w="100"/>
            </w:tcMar>
          </w:tcPr>
          <w:p>
            <w:r>
              <w:rPr>
                <w:rFonts w:ascii="Arial" w:cs="Arial" w:eastAsia="Arial" w:hAnsi="Arial"/>
                <w:b w:val="false"/>
                <w:bCs w:val="false"/>
                <w:sz w:val="20"/>
                <w:szCs w:val="20"/>
              </w:rPr>
              <w:t xml:space="preserve">Realistic attack mix, widely benchmarked</w:t>
            </w:r>
          </w:p>
        </w:tc>
        <w:tc>
          <w:tcPr>
            <w:tcW w:type="dxa" w:w="3560"/>
            <w:tcMar>
              <w:top w:type="dxa" w:w="60"/>
              <w:left w:type="dxa" w:w="100"/>
              <w:bottom w:type="dxa" w:w="60"/>
              <w:right w:type="dxa" w:w="100"/>
            </w:tcMar>
          </w:tcPr>
          <w:p>
            <w:r>
              <w:rPr>
                <w:rFonts w:ascii="Arial" w:cs="Arial" w:eastAsia="Arial" w:hAnsi="Arial"/>
                <w:b w:val="false"/>
                <w:bCs w:val="false"/>
                <w:sz w:val="20"/>
                <w:szCs w:val="20"/>
              </w:rPr>
              <w:t xml:space="preserve">Flow labels, single network, no paired successor</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CIC-IoT2023</w:t>
            </w:r>
          </w:p>
        </w:tc>
        <w:tc>
          <w:tcPr>
            <w:tcW w:type="dxa" w:w="700"/>
            <w:tcMar>
              <w:top w:type="dxa" w:w="60"/>
              <w:left w:type="dxa" w:w="100"/>
              <w:bottom w:type="dxa" w:w="60"/>
              <w:right w:type="dxa" w:w="100"/>
            </w:tcMar>
          </w:tcPr>
          <w:p>
            <w:r>
              <w:rPr>
                <w:rFonts w:ascii="Arial" w:cs="Arial" w:eastAsia="Arial" w:hAnsi="Arial"/>
                <w:b w:val="false"/>
                <w:bCs w:val="false"/>
                <w:sz w:val="20"/>
                <w:szCs w:val="20"/>
              </w:rPr>
              <w:t xml:space="preserve">2023</w:t>
            </w:r>
          </w:p>
        </w:tc>
        <w:tc>
          <w:tcPr>
            <w:tcW w:type="dxa" w:w="3600"/>
            <w:tcMar>
              <w:top w:type="dxa" w:w="60"/>
              <w:left w:type="dxa" w:w="100"/>
              <w:bottom w:type="dxa" w:w="60"/>
              <w:right w:type="dxa" w:w="100"/>
            </w:tcMar>
          </w:tcPr>
          <w:p>
            <w:r>
              <w:rPr>
                <w:rFonts w:ascii="Arial" w:cs="Arial" w:eastAsia="Arial" w:hAnsi="Arial"/>
                <w:b w:val="false"/>
                <w:bCs w:val="false"/>
                <w:sz w:val="20"/>
                <w:szCs w:val="20"/>
              </w:rPr>
              <w:t xml:space="preserve">Recent, very large, broad attack coverage</w:t>
            </w:r>
          </w:p>
        </w:tc>
        <w:tc>
          <w:tcPr>
            <w:tcW w:type="dxa" w:w="3560"/>
            <w:tcMar>
              <w:top w:type="dxa" w:w="60"/>
              <w:left w:type="dxa" w:w="100"/>
              <w:bottom w:type="dxa" w:w="60"/>
              <w:right w:type="dxa" w:w="100"/>
            </w:tcMar>
          </w:tcPr>
          <w:p>
            <w:r>
              <w:rPr>
                <w:rFonts w:ascii="Arial" w:cs="Arial" w:eastAsia="Arial" w:hAnsi="Arial"/>
                <w:b w:val="false"/>
                <w:bCs w:val="false"/>
                <w:sz w:val="20"/>
                <w:szCs w:val="20"/>
              </w:rPr>
              <w:t xml:space="preserve">IoT-focused; flow labels, not triage labels</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Microsoft GUIDE</w:t>
            </w:r>
          </w:p>
        </w:tc>
        <w:tc>
          <w:tcPr>
            <w:tcW w:type="dxa" w:w="700"/>
            <w:tcMar>
              <w:top w:type="dxa" w:w="60"/>
              <w:left w:type="dxa" w:w="100"/>
              <w:bottom w:type="dxa" w:w="60"/>
              <w:right w:type="dxa" w:w="100"/>
            </w:tcMar>
          </w:tcPr>
          <w:p>
            <w:r>
              <w:rPr>
                <w:rFonts w:ascii="Arial" w:cs="Arial" w:eastAsia="Arial" w:hAnsi="Arial"/>
                <w:b w:val="false"/>
                <w:bCs w:val="false"/>
                <w:sz w:val="20"/>
                <w:szCs w:val="20"/>
              </w:rPr>
              <w:t xml:space="preserve">2024</w:t>
            </w:r>
          </w:p>
        </w:tc>
        <w:tc>
          <w:tcPr>
            <w:tcW w:type="dxa" w:w="3600"/>
            <w:tcMar>
              <w:top w:type="dxa" w:w="60"/>
              <w:left w:type="dxa" w:w="100"/>
              <w:bottom w:type="dxa" w:w="60"/>
              <w:right w:type="dxa" w:w="100"/>
            </w:tcMar>
          </w:tcPr>
          <w:p>
            <w:r>
              <w:rPr>
                <w:rFonts w:ascii="Arial" w:cs="Arial" w:eastAsia="Arial" w:hAnsi="Arial"/>
                <w:b w:val="false"/>
                <w:bCs w:val="false"/>
                <w:sz w:val="20"/>
                <w:szCs w:val="20"/>
              </w:rPr>
              <w:t xml:space="preserve">About 1M real incidents / 1.6M alerts graded TP, benign positive or FP by customer analysts; MITRE ATT&amp;CK annotations; thousands of organisations enable cross-organisation generalisation; provided train/test split; CDLA-2.0 licence; published baseline (Freitas et al., 2024)</w:t>
            </w:r>
          </w:p>
        </w:tc>
        <w:tc>
          <w:tcPr>
            <w:tcW w:type="dxa" w:w="3560"/>
            <w:tcMar>
              <w:top w:type="dxa" w:w="60"/>
              <w:left w:type="dxa" w:w="100"/>
              <w:bottom w:type="dxa" w:w="60"/>
              <w:right w:type="dxa" w:w="100"/>
            </w:tcMar>
          </w:tcPr>
          <w:p>
            <w:r>
              <w:rPr>
                <w:rFonts w:ascii="Arial" w:cs="Arial" w:eastAsia="Arial" w:hAnsi="Arial"/>
                <w:b w:val="false"/>
                <w:bCs w:val="false"/>
                <w:sz w:val="20"/>
                <w:szCs w:val="20"/>
              </w:rPr>
              <w:t xml:space="preserve">Very large (needs a representative subset); anonymisation limits indicator-level enrichment; three-class grades; single-vendor (Microsoft Defender XDR) telemetry</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AIT Alert Data Set</w:t>
            </w:r>
          </w:p>
        </w:tc>
        <w:tc>
          <w:tcPr>
            <w:tcW w:type="dxa" w:w="700"/>
            <w:tcMar>
              <w:top w:type="dxa" w:w="60"/>
              <w:left w:type="dxa" w:w="100"/>
              <w:bottom w:type="dxa" w:w="60"/>
              <w:right w:type="dxa" w:w="100"/>
            </w:tcMar>
          </w:tcPr>
          <w:p>
            <w:r>
              <w:rPr>
                <w:rFonts w:ascii="Arial" w:cs="Arial" w:eastAsia="Arial" w:hAnsi="Arial"/>
                <w:b w:val="false"/>
                <w:bCs w:val="false"/>
                <w:sz w:val="20"/>
                <w:szCs w:val="20"/>
              </w:rPr>
              <w:t xml:space="preserve">2024</w:t>
            </w:r>
          </w:p>
        </w:tc>
        <w:tc>
          <w:tcPr>
            <w:tcW w:type="dxa" w:w="3600"/>
            <w:tcMar>
              <w:top w:type="dxa" w:w="60"/>
              <w:left w:type="dxa" w:w="100"/>
              <w:bottom w:type="dxa" w:w="60"/>
              <w:right w:type="dxa" w:w="100"/>
            </w:tcMar>
          </w:tcPr>
          <w:p>
            <w:r>
              <w:rPr>
                <w:rFonts w:ascii="Arial" w:cs="Arial" w:eastAsia="Arial" w:hAnsi="Arial"/>
                <w:b w:val="false"/>
                <w:bCs w:val="false"/>
                <w:sz w:val="20"/>
                <w:szCs w:val="20"/>
              </w:rPr>
              <w:t xml:space="preserve">About 2.6M authentic IDS alerts (Suricata, Wazuh, AMiner) across eight testbed networks; designed for false-positive research; clean train-on-some-networks, test-on-others design</w:t>
            </w:r>
          </w:p>
        </w:tc>
        <w:tc>
          <w:tcPr>
            <w:tcW w:type="dxa" w:w="3560"/>
            <w:tcMar>
              <w:top w:type="dxa" w:w="60"/>
              <w:left w:type="dxa" w:w="100"/>
              <w:bottom w:type="dxa" w:w="60"/>
              <w:right w:type="dxa" w:w="100"/>
            </w:tcMar>
          </w:tcPr>
          <w:p>
            <w:r>
              <w:rPr>
                <w:rFonts w:ascii="Arial" w:cs="Arial" w:eastAsia="Arial" w:hAnsi="Arial"/>
                <w:b w:val="false"/>
                <w:bCs w:val="false"/>
                <w:sz w:val="20"/>
                <w:szCs w:val="20"/>
              </w:rPr>
              <w:t xml:space="preserve">Testbed rather than operational data; fewer published baselines to reproduce</w:t>
            </w:r>
          </w:p>
        </w:tc>
      </w:tr>
    </w:tbl>
    <w:p>
      <w:pPr>
        <w:spacing w:after="60" w:before="60"/>
      </w:pPr>
      <w:r>
        <w:rPr>
          <w:rFonts w:ascii="Arial" w:cs="Arial" w:eastAsia="Arial" w:hAnsi="Arial"/>
          <w:b w:val="false"/>
          <w:bCs w:val="false"/>
          <w:i/>
          <w:iCs/>
          <w:sz w:val="22"/>
          <w:szCs w:val="22"/>
        </w:rPr>
        <w:t xml:space="preserve">Table 1. Candidate datasets against the selection criteria.</w:t>
      </w:r>
    </w:p>
    <w:p>
      <w:pPr>
        <w:pStyle w:val="Heading1"/>
        <w:spacing w:after="120" w:before="280"/>
      </w:pPr>
      <w:r>
        <w:rPr>
          <w:rFonts w:ascii="Arial" w:cs="Arial" w:eastAsia="Arial" w:hAnsi="Arial"/>
          <w:b/>
          <w:bCs/>
          <w:color w:val="1F4E79"/>
          <w:sz w:val="28"/>
          <w:szCs w:val="28"/>
        </w:rPr>
        <w:t xml:space="preserve">4. The decision</w:t>
      </w:r>
    </w:p>
    <w:p>
      <w:pPr>
        <w:spacing w:after="60" w:before="60"/>
      </w:pPr>
      <w:r>
        <w:rPr>
          <w:rFonts w:ascii="Arial" w:cs="Arial" w:eastAsia="Arial" w:hAnsi="Arial"/>
          <w:b w:val="false"/>
          <w:bCs w:val="false"/>
          <w:i w:val="false"/>
          <w:iCs w:val="false"/>
          <w:sz w:val="22"/>
          <w:szCs w:val="22"/>
        </w:rPr>
        <w:t xml:space="preserve">The study selects the Microsoft GUIDE dataset (Freitas, Kalajdjieski, Gharib and McCann, 2024) as its primary dataset, working on a representative subset, with the AIT Alert Data Set (Landauer et al., 2024) retained as an optional independent test set if time allows. This was agreed with the supervisor by email on 14 July 2026.</w:t>
      </w:r>
    </w:p>
    <w:p>
      <w:pPr>
        <w:spacing w:after="60" w:before="60"/>
      </w:pPr>
      <w:r>
        <w:rPr>
          <w:rFonts w:ascii="Arial" w:cs="Arial" w:eastAsia="Arial" w:hAnsi="Arial"/>
          <w:b w:val="false"/>
          <w:bCs w:val="false"/>
          <w:i w:val="false"/>
          <w:iCs w:val="false"/>
          <w:sz w:val="22"/>
          <w:szCs w:val="22"/>
        </w:rPr>
        <w:t xml:space="preserve">GUIDE meets the criteria most completely. It is the largest public collection of real-world security incidents — about one million incidents and 1.6 million alerts drawn from thousands of customer organisations — and, decisively, every incident carries a ground-truth triage grade (true positive, benign positive or false positive) assigned by the customer’s own security analysts. The false-positive question at the centre of this study can therefore be answered on the variable it actually concerns, rather than through a proxy. The incidents are annotated with MITRE ATT&amp;CK techniques, which provides the join point for the OpenCTI enrichment. Because the data spans thousands of organisations, the harder evaluation condition becomes a cross-organisation test: train on some organisations, test on organisations the model has never seen. The dataset ships with a train/test split, is released under the permissive CDLA-2.0 licence on Kaggle, and has a published baseline in the accompanying paper, so a known result can be reproduced before the enrichment is added — the strongest possible starting position.</w:t>
      </w:r>
    </w:p>
    <w:p>
      <w:pPr>
        <w:pStyle w:val="Heading1"/>
        <w:spacing w:after="120" w:before="280"/>
      </w:pPr>
      <w:r>
        <w:rPr>
          <w:rFonts w:ascii="Arial" w:cs="Arial" w:eastAsia="Arial" w:hAnsi="Arial"/>
          <w:b/>
          <w:bCs/>
          <w:color w:val="1F4E79"/>
          <w:sz w:val="28"/>
          <w:szCs w:val="28"/>
        </w:rPr>
        <w:t xml:space="preserve">5. Why not the others</w:t>
      </w:r>
    </w:p>
    <w:p>
      <w:pPr>
        <w:spacing w:after="60" w:before="60"/>
      </w:pPr>
      <w:r>
        <w:rPr>
          <w:rFonts w:ascii="Arial" w:cs="Arial" w:eastAsia="Arial" w:hAnsi="Arial"/>
          <w:b w:val="false"/>
          <w:bCs w:val="false"/>
          <w:i w:val="false"/>
          <w:iCs w:val="false"/>
          <w:sz w:val="22"/>
          <w:szCs w:val="22"/>
        </w:rPr>
        <w:t xml:space="preserve">CIC-IDS-2017/2018. Retained as a documented fallback, but its flow-level attack labels answer a detection question, not a triage question. Its known labelling errors (Engelen, Rimmer and Joosen, 2021; Lanvin et al., 2022) are manageable, yet the structural mismatch with the research question is not.</w:t>
      </w:r>
    </w:p>
    <w:p>
      <w:pPr>
        <w:spacing w:after="60" w:before="60"/>
      </w:pPr>
      <w:r>
        <w:rPr>
          <w:rFonts w:ascii="Arial" w:cs="Arial" w:eastAsia="Arial" w:hAnsi="Arial"/>
          <w:b w:val="false"/>
          <w:bCs w:val="false"/>
          <w:i w:val="false"/>
          <w:iCs w:val="false"/>
          <w:sz w:val="22"/>
          <w:szCs w:val="22"/>
        </w:rPr>
        <w:t xml:space="preserve">AIT Alert Data Set. The strongest runner-up, and a genuinely good fit: authentic alerts from three detection systems, designed for false-positive research, with eight networks giving a clean generalisation split. It was not chosen as primary because it is testbed data rather than operational data, and it has less published baseline work to reproduce, meaning more of the pipeline would be unvalidated. It remains the preferred independent test set (supervisor, 14 July 2026).</w:t>
      </w:r>
    </w:p>
    <w:p>
      <w:pPr>
        <w:spacing w:after="60" w:before="60"/>
      </w:pPr>
      <w:r>
        <w:rPr>
          <w:rFonts w:ascii="Arial" w:cs="Arial" w:eastAsia="Arial" w:hAnsi="Arial"/>
          <w:b w:val="false"/>
          <w:bCs w:val="false"/>
          <w:i w:val="false"/>
          <w:iCs w:val="false"/>
          <w:sz w:val="22"/>
          <w:szCs w:val="22"/>
        </w:rPr>
        <w:t xml:space="preserve">UNSW-NB15, CIC-IoT2023, KDD/NSL-KDD. Rejected for the same structural reason as the CIC pair (flow labels rather than triage labels), and in the last case for age and unrealistic traffic.</w:t>
      </w:r>
    </w:p>
    <w:p>
      <w:pPr>
        <w:pStyle w:val="Heading1"/>
        <w:spacing w:after="120" w:before="280"/>
      </w:pPr>
      <w:r>
        <w:rPr>
          <w:rFonts w:ascii="Arial" w:cs="Arial" w:eastAsia="Arial" w:hAnsi="Arial"/>
          <w:b/>
          <w:bCs/>
          <w:color w:val="1F4E79"/>
          <w:sz w:val="28"/>
          <w:szCs w:val="28"/>
        </w:rPr>
        <w:t xml:space="preserve">6. Honest limitations of GUIDE and how they are handled</w:t>
      </w:r>
    </w:p>
    <w:p>
      <w:pPr>
        <w:spacing w:after="60" w:before="60"/>
      </w:pPr>
      <w:r>
        <w:rPr>
          <w:rFonts w:ascii="Arial" w:cs="Arial" w:eastAsia="Arial" w:hAnsi="Arial"/>
          <w:b w:val="false"/>
          <w:bCs w:val="false"/>
          <w:i w:val="false"/>
          <w:iCs w:val="false"/>
          <w:sz w:val="22"/>
          <w:szCs w:val="22"/>
        </w:rPr>
        <w:t xml:space="preserve">Anonymisation. GUIDE is privacy-preserving: entity values such as IP addresses and file hashes are anonymised. Indicator-level enrichment against feeds such as abuse.ch is therefore unlikely to be possible. The enrichment design shifts to technique-level context from OpenCTI — the ATT&amp;CK tactic and technique, its prevalence and severity, and links to known campaigns — joined on the dataset’s ATT&amp;CK annotations. The exact field list must be verified on download before feature set B is designed.</w:t>
      </w:r>
    </w:p>
    <w:p>
      <w:pPr>
        <w:spacing w:after="60" w:before="60"/>
      </w:pPr>
      <w:r>
        <w:rPr>
          <w:rFonts w:ascii="Arial" w:cs="Arial" w:eastAsia="Arial" w:hAnsi="Arial"/>
          <w:b w:val="false"/>
          <w:bCs w:val="false"/>
          <w:i w:val="false"/>
          <w:iCs w:val="false"/>
          <w:sz w:val="22"/>
          <w:szCs w:val="22"/>
        </w:rPr>
        <w:t xml:space="preserve">Three-class grades. GUIDE grades incidents true positive, benign positive or false positive, while the proposal frames a binary false-positive question. The framing (binary FP-versus-rest, or three-class) will be decided with the supervisor and recorded in the decisions log, since it changes the metrics and the definition of false positive rate.</w:t>
      </w:r>
    </w:p>
    <w:p>
      <w:pPr>
        <w:spacing w:after="60" w:before="60"/>
      </w:pPr>
      <w:r>
        <w:rPr>
          <w:rFonts w:ascii="Arial" w:cs="Arial" w:eastAsia="Arial" w:hAnsi="Arial"/>
          <w:b w:val="false"/>
          <w:bCs w:val="false"/>
          <w:i w:val="false"/>
          <w:iCs w:val="false"/>
          <w:sz w:val="22"/>
          <w:szCs w:val="22"/>
        </w:rPr>
        <w:t xml:space="preserve">Scale. About one million incidents is beyond what Orange handles comfortably on a 16 GB machine. A representative subset will be drawn under a documented protocol: sampling at incident level (never splitting an incident’s alerts across train and test), stratified by grade and incident category, with a fixed random seed, and the protocol reported in full (Arp et al., 2022, P1 and P3).</w:t>
      </w:r>
    </w:p>
    <w:p>
      <w:pPr>
        <w:spacing w:after="60" w:before="60"/>
      </w:pPr>
      <w:r>
        <w:rPr>
          <w:rFonts w:ascii="Arial" w:cs="Arial" w:eastAsia="Arial" w:hAnsi="Arial"/>
          <w:b w:val="false"/>
          <w:bCs w:val="false"/>
          <w:i w:val="false"/>
          <w:iCs w:val="false"/>
          <w:sz w:val="22"/>
          <w:szCs w:val="22"/>
        </w:rPr>
        <w:t xml:space="preserve">Single-vendor telemetry. All alerts come from the Microsoft Defender XDR ecosystem, so external validity beyond that ecosystem is limited. This is acknowledged openly; the optional AIT test partially addresses it with alerts from different detection systems.</w:t>
      </w:r>
    </w:p>
    <w:p>
      <w:pPr>
        <w:spacing w:after="60" w:before="60"/>
      </w:pPr>
      <w:r>
        <w:rPr>
          <w:rFonts w:ascii="Arial" w:cs="Arial" w:eastAsia="Arial" w:hAnsi="Arial"/>
          <w:b w:val="false"/>
          <w:bCs w:val="false"/>
          <w:i w:val="false"/>
          <w:iCs w:val="false"/>
          <w:sz w:val="22"/>
          <w:szCs w:val="22"/>
        </w:rPr>
        <w:t xml:space="preserve">Label quality. The grades are assigned by many different analysts across organisations and will contain inconsistencies — imperfect ground truth (Arp et al., 2022, P2). This is a property of all real triage data and is discussed rather than hidden.</w:t>
      </w:r>
    </w:p>
    <w:p>
      <w:pPr>
        <w:pStyle w:val="Heading1"/>
        <w:spacing w:after="120" w:before="280"/>
      </w:pPr>
      <w:r>
        <w:rPr>
          <w:rFonts w:ascii="Arial" w:cs="Arial" w:eastAsia="Arial" w:hAnsi="Arial"/>
          <w:b/>
          <w:bCs/>
          <w:color w:val="1F4E79"/>
          <w:sz w:val="28"/>
          <w:szCs w:val="28"/>
        </w:rPr>
        <w:t xml:space="preserve">7. Open items to verify on download</w:t>
      </w:r>
    </w:p>
    <w:p>
      <w:pPr>
        <w:spacing w:after="60" w:before="60"/>
      </w:pPr>
      <w:r>
        <w:rPr>
          <w:rFonts w:ascii="Arial" w:cs="Arial" w:eastAsia="Arial" w:hAnsi="Arial"/>
          <w:b w:val="false"/>
          <w:bCs w:val="false"/>
          <w:i w:val="false"/>
          <w:iCs w:val="false"/>
          <w:sz w:val="22"/>
          <w:szCs w:val="22"/>
        </w:rPr>
        <w:t xml:space="preserve">Before the pipeline is designed, the following must be checked and recorded in the logbook: the exact field list and which fields survive anonymisation; whether the ATT&amp;CK annotations are attached at detection time rather than derived from the analyst investigation (leakage risk); the time span of the data and whether it supports an across-time split in addition to the cross-organisation split; the class balance of the three grades; and which SHAP variant the Orange Explain Model widget applies to tree ensembles.</w:t>
      </w:r>
    </w:p>
    <w:p>
      <w:pPr>
        <w:pStyle w:val="Heading1"/>
        <w:spacing w:after="120" w:before="280"/>
      </w:pPr>
      <w:r>
        <w:rPr>
          <w:rFonts w:ascii="Arial" w:cs="Arial" w:eastAsia="Arial" w:hAnsi="Arial"/>
          <w:b/>
          <w:bCs/>
          <w:color w:val="1F4E79"/>
          <w:sz w:val="28"/>
          <w:szCs w:val="28"/>
        </w:rPr>
        <w:t xml:space="preserve">References</w:t>
      </w:r>
    </w:p>
    <w:p>
      <w:pPr>
        <w:spacing w:after="60" w:before="60"/>
      </w:pPr>
      <w:r>
        <w:rPr>
          <w:rFonts w:ascii="Arial" w:cs="Arial" w:eastAsia="Arial" w:hAnsi="Arial"/>
          <w:b w:val="false"/>
          <w:bCs w:val="false"/>
          <w:i w:val="false"/>
          <w:iCs w:val="false"/>
          <w:sz w:val="22"/>
          <w:szCs w:val="22"/>
        </w:rPr>
        <w:t xml:space="preserve">Arp, D., Quiring, E., Pendlebury, F., Warnecke, A., Pierazzi, F., Wressnegger, C., Cavallaro, L., and Rieck, K. (2022). Dos and don’ts of machine learning in computer security. In Proceedings of the 31st USENIX Security Symposium (pp. 3971–3988).</w:t>
      </w:r>
    </w:p>
    <w:p>
      <w:pPr>
        <w:spacing w:after="60" w:before="60"/>
      </w:pPr>
      <w:r>
        <w:rPr>
          <w:rFonts w:ascii="Arial" w:cs="Arial" w:eastAsia="Arial" w:hAnsi="Arial"/>
          <w:b w:val="false"/>
          <w:bCs w:val="false"/>
          <w:i w:val="false"/>
          <w:iCs w:val="false"/>
          <w:sz w:val="22"/>
          <w:szCs w:val="22"/>
        </w:rPr>
        <w:t xml:space="preserve">Engelen, G., Rimmer, V., and Joosen, W. (2021). Troubleshooting an intrusion detection dataset: The CICIDS2017 case study. In 2021 IEEE Security and Privacy Workshops.</w:t>
      </w:r>
    </w:p>
    <w:p>
      <w:pPr>
        <w:spacing w:after="60" w:before="60"/>
      </w:pPr>
      <w:r>
        <w:rPr>
          <w:rFonts w:ascii="Arial" w:cs="Arial" w:eastAsia="Arial" w:hAnsi="Arial"/>
          <w:b w:val="false"/>
          <w:bCs w:val="false"/>
          <w:i w:val="false"/>
          <w:iCs w:val="false"/>
          <w:sz w:val="22"/>
          <w:szCs w:val="22"/>
        </w:rPr>
        <w:t xml:space="preserve">Freitas, S., Kalajdjieski, J., Gharib, A., and McCann, R. (2024). AI-driven guided response for security operation centers with Microsoft Copilot for Security. arXiv:2407.09017.</w:t>
      </w:r>
    </w:p>
    <w:p>
      <w:pPr>
        <w:spacing w:after="60" w:before="60"/>
      </w:pPr>
      <w:r>
        <w:rPr>
          <w:rFonts w:ascii="Arial" w:cs="Arial" w:eastAsia="Arial" w:hAnsi="Arial"/>
          <w:b w:val="false"/>
          <w:bCs w:val="false"/>
          <w:i w:val="false"/>
          <w:iCs w:val="false"/>
          <w:sz w:val="22"/>
          <w:szCs w:val="22"/>
        </w:rPr>
        <w:t xml:space="preserve">Landauer, M., Skopik, F., and Wurzenberger, M. (2024). Introducing a new alert data set for multi-step attack analysis. In Proceedings of CSET 2024 (ACM). Dataset: AIT Alert Data Set, Zenodo record 8263181.</w:t>
      </w:r>
    </w:p>
    <w:p>
      <w:pPr>
        <w:spacing w:after="60" w:before="60"/>
      </w:pPr>
      <w:r>
        <w:rPr>
          <w:rFonts w:ascii="Arial" w:cs="Arial" w:eastAsia="Arial" w:hAnsi="Arial"/>
          <w:b w:val="false"/>
          <w:bCs w:val="false"/>
          <w:i w:val="false"/>
          <w:iCs w:val="false"/>
          <w:sz w:val="22"/>
          <w:szCs w:val="22"/>
        </w:rPr>
        <w:t xml:space="preserve">Lanvin, M., Gimenez, P.-F., Han, Y., Majorczyk, F., Mé, L., and Totel, E. (2022). Errors in the CICIDS2017 dataset and the significant differences in detection performances it makes. In CRiSIS 2022.</w:t>
      </w:r>
    </w:p>
    <w:p>
      <w:pPr>
        <w:spacing w:after="60" w:before="60"/>
      </w:pPr>
      <w:r>
        <w:rPr>
          <w:rFonts w:ascii="Arial" w:cs="Arial" w:eastAsia="Arial" w:hAnsi="Arial"/>
          <w:b w:val="false"/>
          <w:bCs w:val="false"/>
          <w:i w:val="false"/>
          <w:iCs w:val="false"/>
          <w:sz w:val="22"/>
          <w:szCs w:val="22"/>
        </w:rPr>
        <w:t xml:space="preserve">Sharafaldin, I., Lashkari, A. H., and Ghorbani, A. A. (2018). Toward generating a new intrusion detection dataset and intrusion traffic characterization. In ICISSP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2026-07-15T01:49:08.887Z</dcterms:created>
  <dcterms:modified xsi:type="dcterms:W3CDTF">2026-07-15T01:49:08.888Z</dcterms:modified>
</cp:coreProperties>
</file>

<file path=docProps/custom.xml><?xml version="1.0" encoding="utf-8"?>
<Properties xmlns="http://schemas.openxmlformats.org/officeDocument/2006/custom-properties" xmlns:vt="http://schemas.openxmlformats.org/officeDocument/2006/docPropsVTypes"/>
</file>