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4"/>
          <w:szCs w:val="34"/>
        </w:rPr>
        <w:t xml:space="preserve">Dissertation Plan Supplement</w:t>
      </w:r>
    </w:p>
    <w:p>
      <w:pPr>
        <w:spacing w:after="40"/>
      </w:pPr>
      <w:r>
        <w:rPr>
          <w:i/>
          <w:iCs/>
          <w:color w:val="555555"/>
          <w:sz w:val="21"/>
          <w:szCs w:val="21"/>
        </w:rPr>
        <w:t xml:space="preserve">Beneficiary evaluation plan and chapter word targets, aligned to the Sheffield Hallam dissertation handbook. Haris Abuzaid.</w:t>
      </w:r>
    </w:p>
    <w:p>
      <w:pPr>
        <w:pBdr>
          <w:bottom w:val="single" w:color="2E75B6" w:sz="6" w:space="1"/>
        </w:pBdr>
        <w:spacing w:after="160"/>
      </w:pPr>
      <w:r>
        <w:t xml:space="preserve"/>
      </w:r>
    </w:p>
    <w:p>
      <w:pPr>
        <w:pStyle w:val="Heading1"/>
      </w:pPr>
      <w:r>
        <w:t xml:space="preserve">Part A. Beneficiary evaluation plan</w:t>
      </w:r>
    </w:p>
    <w:p>
      <w:pPr>
        <w:spacing w:after="130" w:line="276"/>
      </w:pPr>
      <w:r>
        <w:t xml:space="preserve">The handbook awards 10 percent for evaluation of the deliverable, and it states that the deliverable must be evaluated by potential beneficiaries or users. Measuring the models with precision and recall answers the data analysis criterion, but it is not the same as a beneficiary evaluation. This plan covers that gap. It is small, low risk, and fits inside the timeline.</w:t>
      </w:r>
    </w:p>
    <w:p>
      <w:pPr>
        <w:pStyle w:val="Heading2"/>
      </w:pPr>
      <w:r>
        <w:t xml:space="preserve">A.1 What you are evaluating</w:t>
      </w:r>
    </w:p>
    <w:p>
      <w:pPr>
        <w:spacing w:after="130" w:line="276"/>
      </w:pPr>
      <w:r>
        <w:t xml:space="preserve">You are evaluating the usefulness and credibility of the deliverable, which is the enrichment pipeline and its outputs, from the point of view of the people it is meant to help, namely security analysts and the wider Security Operations Centre. The empirical results tell you whether it works. The beneficiary evaluation tells you whether it would be used.</w:t>
      </w:r>
    </w:p>
    <w:p>
      <w:pPr>
        <w:pStyle w:val="Heading2"/>
      </w:pPr>
      <w:r>
        <w:t xml:space="preserve">A.2 Recommended approach: a small structured expert evaluation</w:t>
      </w:r>
    </w:p>
    <w:p>
      <w:pPr>
        <w:spacing w:after="130" w:line="276"/>
      </w:pPr>
      <w:r>
        <w:t xml:space="preserve">Recruit a small number of informed reviewers, ideally between three and five, who understand security operations. These can be practising analysts, security professionals you can reach, or, if practitioners are not available, your supervisor together with one or two academic peers acting as informed reviewers. Run it as follows.</w:t>
      </w:r>
    </w:p>
    <w:p>
      <w:pPr>
        <w:pStyle w:val="ListParagraph"/>
        <w:numPr>
          <w:ilvl w:val="0"/>
          <w:numId w:val="2"/>
        </w:numPr>
        <w:spacing w:after="120" w:line="276"/>
      </w:pPr>
      <w:r>
        <w:t xml:space="preserve">Define the evaluation criteria in advance, for example usefulness in practice, trust in the output, clarity of the explanations, the practical value of the false positive reduction, and whether the efficiency cost seems acceptable.</w:t>
      </w:r>
    </w:p>
    <w:p>
      <w:pPr>
        <w:pStyle w:val="ListParagraph"/>
        <w:numPr>
          <w:ilvl w:val="0"/>
          <w:numId w:val="2"/>
        </w:numPr>
        <w:spacing w:after="120" w:line="276"/>
      </w:pPr>
      <w:r>
        <w:t xml:space="preserve">Prepare a short, clear demonstration of the pipeline and the headline results, no more than fifteen minutes, so reviewers can judge it without reading the whole dissertation.</w:t>
      </w:r>
    </w:p>
    <w:p>
      <w:pPr>
        <w:pStyle w:val="ListParagraph"/>
        <w:numPr>
          <w:ilvl w:val="0"/>
          <w:numId w:val="2"/>
        </w:numPr>
        <w:spacing w:after="120" w:line="276"/>
      </w:pPr>
      <w:r>
        <w:t xml:space="preserve">Give each reviewer a short questionnaire that mixes rating questions with open questions, shown in A.4.</w:t>
      </w:r>
    </w:p>
    <w:p>
      <w:pPr>
        <w:pStyle w:val="ListParagraph"/>
        <w:numPr>
          <w:ilvl w:val="0"/>
          <w:numId w:val="2"/>
        </w:numPr>
        <w:spacing w:after="120" w:line="276"/>
      </w:pPr>
      <w:r>
        <w:t xml:space="preserve">Collect the responses, summarise the ratings, and group the open comments into themes such as strengths, concerns and barriers to adoption.</w:t>
      </w:r>
    </w:p>
    <w:p>
      <w:pPr>
        <w:pStyle w:val="ListParagraph"/>
        <w:numPr>
          <w:ilvl w:val="0"/>
          <w:numId w:val="2"/>
        </w:numPr>
        <w:spacing w:after="120" w:line="276"/>
      </w:pPr>
      <w:r>
        <w:t xml:space="preserve">Write this up as your Evaluation of the deliverable section, relating the feedback back to the original problem and your objectives, and discussing what it means for the work.</w:t>
      </w:r>
    </w:p>
    <w:p>
      <w:pPr>
        <w:pStyle w:val="Heading2"/>
      </w:pPr>
      <w:r>
        <w:t xml:space="preserve">A.3 Ethics note and a fallback without participants</w:t>
      </w:r>
    </w:p>
    <w:p>
      <w:pPr>
        <w:spacing w:after="130" w:line="276"/>
      </w:pPr>
      <w:r>
        <w:t xml:space="preserve">If you gather feedback from people, even a small anonymous questionnaire, that is human input and needs a brief amendment to your ethics approval, since the current form states no participants. This is a low risk amendment: anonymous responses, informed consent, the right to withdraw, and no personal data. Arrange it early with your supervisor.</w:t>
      </w:r>
    </w:p>
    <w:p>
      <w:pPr>
        <w:spacing w:after="130" w:line="276"/>
      </w:pPr>
      <w:r>
        <w:rPr>
          <w:b/>
          <w:bCs/>
        </w:rPr>
        <w:t xml:space="preserve">Fallback if participants are not feasible. </w:t>
      </w:r>
      <w:r>
        <w:t xml:space="preserve">Evaluate the deliverable against a defined set of requirements that a Security Operations Centre would care about, drawn from the literature, and have your supervisor act as the informed reviewer. This is a heuristic, requirements based evaluation that satisfies the criterion without human participants. The expert evaluation is stronger, so use it if you can, and keep this as the safety net.</w:t>
      </w:r>
    </w:p>
    <w:p>
      <w:pPr>
        <w:pStyle w:val="Heading2"/>
      </w:pPr>
      <w:r>
        <w:t xml:space="preserve">A.4 Sample evaluation questionnaire</w:t>
      </w:r>
    </w:p>
    <w:p>
      <w:pPr>
        <w:spacing w:after="130" w:line="276"/>
      </w:pPr>
      <w:r>
        <w:t xml:space="preserve">Rating questions use a scale of 1, strongly disagree, to 5, strongly agree.</w:t>
      </w:r>
    </w:p>
    <w:p>
      <w:pPr>
        <w:pStyle w:val="ListParagraph"/>
        <w:numPr>
          <w:ilvl w:val="0"/>
          <w:numId w:val="3"/>
        </w:numPr>
        <w:spacing w:after="90" w:line="276"/>
      </w:pPr>
      <w:r>
        <w:t xml:space="preserve">The enrichment approach would be useful in a real Security Operations Centre.</w:t>
      </w:r>
    </w:p>
    <w:p>
      <w:pPr>
        <w:pStyle w:val="ListParagraph"/>
        <w:numPr>
          <w:ilvl w:val="0"/>
          <w:numId w:val="3"/>
        </w:numPr>
        <w:spacing w:after="90" w:line="276"/>
      </w:pPr>
      <w:r>
        <w:t xml:space="preserve">The threat intelligence context makes the triage output more trustworthy.</w:t>
      </w:r>
    </w:p>
    <w:p>
      <w:pPr>
        <w:pStyle w:val="ListParagraph"/>
        <w:numPr>
          <w:ilvl w:val="0"/>
          <w:numId w:val="3"/>
        </w:numPr>
        <w:spacing w:after="90" w:line="276"/>
      </w:pPr>
      <w:r>
        <w:t xml:space="preserve">The explanation of which features mattered is clear and helpful.</w:t>
      </w:r>
    </w:p>
    <w:p>
      <w:pPr>
        <w:pStyle w:val="ListParagraph"/>
        <w:numPr>
          <w:ilvl w:val="0"/>
          <w:numId w:val="3"/>
        </w:numPr>
        <w:spacing w:after="90" w:line="276"/>
      </w:pPr>
      <w:r>
        <w:t xml:space="preserve">The reduction in false positives shown would be meaningful in practice.</w:t>
      </w:r>
    </w:p>
    <w:p>
      <w:pPr>
        <w:pStyle w:val="ListParagraph"/>
        <w:numPr>
          <w:ilvl w:val="0"/>
          <w:numId w:val="3"/>
        </w:numPr>
        <w:spacing w:after="90" w:line="276"/>
      </w:pPr>
      <w:r>
        <w:t xml:space="preserve">The efficiency cost of the enrichment seems acceptable for the benefit.</w:t>
      </w:r>
    </w:p>
    <w:p>
      <w:pPr>
        <w:pStyle w:val="ListParagraph"/>
        <w:numPr>
          <w:ilvl w:val="0"/>
          <w:numId w:val="3"/>
        </w:numPr>
        <w:spacing w:after="90" w:line="276"/>
      </w:pPr>
      <w:r>
        <w:t xml:space="preserve">I would consider using or recommending an approach like this.</w:t>
      </w:r>
    </w:p>
    <w:p>
      <w:pPr>
        <w:spacing w:after="130" w:line="276"/>
      </w:pPr>
      <w:r>
        <w:rPr>
          <w:b/>
          <w:bCs/>
        </w:rPr>
        <w:t xml:space="preserve">Open questions. </w:t>
      </w:r>
      <w:r>
        <w:t xml:space="preserve">What are the main strengths of this approach? What would you improve, or what concerns you? What barriers might stop a team from adopting it?</w:t>
      </w:r>
    </w:p>
    <w:p>
      <w:pPr>
        <w:pStyle w:val="Heading1"/>
      </w:pPr>
      <w:r>
        <w:t xml:space="preserve">Part B. Chapter word targets</w:t>
      </w:r>
    </w:p>
    <w:p>
      <w:pPr>
        <w:spacing w:after="130" w:line="276"/>
      </w:pPr>
      <w:r>
        <w:t xml:space="preserve">The handbook expects twelve to fifteen thousand words. The targets below sum to about thirteen and a half thousand, which sits comfortably in the middle, and they can be scaled up towards fifteen thousand by expanding the literature review, results and discussion. The abstract, references and appendices are not normally counted in the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100"/>
        <w:gridCol w:w="2026"/>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spacing w:line="264"/>
            </w:pPr>
            <w:r>
              <w:rPr>
                <w:b/>
                <w:bCs/>
                <w:color w:val="FFFFFF"/>
                <w:sz w:val="18"/>
                <w:szCs w:val="18"/>
              </w:rPr>
              <w:t xml:space="preserve">Chapter</w:t>
            </w:r>
          </w:p>
        </w:tc>
        <w:tc>
          <w:tcPr>
            <w:tcW w:type="dxa" w:w="3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spacing w:line="264"/>
            </w:pPr>
            <w:r>
              <w:rPr>
                <w:b/>
                <w:bCs/>
                <w:color w:val="FFFFFF"/>
                <w:sz w:val="18"/>
                <w:szCs w:val="18"/>
              </w:rPr>
              <w:t xml:space="preserve">Purpose</w:t>
            </w:r>
          </w:p>
        </w:tc>
        <w:tc>
          <w:tcPr>
            <w:tcW w:type="dxa" w:w="11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spacing w:line="264"/>
            </w:pPr>
            <w:r>
              <w:rPr>
                <w:b/>
                <w:bCs/>
                <w:color w:val="FFFFFF"/>
                <w:sz w:val="18"/>
                <w:szCs w:val="18"/>
              </w:rPr>
              <w:t xml:space="preserve">Target</w:t>
            </w:r>
          </w:p>
        </w:tc>
        <w:tc>
          <w:tcPr>
            <w:tcW w:type="dxa" w:w="2026"/>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spacing w:line="264"/>
            </w:pPr>
            <w:r>
              <w:rPr>
                <w:b/>
                <w:bCs/>
                <w:color w:val="FFFFFF"/>
                <w:sz w:val="18"/>
                <w:szCs w:val="18"/>
              </w:rPr>
              <w:t xml:space="preserve">Main criteria covered</w:t>
            </w:r>
          </w:p>
        </w:tc>
      </w:tr>
      <w:tr>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bCs/>
                <w:color w:val="000000"/>
                <w:sz w:val="18"/>
                <w:szCs w:val="18"/>
              </w:rPr>
              <w:t xml:space="preserve">Abstract</w:t>
            </w:r>
          </w:p>
        </w:tc>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One paragraph from problem to conclusion</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300</w:t>
            </w:r>
          </w:p>
        </w:tc>
        <w:tc>
          <w:tcPr>
            <w:tcW w:type="dxa" w:w="2026"/>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Not counted</w:t>
            </w:r>
          </w:p>
        </w:tc>
      </w:tr>
      <w:tr>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bCs/>
                <w:color w:val="000000"/>
                <w:sz w:val="18"/>
                <w:szCs w:val="18"/>
              </w:rPr>
              <w:t xml:space="preserve">1 Introduction</w:t>
            </w:r>
          </w:p>
        </w:tc>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Problem, aim, research questions, structure</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1,200</w:t>
            </w:r>
          </w:p>
        </w:tc>
        <w:tc>
          <w:tcPr>
            <w:tcW w:type="dxa" w:w="2026"/>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Elucidation of the problem</w:t>
            </w:r>
          </w:p>
        </w:tc>
      </w:tr>
      <w:tr>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bCs/>
                <w:color w:val="000000"/>
                <w:sz w:val="18"/>
                <w:szCs w:val="18"/>
              </w:rPr>
              <w:t xml:space="preserve">2 Literature Review</w:t>
            </w:r>
          </w:p>
        </w:tc>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Critical thematic review and the gap</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3,000</w:t>
            </w:r>
          </w:p>
        </w:tc>
        <w:tc>
          <w:tcPr>
            <w:tcW w:type="dxa" w:w="2026"/>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Knowledge of the domain</w:t>
            </w:r>
          </w:p>
        </w:tc>
      </w:tr>
      <w:tr>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bCs/>
                <w:color w:val="000000"/>
                <w:sz w:val="18"/>
                <w:szCs w:val="18"/>
              </w:rPr>
              <w:t xml:space="preserve">3 Methodology</w:t>
            </w:r>
          </w:p>
        </w:tc>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Design, dataset choice, tools, justification</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2,200</w:t>
            </w:r>
          </w:p>
        </w:tc>
        <w:tc>
          <w:tcPr>
            <w:tcW w:type="dxa" w:w="2026"/>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Justification of approach</w:t>
            </w:r>
          </w:p>
        </w:tc>
      </w:tr>
      <w:tr>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bCs/>
                <w:color w:val="000000"/>
                <w:sz w:val="18"/>
                <w:szCs w:val="18"/>
              </w:rPr>
              <w:t xml:space="preserve">4 Implementation</w:t>
            </w:r>
          </w:p>
        </w:tc>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How the pipeline and enrichment were built</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1,800</w:t>
            </w:r>
          </w:p>
        </w:tc>
        <w:tc>
          <w:tcPr>
            <w:tcW w:type="dxa" w:w="2026"/>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Application of the approach</w:t>
            </w:r>
          </w:p>
        </w:tc>
      </w:tr>
      <w:tr>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bCs/>
                <w:color w:val="000000"/>
                <w:sz w:val="18"/>
                <w:szCs w:val="18"/>
              </w:rPr>
              <w:t xml:space="preserve">5 Results and Evaluation</w:t>
            </w:r>
          </w:p>
        </w:tc>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Effectiveness, efficiency, explainability, and the beneficiary evaluation</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2,600</w:t>
            </w:r>
          </w:p>
        </w:tc>
        <w:tc>
          <w:tcPr>
            <w:tcW w:type="dxa" w:w="2026"/>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Data analysis; Evaluation of the deliverable</w:t>
            </w:r>
          </w:p>
        </w:tc>
      </w:tr>
      <w:tr>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bCs/>
                <w:color w:val="000000"/>
                <w:sz w:val="18"/>
                <w:szCs w:val="18"/>
              </w:rPr>
              <w:t xml:space="preserve">6 Discussion</w:t>
            </w:r>
          </w:p>
        </w:tc>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Meaning, the trade-off, limitations, links to the literature</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1,600</w:t>
            </w:r>
          </w:p>
        </w:tc>
        <w:tc>
          <w:tcPr>
            <w:tcW w:type="dxa" w:w="2026"/>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Evaluation; Quality and usefulness</w:t>
            </w:r>
          </w:p>
        </w:tc>
      </w:tr>
      <w:tr>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bCs/>
                <w:color w:val="000000"/>
                <w:sz w:val="18"/>
                <w:szCs w:val="18"/>
              </w:rPr>
              <w:t xml:space="preserve">7 Conclusion and Future Work</w:t>
            </w:r>
          </w:p>
        </w:tc>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Answer to the question, contributions, future work</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1,000</w:t>
            </w:r>
          </w:p>
        </w:tc>
        <w:tc>
          <w:tcPr>
            <w:tcW w:type="dxa" w:w="2026"/>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Quality of the report</w:t>
            </w:r>
          </w:p>
        </w:tc>
      </w:tr>
      <w:tr>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bCs/>
                <w:color w:val="000000"/>
                <w:sz w:val="18"/>
                <w:szCs w:val="18"/>
              </w:rPr>
              <w:t xml:space="preserve">References and Appendices</w:t>
            </w:r>
          </w:p>
        </w:tc>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Including the proposal and the ethics form</w:t>
            </w:r>
          </w:p>
        </w:tc>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Not counted</w:t>
            </w:r>
          </w:p>
        </w:tc>
        <w:tc>
          <w:tcPr>
            <w:tcW w:type="dxa" w:w="2026"/>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spacing w:line="264"/>
            </w:pPr>
            <w:r>
              <w:rPr>
                <w:b w:val="false"/>
                <w:bCs w:val="false"/>
                <w:color w:val="000000"/>
                <w:sz w:val="18"/>
                <w:szCs w:val="18"/>
              </w:rPr>
              <w:t xml:space="preserve">Quality of the report</w:t>
            </w:r>
          </w:p>
        </w:tc>
      </w:tr>
    </w:tbl>
    <w:p>
      <w:pPr>
        <w:spacing w:after="160" w:before="60"/>
      </w:pPr>
      <w:r>
        <w:rPr>
          <w:i/>
          <w:iCs/>
          <w:color w:val="666666"/>
          <w:sz w:val="18"/>
          <w:szCs w:val="18"/>
        </w:rPr>
        <w:t xml:space="preserve">Table 1. Chapter word targets (main text totals about 13,400 words).</w:t>
      </w:r>
    </w:p>
    <w:p>
      <w:pPr>
        <w:pStyle w:val="Heading2"/>
      </w:pPr>
      <w:r>
        <w:t xml:space="preserve">Notes</w:t>
      </w:r>
    </w:p>
    <w:p>
      <w:pPr>
        <w:pStyle w:val="ListParagraph"/>
        <w:numPr>
          <w:ilvl w:val="0"/>
          <w:numId w:val="3"/>
        </w:numPr>
        <w:spacing w:after="90" w:line="276"/>
      </w:pPr>
      <w:r>
        <w:t xml:space="preserve">The literature review is the largest chapter, because it carries the most marks for knowledge of the domain. Protect its length.</w:t>
      </w:r>
    </w:p>
    <w:p>
      <w:pPr>
        <w:pStyle w:val="ListParagraph"/>
        <w:numPr>
          <w:ilvl w:val="0"/>
          <w:numId w:val="3"/>
        </w:numPr>
        <w:spacing w:after="90" w:line="276"/>
      </w:pPr>
      <w:r>
        <w:t xml:space="preserve">Chapter 5 is where your beneficiary evaluation from Part A lives, alongside the metrics, so it covers two criteria at once.</w:t>
      </w:r>
    </w:p>
    <w:p>
      <w:pPr>
        <w:pStyle w:val="ListParagraph"/>
        <w:numPr>
          <w:ilvl w:val="0"/>
          <w:numId w:val="3"/>
        </w:numPr>
        <w:spacing w:after="90" w:line="276"/>
      </w:pPr>
      <w:r>
        <w:t xml:space="preserve">Write each chapter as you finish the matching phase in the roadmap, rather than leaving it all to the end.</w:t>
      </w:r>
    </w:p>
    <w:p>
      <w:pPr>
        <w:pStyle w:val="ListParagraph"/>
        <w:numPr>
          <w:ilvl w:val="0"/>
          <w:numId w:val="3"/>
        </w:numPr>
        <w:spacing w:after="90" w:line="276"/>
      </w:pPr>
      <w:r>
        <w:t xml:space="preserve">If you need to reach fifteen thousand words, add depth to the literature review, the results, and the discussion, not to the introduction or conclusion.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Dissertation Plan Supplement, Haris Abuzaid,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2026-06-25T00:05:34.559Z</dcterms:created>
  <dcterms:modified xsi:type="dcterms:W3CDTF">2026-06-25T00:05:34.559Z</dcterms:modified>
</cp:coreProperties>
</file>

<file path=docProps/custom.xml><?xml version="1.0" encoding="utf-8"?>
<Properties xmlns="http://schemas.openxmlformats.org/officeDocument/2006/custom-properties" xmlns:vt="http://schemas.openxmlformats.org/officeDocument/2006/docPropsVTypes"/>
</file>