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Feature Set Design — GUIDE Incident Triage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For the dissertation: Evaluating Cyber Threat Intelligence Enrichment for Reducing False Positives in Machine Learning Alert Triage. Haris Abuzaid. Version 1, 3 August 2026.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Companion to the Sampling and Split Protocol v1.1. Feature sets A and B differ only in the threat-intelligence block, so any performance difference is attributable to the intelligence context (matched-model design). All features are incident-level aggregates computed from evidence rows of sampled incidents only. Every aggregation statistic is fitted on training data alone.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Feature set A — plain alert features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Approximately 70 numeric columns. All derivable at alert time; no threat-intelligence content.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(incident-level aggregates)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Volume &amp; shape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n_alerts, n_evidence, evidence_per_alert, duration_hours (last - first evidence timestamp), n_detectors, n_categories, n_entity_types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AlertId, Timestamp, DetectorId, Category, EntityType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 composition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Evidence-row count per alert Category (approx. 20 columns, cat_*)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 composition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Evidence-row count per EntityType (approx. 33 columns, ent_*); counts per EvidenceRole (role_*)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EntityType, EvidenceRole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Suspicion signals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Counts per SuspicionLevel value (susp_*); counts per AntispamDirection (spam_*)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SuspicionLevel, AntispamDirection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 richness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Distinct counts of anonymised identifiers: n_devices, n_accounts, n_ips, n_urls, n_sha256, n_apps, n_files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DeviceId, AccountSid/Upn/ObjectId/Name, IpAddress, Url, Sha256, ApplicationId, FileName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Breadth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n_countries, n_os_families, n_roles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CountryCode, OSFamily, Roles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Timing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first_alert_hour (0-23), first_alert_dayofweek, is_weekend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Feature set B — A plus threat-intelligence 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Adds approximately 25 columns joined from the incident's MitreTechniques values to a technique-context table extracted from OpenCTI (MITRE ATT&amp;CK connector). Aggregation over an incident's techniques uses max and mean; incidents without techniques carry zeros with has_ti = 0. The extraction script also supports the public MITRE ATT&amp;CK STIX bundle as an offline-equivalent source; provenance of the run actually used is recorded in the manifest (RQ1).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(incident-level aggregates)</w:t>
            </w:r>
          </w:p>
        </w:tc>
        <w:tc>
          <w:tcPr>
            <w:tcW w:type="dxa" w:w="25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Provenance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 coverage (RQ1)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has_ti (any technique), ti_alert_coverage (share of alerts carrying techniques)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MitreTechniques presence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Technique volume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n_techniques (distinct), n_subtechniques, share_subtechniques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MitreTechniques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Kill-chain context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n_tactics (distinct), kill_chain_breadth (n_tactics/14), 14 tactic presence flags (ta_*)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Technique-to-tactic mapping from ATT&amp;CK via OpenCTI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Threat-actor context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group_use_max, group_use_mean (known threat groups using the incident's techniques)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ATT&amp;CK group-technique relationships via OpenCTI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Tooling context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software_use_max, software_use_mean (malware/tools implementing the techniques)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ATT&amp;CK software-technique relationships via OpenCTI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Defensive context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mitigations_mean (documented mitigations per technique)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ATT&amp;CK mitigation relationships via OpenCTI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Novelty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technique_age_min_days, technique_age_mean_days (since ATT&amp;CK creation); days_since_modified_min</w:t>
            </w:r>
          </w:p>
        </w:tc>
        <w:tc>
          <w:tcPr>
            <w:tcW w:type="dxa" w:w="2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ATT&amp;CK object timestamps via OpenCTI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Excluded columns and reasons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Excluded column</w:t>
            </w:r>
          </w:p>
        </w:tc>
        <w:tc>
          <w:tcPr>
            <w:tcW w:type="dxa" w:w="69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(recorded for the viva)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IncidentGrade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label.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ActionGrouped, ActionGranular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Analyst remediation responses - post-triage information; using them to predict the triage grade is circular (leakage).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LastVerdict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investigation verdict; plausibly determined after or alongside triage. Excluded from both feature sets; a documented sensitivity run may test its effect separately.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OrgId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of the cross-organisation split; also an organisation-shortcut feature (D'hooge et al., 2022). Never a feature.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Id, IncidentId, AlertId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Identifiers; used for joins and sampling only.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DetectorId, AlertTitle (raw values)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9.1k+ high-cardinality identifiers - shortcut risk; represented only through n_detectors and composition counts.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MitreTechniques (in set A)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Reserved: it is the join key for feature set B; set A must contain no TI signal.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Usage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Kaggle public/private split marker - no operational meaning.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City, State, RegistryKey/Value*, FolderPath, ResourceIdName, OAuthApplicationId, NetworkMessageId, EmailClusterId, ThreatFamily, OSVersion, ResourceType, CountryCode (raw values)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Sparse, high-cardinality anonymised identifiers; contribution captured through distinct-count and breadth features. ThreatFamily additionally risks encoding detector conclusions; revisit only with documented justification.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Encoding and processing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features are numeric counts, proportions, durations or binary flags - directly consumable by Random Forest and Gradient Boosting in Orange without scaling. No target encoding anywhere (leakage risk). No imputation beyond structural zeros for absent TI (has_ti flags absence explicitly). Composition-count vocabularies (the category/entity level lists) are fixed from the training sample of each condition and applied unchanged to its evaluation sample; unseen levels fall into an 'other' bucket. Feature construction is implemented in Pipeline/04_build_features.py, one output table per condition and feature set (12 tables), each with a manifest.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RQ1 reporting hooks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pipeline records, per sample: technique coverage at incident and alert level; number of distinct techniques observed and matched against the OpenCTI context table; unmatched technique identifiers (with counts); and extraction timing (contributes to RQ3). These numbers are the empirical answer to RQ1.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2026-08-03T08:59:32.312Z</dcterms:created>
  <dcterms:modified xsi:type="dcterms:W3CDTF">2026-08-03T08:59:32.320Z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