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/>
      </w:r>
      <w:r>
        <w:rPr>
          <w:b w:val="true"/>
        </w:rPr>
        <w:t xml:space="preserve">Baseline Difference: Urban non-UV minus UV (100m, pre-policy sample)</w:t>
      </w:r>
    </w:p>
    <w:tbl>
      <w:tblPr>
        <w:tblStyle w:val="TableGrid"/>
        <w:tblW w:w="0" w:type="auto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0" w:type="auto"/>
          </w:tcPr>
          <w:p>
            <w:pPr>
              <w:spacing w:after="0"/>
            </w:pPr>
            <w:r>
              <w:t xml:space="preserve">Variable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UV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Urban non-UV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U-nonUV - UV (Raw)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U-nonUV - UV (FE)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All-domain mean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City-domain mean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All - UV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City - UV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crime_rate_100k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63.539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28.899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-34.640***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-33.940***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16.653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34.242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-46.886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-29.297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(6.592)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[6.117]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dist_to_adv_healthcare_m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4193.076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3440.906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-752.170**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-323.536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11049.707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3363.484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6856.631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-829.592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(363.130)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[211.756]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dist_to_basic_healthcare_m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461.479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737.618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276.139***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300.631***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1613.010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675.763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1151.531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214.284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(23.892)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[23.096]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dist_to_bus_m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7134.019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5198.428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-1935.591***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-526.055*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21854.506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5270.987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14720.488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-1863.031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(646.231)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[276.625]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dist_to_edu_higher_m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4155.687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3500.604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-655.083**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-312.923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13850.939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3433.886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9695.252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-721.801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(293.449)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[203.885]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dist_to_edu_pre_m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647.237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939.502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292.265***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319.432***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2867.639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862.180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2220.402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214.943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(42.546)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[37.231]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dist_to_edu_primary_m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811.575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1201.118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389.543***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364.702***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1897.568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1119.944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1085.993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308.369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(54.631)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[37.236]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dist_to_edu_secondary_m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1357.297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1591.266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233.969***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261.290***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2921.897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1524.057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1564.600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166.760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(46.675)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[44.582]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dist_to_edu_vocational_m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2735.569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2526.431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-209.138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-41.702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8135.831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2458.016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5400.262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-277.553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(169.841)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[129.178]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dist_to_joint_stock_bank_m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4196.608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2909.621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-1286.987***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-603.837***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18566.608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2837.071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14370.000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-1359.537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(407.468)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[223.994]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dist_to_metro_m (metro5 only)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20355.535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20486.484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130.948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-1158.107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59742.431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24518.750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30126.197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-5097.482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(1009.415)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[769.132]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dist_to_mid_healthcare_m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1542.205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1756.764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214.559***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295.206***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4272.415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1677.121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2730.210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134.916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(67.584)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[64.108]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dist_to_sme_bank_m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581.450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811.466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230.015***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255.067***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2313.465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750.952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1732.014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169.502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(40.901)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[34.976]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dist_to_state_owned_bank_m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1280.566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1526.952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246.386***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236.826***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3365.576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1447.496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2085.010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166.930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(72.923)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[70.809]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pct_urban_village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49.162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-49.162***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-49.442***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2.810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8.805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-46.352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-40.356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(0.815)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[0.807]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pop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57.553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52.472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-5.081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-13.639***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18.508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55.577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-39.045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-1.977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(3.799)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[3.909]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pre_avg_deal_unit_price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22330.189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21440.814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-889.375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-360.402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21166.429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21495.578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-1163.760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-834.611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(832.402)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[255.895]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pre_avg_list_unit_price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23999.480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22665.572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-1333.908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-275.075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22006.333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22842.885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-1993.147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-1156.595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(1063.037)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[288.185]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pre_avg_price_gap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1497.453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1155.474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-341.979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-34.758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928.912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1269.721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-568.541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-227.732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(274.225)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[37.633]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us_tariff_exposure_4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0.025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0.024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-0.001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0.029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0.024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0.004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-0.001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(0.001)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[0.000]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Observations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805252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2895886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3701138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3701138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19197122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4110519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Notes: pre-policy sample (post==0); dist_to_metro_m uses metro5 cities only; all/city columns are no-UV-filter domain comparisons; stars: * p&lt;0.1, ** p&lt;0.05, *** p&lt;0.01</w:t>
            </w:r>
          </w:p>
        </w:tc>
        <w:tc>
          <w:tcPr>
            <w:tcW w:w="0" w:type="auto"/>
          </w:tcPr>
          <w:p>
            <w:pPr>
              <w:spacing w:after="0"/>
            </w:pPr>
          </w:p>
        </w:tc>
        <w:tc>
          <w:tcPr>
            <w:tcW w:w="0" w:type="auto"/>
          </w:tcPr>
          <w:p>
            <w:pPr>
              <w:spacing w:after="0"/>
            </w:pPr>
          </w:p>
        </w:tc>
        <w:tc>
          <w:tcPr>
            <w:tcW w:w="0" w:type="auto"/>
          </w:tcPr>
          <w:p>
            <w:pPr>
              <w:spacing w:after="0"/>
            </w:pPr>
          </w:p>
        </w:tc>
        <w:tc>
          <w:tcPr>
            <w:tcW w:w="0" w:type="auto"/>
          </w:tcPr>
          <w:p>
            <w:pPr>
              <w:spacing w:after="0"/>
            </w:pPr>
          </w:p>
        </w:tc>
        <w:tc>
          <w:tcPr>
            <w:tcW w:w="0" w:type="auto"/>
          </w:tcPr>
          <w:p>
            <w:pPr>
              <w:spacing w:after="0"/>
            </w:pPr>
          </w:p>
        </w:tc>
        <w:tc>
          <w:tcPr>
            <w:tcW w:w="0" w:type="auto"/>
          </w:tcPr>
          <w:p>
            <w:pPr>
              <w:spacing w:after="0"/>
            </w:pPr>
          </w:p>
        </w:tc>
        <w:tc>
          <w:tcPr>
            <w:tcW w:w="0" w:type="auto"/>
          </w:tcPr>
          <w:p>
            <w:pPr>
              <w:spacing w:after="0"/>
            </w:pPr>
          </w:p>
        </w:tc>
        <w:tc>
          <w:tcPr>
            <w:tcW w:w="0" w:type="auto"/>
          </w:tcPr>
          <w:p>
            <w:pPr>
              <w:spacing w:after="0"/>
            </w:pP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