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9543E">
      <w:pPr>
        <w:jc w:val="center"/>
        <w:rPr>
          <w:rFonts w:ascii="宋体" w:hAnsi="宋体"/>
          <w:b/>
          <w:sz w:val="52"/>
          <w:szCs w:val="52"/>
        </w:rPr>
      </w:pPr>
      <w:r>
        <w:rPr>
          <w:rFonts w:ascii="宋体" w:hAnsi="宋体"/>
          <w:b/>
          <w:sz w:val="52"/>
          <w:szCs w:val="52"/>
        </w:rPr>
        <w:drawing>
          <wp:inline distT="0" distB="0" distL="0" distR="0">
            <wp:extent cx="3597275" cy="2519045"/>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标志中英文上下组合"/>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597275" cy="2519045"/>
                    </a:xfrm>
                    <a:prstGeom prst="rect">
                      <a:avLst/>
                    </a:prstGeom>
                    <a:noFill/>
                    <a:ln>
                      <a:noFill/>
                    </a:ln>
                  </pic:spPr>
                </pic:pic>
              </a:graphicData>
            </a:graphic>
          </wp:inline>
        </w:drawing>
      </w:r>
    </w:p>
    <w:p w14:paraId="4C5FEAAA">
      <w:pPr>
        <w:jc w:val="center"/>
        <w:rPr>
          <w:rFonts w:ascii="宋体" w:hAnsi="宋体"/>
          <w:b/>
          <w:sz w:val="52"/>
          <w:szCs w:val="52"/>
        </w:rPr>
      </w:pPr>
    </w:p>
    <w:p w14:paraId="295CE040">
      <w:pPr>
        <w:jc w:val="center"/>
        <w:rPr>
          <w:rFonts w:ascii="宋体" w:hAnsi="宋体"/>
          <w:b/>
          <w:sz w:val="52"/>
          <w:szCs w:val="52"/>
        </w:rPr>
      </w:pPr>
      <w:r>
        <w:rPr>
          <w:rFonts w:hint="eastAsia" w:ascii="宋体" w:hAnsi="宋体"/>
          <w:b/>
          <w:sz w:val="52"/>
          <w:szCs w:val="52"/>
        </w:rPr>
        <w:t>硕士研究生学位论文中期检查报告</w:t>
      </w:r>
    </w:p>
    <w:p w14:paraId="24434B4E">
      <w:pPr>
        <w:jc w:val="center"/>
        <w:rPr>
          <w:sz w:val="24"/>
        </w:rPr>
      </w:pPr>
      <w:r>
        <w:rPr>
          <w:b/>
          <w:sz w:val="30"/>
          <w:szCs w:val="30"/>
        </w:rPr>
        <w:t>Mid-term Examination Report for SJTU Master Student</w:t>
      </w:r>
    </w:p>
    <w:p w14:paraId="3A96C0E3">
      <w:pPr>
        <w:rPr>
          <w:sz w:val="24"/>
        </w:rPr>
      </w:pPr>
    </w:p>
    <w:p w14:paraId="2281F4A7">
      <w:pPr>
        <w:rPr>
          <w:sz w:val="24"/>
        </w:rPr>
      </w:pPr>
    </w:p>
    <w:tbl>
      <w:tblPr>
        <w:tblStyle w:val="5"/>
        <w:tblW w:w="7147" w:type="dxa"/>
        <w:jc w:val="center"/>
        <w:tblLayout w:type="autofit"/>
        <w:tblCellMar>
          <w:top w:w="0" w:type="dxa"/>
          <w:left w:w="108" w:type="dxa"/>
          <w:bottom w:w="0" w:type="dxa"/>
          <w:right w:w="108" w:type="dxa"/>
        </w:tblCellMar>
      </w:tblPr>
      <w:tblGrid>
        <w:gridCol w:w="2298"/>
        <w:gridCol w:w="4849"/>
      </w:tblGrid>
      <w:tr w14:paraId="548058BD">
        <w:trPr>
          <w:jc w:val="center"/>
        </w:trPr>
        <w:tc>
          <w:tcPr>
            <w:tcW w:w="2298" w:type="dxa"/>
            <w:shd w:val="clear" w:color="auto" w:fill="auto"/>
            <w:vAlign w:val="bottom"/>
          </w:tcPr>
          <w:p w14:paraId="1922F9EC">
            <w:pPr>
              <w:spacing w:before="120" w:beforeLines="50" w:after="120" w:afterLines="50" w:line="240" w:lineRule="auto"/>
              <w:rPr>
                <w:rFonts w:ascii="楷体_GB2312" w:eastAsia="楷体_GB2312"/>
                <w:b/>
                <w:sz w:val="28"/>
                <w:szCs w:val="28"/>
              </w:rPr>
            </w:pPr>
            <w:permStart w:id="0" w:edGrp="everyone" w:colFirst="1" w:colLast="1"/>
            <w:r>
              <w:rPr>
                <w:rFonts w:hint="eastAsia" w:ascii="楷体_GB2312" w:eastAsia="楷体_GB2312"/>
                <w:b/>
                <w:sz w:val="28"/>
                <w:szCs w:val="28"/>
              </w:rPr>
              <w:t>学号</w:t>
            </w:r>
            <w:r>
              <w:rPr>
                <w:rFonts w:eastAsia="楷体_GB2312"/>
                <w:b/>
                <w:sz w:val="28"/>
                <w:szCs w:val="28"/>
              </w:rPr>
              <w:t xml:space="preserve"> </w:t>
            </w:r>
            <w:r>
              <w:rPr>
                <w:rFonts w:hint="eastAsia" w:eastAsia="楷体_GB2312"/>
                <w:b/>
                <w:sz w:val="24"/>
                <w:szCs w:val="24"/>
              </w:rPr>
              <w:t xml:space="preserve">Student </w:t>
            </w:r>
            <w:r>
              <w:rPr>
                <w:rFonts w:eastAsia="楷体_GB2312"/>
                <w:b/>
                <w:sz w:val="24"/>
                <w:szCs w:val="24"/>
              </w:rPr>
              <w:t>ID</w:t>
            </w:r>
          </w:p>
        </w:tc>
        <w:tc>
          <w:tcPr>
            <w:tcW w:w="4849" w:type="dxa"/>
            <w:tcBorders>
              <w:bottom w:val="single" w:color="auto" w:sz="4" w:space="0"/>
            </w:tcBorders>
            <w:shd w:val="clear" w:color="auto" w:fill="auto"/>
            <w:vAlign w:val="bottom"/>
          </w:tcPr>
          <w:p w14:paraId="0F1B22CA">
            <w:pPr>
              <w:spacing w:line="320" w:lineRule="exact"/>
              <w:rPr>
                <w:rFonts w:ascii="楷体_GB2312" w:eastAsia="楷体_GB2312"/>
                <w:sz w:val="28"/>
                <w:szCs w:val="28"/>
              </w:rPr>
            </w:pPr>
            <w:r>
              <w:rPr>
                <w:rFonts w:hint="eastAsia" w:ascii="楷体_GB2312" w:eastAsia="楷体_GB2312"/>
                <w:sz w:val="28"/>
                <w:szCs w:val="28"/>
              </w:rPr>
              <w:t>124270910044</w:t>
            </w:r>
          </w:p>
        </w:tc>
      </w:tr>
      <w:permEnd w:id="0"/>
      <w:tr w14:paraId="7C126A85">
        <w:trPr>
          <w:jc w:val="center"/>
        </w:trPr>
        <w:tc>
          <w:tcPr>
            <w:tcW w:w="2298" w:type="dxa"/>
            <w:shd w:val="clear" w:color="auto" w:fill="auto"/>
            <w:vAlign w:val="bottom"/>
          </w:tcPr>
          <w:p w14:paraId="3CF3FC2B">
            <w:pPr>
              <w:spacing w:before="120" w:beforeLines="50" w:after="120" w:afterLines="50" w:line="240" w:lineRule="auto"/>
              <w:rPr>
                <w:rFonts w:ascii="楷体_GB2312" w:eastAsia="楷体_GB2312"/>
                <w:b/>
                <w:sz w:val="28"/>
                <w:szCs w:val="28"/>
              </w:rPr>
            </w:pPr>
            <w:permStart w:id="1" w:edGrp="everyone" w:colFirst="1" w:colLast="1"/>
            <w:r>
              <w:rPr>
                <w:rFonts w:hint="eastAsia" w:ascii="楷体_GB2312" w:eastAsia="楷体_GB2312"/>
                <w:b/>
                <w:sz w:val="28"/>
                <w:szCs w:val="28"/>
              </w:rPr>
              <w:t>姓名</w:t>
            </w:r>
            <w:r>
              <w:rPr>
                <w:rFonts w:eastAsia="楷体_GB2312"/>
                <w:b/>
                <w:sz w:val="24"/>
                <w:szCs w:val="24"/>
              </w:rPr>
              <w:t xml:space="preserve"> Name</w:t>
            </w:r>
          </w:p>
        </w:tc>
        <w:tc>
          <w:tcPr>
            <w:tcW w:w="4849" w:type="dxa"/>
            <w:tcBorders>
              <w:top w:val="single" w:color="auto" w:sz="4" w:space="0"/>
              <w:bottom w:val="single" w:color="auto" w:sz="4" w:space="0"/>
            </w:tcBorders>
            <w:shd w:val="clear" w:color="auto" w:fill="auto"/>
            <w:vAlign w:val="bottom"/>
          </w:tcPr>
          <w:p w14:paraId="181BB46B">
            <w:pPr>
              <w:spacing w:line="320" w:lineRule="exact"/>
              <w:rPr>
                <w:rFonts w:hint="default" w:ascii="楷体_GB2312" w:eastAsia="楷体_GB2312"/>
                <w:sz w:val="28"/>
                <w:szCs w:val="28"/>
                <w:lang w:val="en-US" w:eastAsia="zh-CN"/>
              </w:rPr>
            </w:pPr>
            <w:r>
              <w:rPr>
                <w:rFonts w:hint="eastAsia" w:ascii="楷体_GB2312" w:eastAsia="楷体_GB2312"/>
                <w:sz w:val="28"/>
                <w:szCs w:val="28"/>
                <w:lang w:val="en-US" w:eastAsia="zh-CN"/>
              </w:rPr>
              <w:t>陈皓宇</w:t>
            </w:r>
          </w:p>
        </w:tc>
      </w:tr>
      <w:permEnd w:id="1"/>
      <w:tr w14:paraId="2E3D46FB">
        <w:trPr>
          <w:trHeight w:val="654" w:hRule="atLeast"/>
          <w:jc w:val="center"/>
        </w:trPr>
        <w:tc>
          <w:tcPr>
            <w:tcW w:w="2298" w:type="dxa"/>
            <w:shd w:val="clear" w:color="auto" w:fill="auto"/>
            <w:vAlign w:val="center"/>
          </w:tcPr>
          <w:p w14:paraId="24B9D949">
            <w:pPr>
              <w:spacing w:before="120" w:beforeLines="50" w:after="120" w:afterLines="50" w:line="240" w:lineRule="auto"/>
              <w:jc w:val="left"/>
              <w:rPr>
                <w:rFonts w:eastAsia="楷体_GB2312"/>
                <w:b/>
                <w:sz w:val="28"/>
                <w:szCs w:val="28"/>
              </w:rPr>
            </w:pPr>
            <w:r>
              <w:rPr>
                <w:rFonts w:hint="eastAsia" w:eastAsia="楷体_GB2312"/>
                <w:b/>
                <w:sz w:val="28"/>
                <w:szCs w:val="28"/>
              </w:rPr>
              <w:t>学生类别</w:t>
            </w:r>
            <w:r>
              <w:rPr>
                <w:rFonts w:eastAsia="楷体_GB2312"/>
                <w:b/>
                <w:sz w:val="28"/>
                <w:szCs w:val="28"/>
              </w:rPr>
              <w:br w:type="textWrapping"/>
            </w:r>
            <w:r>
              <w:rPr>
                <w:rFonts w:eastAsia="楷体_GB2312"/>
                <w:b/>
                <w:sz w:val="24"/>
                <w:szCs w:val="24"/>
              </w:rPr>
              <w:t>Degree Program</w:t>
            </w:r>
          </w:p>
        </w:tc>
        <w:tc>
          <w:tcPr>
            <w:tcW w:w="4849" w:type="dxa"/>
            <w:tcBorders>
              <w:top w:val="single" w:color="auto" w:sz="4" w:space="0"/>
              <w:bottom w:val="single" w:color="auto" w:sz="4" w:space="0"/>
            </w:tcBorders>
            <w:shd w:val="clear" w:color="auto" w:fill="auto"/>
            <w:vAlign w:val="center"/>
          </w:tcPr>
          <w:p w14:paraId="2C276C17">
            <w:pPr>
              <w:spacing w:before="120" w:after="120"/>
              <w:jc w:val="left"/>
              <w:rPr>
                <w:sz w:val="28"/>
                <w:szCs w:val="28"/>
                <w:u w:val="single"/>
              </w:rPr>
            </w:pPr>
            <w:sdt>
              <w:sdtPr>
                <w:rPr>
                  <w:sz w:val="28"/>
                  <w:szCs w:val="28"/>
                </w:rPr>
                <w:id w:val="-1"/>
                <w:lock w:val="sdtLocked"/>
                <w:placeholder>
                  <w:docPart w:val="DefaultPlaceholder_1081868575"/>
                </w:placeholder>
                <w:dropDownList>
                  <w:listItem w:value="选择一项。"/>
                  <w:listItem w:displayText="学术型硕士生 Academic Master" w:value="1"/>
                  <w:listItem w:displayText="专业型硕士生 Professional Master" w:value="2"/>
                </w:dropDownList>
              </w:sdtPr>
              <w:sdtEndPr>
                <w:rPr>
                  <w:sz w:val="28"/>
                  <w:szCs w:val="28"/>
                </w:rPr>
              </w:sdtEndPr>
              <w:sdtContent>
                <w:permStart w:id="2" w:edGrp="everyone"/>
                <w:r>
                  <w:rPr>
                    <w:rFonts w:ascii="Times New Roman" w:hAnsi="Times New Roman" w:eastAsia="宋体" w:cs="Times New Roman"/>
                    <w:sz w:val="28"/>
                    <w:szCs w:val="28"/>
                    <w:lang w:val="en-US" w:eastAsia="zh-CN" w:bidi="ar-SA"/>
                  </w:rPr>
                  <w:t>专业型硕士生 Professional Master</w:t>
                </w:r>
                <w:permEnd w:id="2"/>
              </w:sdtContent>
            </w:sdt>
          </w:p>
        </w:tc>
      </w:tr>
      <w:tr w14:paraId="26F65578">
        <w:trPr>
          <w:trHeight w:val="654" w:hRule="atLeast"/>
          <w:jc w:val="center"/>
        </w:trPr>
        <w:tc>
          <w:tcPr>
            <w:tcW w:w="2298" w:type="dxa"/>
            <w:shd w:val="clear" w:color="auto" w:fill="auto"/>
            <w:vAlign w:val="center"/>
          </w:tcPr>
          <w:p w14:paraId="1949027A">
            <w:pPr>
              <w:spacing w:before="120" w:beforeLines="50" w:after="120" w:afterLines="50" w:line="240" w:lineRule="auto"/>
              <w:jc w:val="left"/>
              <w:rPr>
                <w:rFonts w:eastAsia="楷体_GB2312"/>
                <w:b/>
                <w:sz w:val="28"/>
                <w:szCs w:val="28"/>
              </w:rPr>
            </w:pPr>
            <w:r>
              <w:rPr>
                <w:rFonts w:hint="eastAsia" w:eastAsia="楷体_GB2312"/>
                <w:b/>
                <w:sz w:val="28"/>
                <w:szCs w:val="28"/>
              </w:rPr>
              <w:t>学习形式</w:t>
            </w:r>
            <w:r>
              <w:rPr>
                <w:rFonts w:eastAsia="楷体_GB2312"/>
                <w:b/>
                <w:sz w:val="28"/>
                <w:szCs w:val="28"/>
              </w:rPr>
              <w:br w:type="textWrapping"/>
            </w:r>
            <w:r>
              <w:rPr>
                <w:rFonts w:eastAsia="楷体_GB2312"/>
                <w:b/>
                <w:sz w:val="24"/>
                <w:szCs w:val="24"/>
              </w:rPr>
              <w:t>Study Mode</w:t>
            </w:r>
          </w:p>
        </w:tc>
        <w:tc>
          <w:tcPr>
            <w:tcW w:w="4849" w:type="dxa"/>
            <w:tcBorders>
              <w:top w:val="single" w:color="auto" w:sz="4" w:space="0"/>
              <w:bottom w:val="single" w:color="auto" w:sz="4" w:space="0"/>
            </w:tcBorders>
            <w:shd w:val="clear" w:color="auto" w:fill="auto"/>
            <w:vAlign w:val="center"/>
          </w:tcPr>
          <w:p w14:paraId="7A19E6A2">
            <w:pPr>
              <w:spacing w:before="120" w:after="120"/>
              <w:jc w:val="left"/>
              <w:rPr>
                <w:sz w:val="28"/>
                <w:szCs w:val="28"/>
              </w:rPr>
            </w:pPr>
            <w:sdt>
              <w:sdtPr>
                <w:rPr>
                  <w:rFonts w:hint="eastAsia" w:ascii="宋体" w:hAnsi="宋体"/>
                  <w:sz w:val="28"/>
                  <w:szCs w:val="28"/>
                </w:rPr>
                <w:id w:val="920292009"/>
                <w:lock w:val="sdtLocked"/>
                <w:placeholder>
                  <w:docPart w:val="DefaultPlaceholder_1081868575"/>
                </w:placeholder>
                <w:dropDownList>
                  <w:listItem w:value="选择一项。"/>
                  <w:listItem w:displayText="全日制 Full-time" w:value="1"/>
                  <w:listItem w:displayText="非全日制 Part-time" w:value="2"/>
                </w:dropDownList>
              </w:sdtPr>
              <w:sdtEndPr>
                <w:rPr>
                  <w:rFonts w:hint="eastAsia" w:ascii="宋体" w:hAnsi="宋体"/>
                  <w:sz w:val="28"/>
                  <w:szCs w:val="28"/>
                </w:rPr>
              </w:sdtEndPr>
              <w:sdtContent>
                <w:permStart w:id="3" w:edGrp="everyone"/>
                <w:r>
                  <w:rPr>
                    <w:rFonts w:hint="eastAsia" w:ascii="宋体" w:hAnsi="宋体" w:eastAsia="宋体" w:cs="Times New Roman"/>
                    <w:sz w:val="28"/>
                    <w:szCs w:val="28"/>
                    <w:lang w:val="en-US" w:eastAsia="zh-CN" w:bidi="ar-SA"/>
                  </w:rPr>
                  <w:t>全日制 Full-time</w:t>
                </w:r>
                <w:permEnd w:id="3"/>
              </w:sdtContent>
            </w:sdt>
          </w:p>
        </w:tc>
      </w:tr>
      <w:tr w14:paraId="574EF4B2">
        <w:trPr>
          <w:trHeight w:val="536" w:hRule="atLeast"/>
          <w:jc w:val="center"/>
        </w:trPr>
        <w:tc>
          <w:tcPr>
            <w:tcW w:w="2298" w:type="dxa"/>
            <w:shd w:val="clear" w:color="auto" w:fill="auto"/>
            <w:vAlign w:val="bottom"/>
          </w:tcPr>
          <w:p w14:paraId="05C92EDC">
            <w:pPr>
              <w:spacing w:before="120" w:beforeLines="50" w:after="120" w:afterLines="50" w:line="240" w:lineRule="auto"/>
              <w:rPr>
                <w:rFonts w:ascii="楷体_GB2312" w:eastAsia="楷体_GB2312"/>
                <w:b/>
                <w:sz w:val="28"/>
                <w:szCs w:val="28"/>
              </w:rPr>
            </w:pPr>
            <w:permStart w:id="4" w:edGrp="everyone" w:colFirst="1" w:colLast="1"/>
            <w:r>
              <w:rPr>
                <w:rFonts w:hint="eastAsia" w:ascii="楷体_GB2312" w:eastAsia="楷体_GB2312"/>
                <w:b/>
                <w:sz w:val="28"/>
                <w:szCs w:val="28"/>
              </w:rPr>
              <w:t>导师</w:t>
            </w:r>
            <w:r>
              <w:rPr>
                <w:rFonts w:hint="eastAsia" w:eastAsia="楷体_GB2312"/>
                <w:b/>
                <w:sz w:val="28"/>
                <w:szCs w:val="28"/>
              </w:rPr>
              <w:t xml:space="preserve"> </w:t>
            </w:r>
            <w:r>
              <w:rPr>
                <w:rFonts w:eastAsia="楷体_GB2312"/>
                <w:b/>
                <w:sz w:val="24"/>
                <w:szCs w:val="24"/>
              </w:rPr>
              <w:t>Supervisor(s)</w:t>
            </w:r>
          </w:p>
        </w:tc>
        <w:tc>
          <w:tcPr>
            <w:tcW w:w="4849" w:type="dxa"/>
            <w:tcBorders>
              <w:top w:val="single" w:color="auto" w:sz="4" w:space="0"/>
              <w:bottom w:val="single" w:color="auto" w:sz="4" w:space="0"/>
            </w:tcBorders>
            <w:shd w:val="clear" w:color="auto" w:fill="auto"/>
            <w:vAlign w:val="bottom"/>
          </w:tcPr>
          <w:p w14:paraId="33769E51">
            <w:pPr>
              <w:spacing w:line="320" w:lineRule="exact"/>
              <w:rPr>
                <w:rFonts w:ascii="楷体_GB2312" w:eastAsia="楷体_GB2312"/>
                <w:sz w:val="28"/>
                <w:szCs w:val="28"/>
              </w:rPr>
            </w:pPr>
            <w:r>
              <w:rPr>
                <w:rFonts w:hint="eastAsia" w:ascii="楷体_GB2312" w:eastAsia="楷体_GB2312"/>
                <w:sz w:val="28"/>
                <w:szCs w:val="28"/>
              </w:rPr>
              <w:t>倪冰冰</w:t>
            </w:r>
          </w:p>
        </w:tc>
      </w:tr>
      <w:permEnd w:id="4"/>
      <w:tr w14:paraId="6DDC2848">
        <w:trPr>
          <w:jc w:val="center"/>
        </w:trPr>
        <w:tc>
          <w:tcPr>
            <w:tcW w:w="2298" w:type="dxa"/>
            <w:shd w:val="clear" w:color="auto" w:fill="auto"/>
            <w:vAlign w:val="bottom"/>
          </w:tcPr>
          <w:p w14:paraId="15C0E78C">
            <w:pPr>
              <w:spacing w:before="120" w:beforeLines="50" w:after="120" w:afterLines="50" w:line="240" w:lineRule="auto"/>
              <w:rPr>
                <w:rFonts w:ascii="楷体_GB2312" w:eastAsia="楷体_GB2312"/>
                <w:b/>
                <w:sz w:val="28"/>
                <w:szCs w:val="28"/>
              </w:rPr>
            </w:pPr>
            <w:permStart w:id="5" w:edGrp="everyone" w:colFirst="1" w:colLast="1"/>
            <w:r>
              <w:rPr>
                <w:rFonts w:hint="eastAsia" w:eastAsia="楷体_GB2312"/>
                <w:b/>
                <w:sz w:val="28"/>
                <w:szCs w:val="28"/>
              </w:rPr>
              <w:t xml:space="preserve">专业 </w:t>
            </w:r>
            <w:r>
              <w:rPr>
                <w:rFonts w:eastAsia="楷体_GB2312"/>
                <w:b/>
                <w:sz w:val="24"/>
                <w:szCs w:val="24"/>
              </w:rPr>
              <w:t>Major</w:t>
            </w:r>
          </w:p>
        </w:tc>
        <w:tc>
          <w:tcPr>
            <w:tcW w:w="4849" w:type="dxa"/>
            <w:tcBorders>
              <w:top w:val="single" w:color="auto" w:sz="4" w:space="0"/>
              <w:bottom w:val="single" w:color="auto" w:sz="4" w:space="0"/>
            </w:tcBorders>
            <w:shd w:val="clear" w:color="auto" w:fill="auto"/>
            <w:vAlign w:val="bottom"/>
          </w:tcPr>
          <w:p w14:paraId="45861AE1">
            <w:pPr>
              <w:spacing w:line="320" w:lineRule="exact"/>
              <w:rPr>
                <w:rFonts w:hint="eastAsia" w:ascii="楷体_GB2312" w:eastAsia="楷体_GB2312"/>
                <w:sz w:val="28"/>
                <w:szCs w:val="28"/>
                <w:lang w:val="en-US" w:eastAsia="zh-CN"/>
              </w:rPr>
            </w:pPr>
            <w:r>
              <w:rPr>
                <w:rFonts w:hint="eastAsia" w:ascii="楷体_GB2312" w:eastAsia="楷体_GB2312"/>
                <w:sz w:val="28"/>
                <w:szCs w:val="28"/>
                <w:lang w:val="en-US" w:eastAsia="zh-CN"/>
              </w:rPr>
              <w:t>数字文创与管理</w:t>
            </w:r>
          </w:p>
        </w:tc>
      </w:tr>
      <w:permEnd w:id="5"/>
      <w:tr w14:paraId="53948466">
        <w:trPr>
          <w:jc w:val="center"/>
        </w:trPr>
        <w:tc>
          <w:tcPr>
            <w:tcW w:w="2298" w:type="dxa"/>
            <w:shd w:val="clear" w:color="auto" w:fill="auto"/>
            <w:vAlign w:val="bottom"/>
          </w:tcPr>
          <w:p w14:paraId="32643F0C">
            <w:pPr>
              <w:spacing w:before="120" w:beforeLines="50" w:after="120" w:afterLines="50" w:line="240" w:lineRule="auto"/>
              <w:rPr>
                <w:rFonts w:ascii="楷体_GB2312" w:eastAsia="楷体_GB2312"/>
                <w:b/>
                <w:sz w:val="28"/>
                <w:szCs w:val="28"/>
              </w:rPr>
            </w:pPr>
            <w:permStart w:id="6" w:edGrp="everyone" w:colFirst="1" w:colLast="1"/>
            <w:r>
              <w:rPr>
                <w:rFonts w:hint="eastAsia" w:eastAsia="楷体_GB2312"/>
                <w:b/>
                <w:sz w:val="28"/>
                <w:szCs w:val="28"/>
              </w:rPr>
              <w:t>学院</w:t>
            </w:r>
            <w:r>
              <w:rPr>
                <w:rFonts w:eastAsia="楷体_GB2312"/>
                <w:b/>
                <w:sz w:val="28"/>
                <w:szCs w:val="28"/>
              </w:rPr>
              <w:t xml:space="preserve"> </w:t>
            </w:r>
            <w:r>
              <w:rPr>
                <w:rFonts w:eastAsia="楷体_GB2312"/>
                <w:b/>
                <w:sz w:val="24"/>
                <w:szCs w:val="24"/>
              </w:rPr>
              <w:t>School</w:t>
            </w:r>
          </w:p>
        </w:tc>
        <w:tc>
          <w:tcPr>
            <w:tcW w:w="4849" w:type="dxa"/>
            <w:tcBorders>
              <w:top w:val="single" w:color="auto" w:sz="4" w:space="0"/>
              <w:bottom w:val="single" w:color="auto" w:sz="4" w:space="0"/>
            </w:tcBorders>
            <w:shd w:val="clear" w:color="auto" w:fill="auto"/>
            <w:vAlign w:val="bottom"/>
          </w:tcPr>
          <w:p w14:paraId="135DA2D2">
            <w:pPr>
              <w:spacing w:line="320" w:lineRule="exact"/>
              <w:rPr>
                <w:rFonts w:ascii="楷体_GB2312" w:eastAsia="楷体_GB2312"/>
                <w:sz w:val="28"/>
                <w:szCs w:val="28"/>
              </w:rPr>
            </w:pPr>
            <w:r>
              <w:rPr>
                <w:rFonts w:hint="eastAsia" w:ascii="楷体_GB2312" w:eastAsia="楷体_GB2312"/>
                <w:sz w:val="28"/>
                <w:szCs w:val="28"/>
              </w:rPr>
              <w:t>上海交大-南加州大学文化创意产业学院</w:t>
            </w:r>
          </w:p>
        </w:tc>
      </w:tr>
      <w:permEnd w:id="6"/>
      <w:tr w14:paraId="58ACB3D8">
        <w:trPr>
          <w:jc w:val="center"/>
        </w:trPr>
        <w:tc>
          <w:tcPr>
            <w:tcW w:w="2298" w:type="dxa"/>
            <w:shd w:val="clear" w:color="auto" w:fill="auto"/>
            <w:vAlign w:val="bottom"/>
          </w:tcPr>
          <w:p w14:paraId="657DD1D4">
            <w:pPr>
              <w:spacing w:before="120" w:beforeLines="50" w:after="120" w:afterLines="50" w:line="240" w:lineRule="auto"/>
              <w:rPr>
                <w:rFonts w:ascii="楷体_GB2312" w:eastAsia="楷体_GB2312"/>
                <w:b/>
                <w:sz w:val="28"/>
                <w:szCs w:val="28"/>
              </w:rPr>
            </w:pPr>
            <w:permStart w:id="7" w:edGrp="everyone" w:colFirst="1" w:colLast="1"/>
            <w:r>
              <w:rPr>
                <w:rFonts w:hint="eastAsia" w:ascii="楷体_GB2312" w:eastAsia="楷体_GB2312"/>
                <w:b/>
                <w:sz w:val="28"/>
                <w:szCs w:val="28"/>
              </w:rPr>
              <w:t>考核日期</w:t>
            </w:r>
            <w:r>
              <w:rPr>
                <w:rFonts w:eastAsia="楷体_GB2312"/>
                <w:b/>
                <w:sz w:val="28"/>
                <w:szCs w:val="28"/>
              </w:rPr>
              <w:t xml:space="preserve"> </w:t>
            </w:r>
            <w:r>
              <w:rPr>
                <w:rFonts w:eastAsia="楷体_GB2312"/>
                <w:b/>
                <w:sz w:val="24"/>
                <w:szCs w:val="24"/>
              </w:rPr>
              <w:t>Date</w:t>
            </w:r>
          </w:p>
        </w:tc>
        <w:tc>
          <w:tcPr>
            <w:tcW w:w="4849" w:type="dxa"/>
            <w:tcBorders>
              <w:top w:val="single" w:color="auto" w:sz="4" w:space="0"/>
              <w:bottom w:val="single" w:color="auto" w:sz="4" w:space="0"/>
            </w:tcBorders>
            <w:shd w:val="clear" w:color="auto" w:fill="auto"/>
            <w:vAlign w:val="bottom"/>
          </w:tcPr>
          <w:p w14:paraId="696DC991">
            <w:pPr>
              <w:spacing w:line="320" w:lineRule="exact"/>
              <w:rPr>
                <w:rFonts w:hint="default" w:ascii="楷体_GB2312" w:eastAsia="楷体_GB2312"/>
                <w:sz w:val="28"/>
                <w:szCs w:val="28"/>
                <w:lang w:val="en-US" w:eastAsia="zh-CN"/>
              </w:rPr>
            </w:pPr>
            <w:r>
              <w:rPr>
                <w:rFonts w:hint="eastAsia" w:ascii="楷体_GB2312" w:eastAsia="楷体_GB2312"/>
                <w:sz w:val="28"/>
                <w:szCs w:val="28"/>
                <w:lang w:val="en-US" w:eastAsia="zh-CN"/>
              </w:rPr>
              <w:t>2026年9月23日</w:t>
            </w:r>
          </w:p>
        </w:tc>
      </w:tr>
      <w:permEnd w:id="7"/>
    </w:tbl>
    <w:p w14:paraId="62CA0984">
      <w:pPr>
        <w:rPr>
          <w:sz w:val="24"/>
        </w:rPr>
        <w:sectPr>
          <w:headerReference r:id="rId5" w:type="default"/>
          <w:footerReference r:id="rId6" w:type="default"/>
          <w:footerReference r:id="rId7" w:type="even"/>
          <w:pgSz w:w="11907" w:h="16840"/>
          <w:pgMar w:top="1191" w:right="1134" w:bottom="851" w:left="1134" w:header="851" w:footer="992" w:gutter="0"/>
          <w:pgNumType w:start="0"/>
          <w:cols w:space="425" w:num="1"/>
          <w:titlePg/>
          <w:docGrid w:linePitch="286" w:charSpace="0"/>
        </w:sectPr>
      </w:pPr>
    </w:p>
    <w:p w14:paraId="04B97241">
      <w:pPr>
        <w:jc w:val="center"/>
        <w:rPr>
          <w:rFonts w:eastAsia="黑体"/>
          <w:sz w:val="30"/>
        </w:rPr>
      </w:pPr>
      <w:r>
        <w:rPr>
          <w:rFonts w:hint="eastAsia" w:eastAsia="黑体"/>
          <w:sz w:val="30"/>
        </w:rPr>
        <w:t xml:space="preserve">填报说明 </w:t>
      </w:r>
      <w:r>
        <w:rPr>
          <w:rFonts w:eastAsia="黑体"/>
          <w:b/>
          <w:sz w:val="30"/>
        </w:rPr>
        <w:t>Instruction</w:t>
      </w:r>
    </w:p>
    <w:p w14:paraId="0CFB37F2">
      <w:pPr>
        <w:pStyle w:val="13"/>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eastAsia="仿宋_GB2312"/>
          <w:color w:val="000000" w:themeColor="text1"/>
          <w:sz w:val="24"/>
          <w14:textFill>
            <w14:solidFill>
              <w14:schemeClr w14:val="tx1"/>
            </w14:solidFill>
          </w14:textFill>
        </w:rPr>
        <w:t>硕士</w:t>
      </w:r>
      <w:r>
        <w:rPr>
          <w:rFonts w:eastAsia="仿宋_GB2312"/>
          <w:color w:val="000000" w:themeColor="text1"/>
          <w:sz w:val="24"/>
          <w14:textFill>
            <w14:solidFill>
              <w14:schemeClr w14:val="tx1"/>
            </w14:solidFill>
          </w14:textFill>
        </w:rPr>
        <w:t>研究生学位论文中期检查应通过</w:t>
      </w:r>
      <w:r>
        <w:fldChar w:fldCharType="begin"/>
      </w:r>
      <w:r>
        <w:instrText xml:space="preserve"> HYPERLINK "http://my.sjtu.edu.cn/" </w:instrText>
      </w:r>
      <w:r>
        <w:fldChar w:fldCharType="separate"/>
      </w:r>
      <w:r>
        <w:rPr>
          <w:rStyle w:val="10"/>
          <w:rFonts w:eastAsia="仿宋_GB2312"/>
          <w:sz w:val="24"/>
        </w:rPr>
        <w:t>数字交大</w:t>
      </w:r>
      <w:r>
        <w:rPr>
          <w:rStyle w:val="10"/>
          <w:rFonts w:eastAsia="仿宋_GB2312"/>
          <w:sz w:val="24"/>
        </w:rPr>
        <w:fldChar w:fldCharType="end"/>
      </w:r>
      <w:r>
        <w:rPr>
          <w:rFonts w:eastAsia="仿宋_GB2312"/>
          <w:color w:val="000000" w:themeColor="text1"/>
          <w:sz w:val="24"/>
          <w14:textFill>
            <w14:solidFill>
              <w14:schemeClr w14:val="tx1"/>
            </w14:solidFill>
          </w14:textFill>
        </w:rPr>
        <w:t>在线提交申请</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填写本表并上传系统。特殊情况下经研究生院事先同意</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可不上传系统</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并使用</w:t>
      </w:r>
      <w:r>
        <w:rPr>
          <w:rFonts w:hint="eastAsia" w:eastAsia="仿宋_GB2312"/>
          <w:color w:val="000000" w:themeColor="text1"/>
          <w:sz w:val="24"/>
          <w14:textFill>
            <w14:solidFill>
              <w14:schemeClr w14:val="tx1"/>
            </w14:solidFill>
          </w14:textFill>
        </w:rPr>
        <w:t>《上海交通大学硕士论文中期检查评审表》完成</w:t>
      </w:r>
      <w:r>
        <w:rPr>
          <w:rFonts w:eastAsia="仿宋_GB2312"/>
          <w:color w:val="000000" w:themeColor="text1"/>
          <w:sz w:val="24"/>
          <w14:textFill>
            <w14:solidFill>
              <w14:schemeClr w14:val="tx1"/>
            </w14:solidFill>
          </w14:textFill>
        </w:rPr>
        <w:t>评审</w:t>
      </w:r>
      <w:r>
        <w:rPr>
          <w:rFonts w:hint="eastAsia" w:eastAsia="仿宋_GB2312"/>
          <w:color w:val="000000" w:themeColor="text1"/>
          <w:sz w:val="24"/>
          <w14:textFill>
            <w14:solidFill>
              <w14:schemeClr w14:val="tx1"/>
            </w14:solidFill>
          </w14:textFill>
        </w:rPr>
        <w:t>。</w:t>
      </w:r>
    </w:p>
    <w:p w14:paraId="3E05E823">
      <w:pPr>
        <w:pStyle w:val="13"/>
        <w:spacing w:before="156" w:beforeLines="50" w:line="300" w:lineRule="auto"/>
        <w:ind w:left="420" w:firstLine="0" w:firstLineChars="0"/>
        <w:rPr>
          <w:rFonts w:eastAsia="仿宋_GB2312"/>
          <w:color w:val="000000" w:themeColor="text1"/>
          <w:sz w:val="24"/>
          <w14:textFill>
            <w14:solidFill>
              <w14:schemeClr w14:val="tx1"/>
            </w14:solidFill>
          </w14:textFill>
        </w:rPr>
      </w:pPr>
      <w:r>
        <w:rPr>
          <w:rFonts w:eastAsia="仿宋_GB2312"/>
          <w:color w:val="000000" w:themeColor="text1"/>
          <w:sz w:val="24"/>
          <w14:textFill>
            <w14:solidFill>
              <w14:schemeClr w14:val="tx1"/>
            </w14:solidFill>
          </w14:textFill>
        </w:rPr>
        <w:t xml:space="preserve">The application for thesis mid-term examination should be submitted online through </w:t>
      </w:r>
      <w:r>
        <w:fldChar w:fldCharType="begin"/>
      </w:r>
      <w:r>
        <w:instrText xml:space="preserve"> HYPERLINK "http://my.sjtu.edu.cn/" </w:instrText>
      </w:r>
      <w:r>
        <w:fldChar w:fldCharType="separate"/>
      </w:r>
      <w:r>
        <w:rPr>
          <w:rStyle w:val="10"/>
          <w:rFonts w:eastAsia="仿宋_GB2312"/>
          <w:sz w:val="24"/>
        </w:rPr>
        <w:t>My SJTU</w:t>
      </w:r>
      <w:r>
        <w:rPr>
          <w:rStyle w:val="10"/>
          <w:rFonts w:eastAsia="仿宋_GB2312"/>
          <w:sz w:val="24"/>
        </w:rPr>
        <w:fldChar w:fldCharType="end"/>
      </w:r>
      <w:r>
        <w:rPr>
          <w:rFonts w:eastAsia="仿宋_GB2312"/>
          <w:color w:val="000000" w:themeColor="text1"/>
          <w:sz w:val="24"/>
          <w14:textFill>
            <w14:solidFill>
              <w14:schemeClr w14:val="tx1"/>
            </w14:solidFill>
          </w14:textFill>
        </w:rPr>
        <w:t>. The student shall filled this form and upload it in the system. Under special circumstance, this form does not need to be uploaded and the review can be proceeded with the review form with prior consent from the graduate school.</w:t>
      </w:r>
    </w:p>
    <w:p w14:paraId="0C023F0A">
      <w:pPr>
        <w:pStyle w:val="13"/>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ascii="仿宋_GB2312" w:eastAsia="仿宋_GB2312"/>
          <w:sz w:val="24"/>
        </w:rPr>
        <w:t>本报告请用</w:t>
      </w:r>
      <w:r>
        <w:rPr>
          <w:rFonts w:ascii="仿宋_GB2312" w:eastAsia="仿宋_GB2312"/>
          <w:sz w:val="24"/>
        </w:rPr>
        <w:t>A4纸双面打印</w:t>
      </w:r>
      <w:r>
        <w:rPr>
          <w:rFonts w:hint="eastAsia" w:ascii="仿宋_GB2312" w:eastAsia="仿宋_GB2312"/>
          <w:sz w:val="24"/>
        </w:rPr>
        <w:t>，</w:t>
      </w:r>
      <w:bookmarkStart w:id="0" w:name="OLE_LINK2"/>
      <w:bookmarkStart w:id="1" w:name="OLE_LINK1"/>
      <w:r>
        <w:rPr>
          <w:rFonts w:hint="eastAsia" w:ascii="仿宋_GB2312" w:eastAsia="仿宋_GB2312"/>
          <w:sz w:val="24"/>
        </w:rPr>
        <w:t>于左侧订在一起</w:t>
      </w:r>
      <w:bookmarkEnd w:id="0"/>
      <w:bookmarkEnd w:id="1"/>
      <w:r>
        <w:rPr>
          <w:rFonts w:hint="eastAsia" w:ascii="仿宋_GB2312" w:eastAsia="仿宋_GB2312"/>
          <w:sz w:val="24"/>
        </w:rPr>
        <w:t>。各栏空格不够时，请自行加页。考核前提前一周送交导师、评审专家审阅。</w:t>
      </w:r>
    </w:p>
    <w:p w14:paraId="2B9A8E6B">
      <w:pPr>
        <w:spacing w:before="156" w:beforeLines="50" w:line="300" w:lineRule="auto"/>
        <w:ind w:left="480"/>
        <w:rPr>
          <w:rFonts w:eastAsia="仿宋_GB2312"/>
          <w:sz w:val="24"/>
        </w:rPr>
      </w:pPr>
      <w:r>
        <w:rPr>
          <w:rFonts w:eastAsia="仿宋_GB2312"/>
          <w:sz w:val="24"/>
        </w:rPr>
        <w:t>This report should be printed with A4 paper</w:t>
      </w:r>
      <w:r>
        <w:rPr>
          <w:rFonts w:hint="eastAsia" w:eastAsia="仿宋_GB2312"/>
          <w:sz w:val="24"/>
        </w:rPr>
        <w:t>s</w:t>
      </w:r>
      <w:r>
        <w:rPr>
          <w:rFonts w:eastAsia="仿宋_GB2312"/>
          <w:sz w:val="24"/>
        </w:rPr>
        <w:t xml:space="preserve"> and bound </w:t>
      </w:r>
      <w:r>
        <w:rPr>
          <w:rFonts w:hint="eastAsia" w:eastAsia="仿宋_GB2312"/>
          <w:sz w:val="24"/>
        </w:rPr>
        <w:t xml:space="preserve">together </w:t>
      </w:r>
      <w:r>
        <w:rPr>
          <w:rFonts w:eastAsia="仿宋_GB2312"/>
          <w:sz w:val="24"/>
        </w:rPr>
        <w:t>on the left. If the space left is not enough, please feel free to add extra pages. The print version shall be sent to the supervisor, and the review committee members for review at least one week before the oral presentation.</w:t>
      </w:r>
    </w:p>
    <w:p w14:paraId="174BD04C">
      <w:pPr>
        <w:numPr>
          <w:ilvl w:val="0"/>
          <w:numId w:val="1"/>
        </w:numPr>
        <w:adjustRightInd/>
        <w:spacing w:before="156" w:beforeLines="50" w:line="300" w:lineRule="auto"/>
        <w:ind w:left="480" w:hanging="480" w:hangingChars="200"/>
        <w:textAlignment w:val="auto"/>
        <w:rPr>
          <w:rFonts w:eastAsia="仿宋_GB2312"/>
          <w:sz w:val="24"/>
        </w:rPr>
      </w:pPr>
      <w:r>
        <w:rPr>
          <w:rFonts w:hint="eastAsia" w:ascii="仿宋_GB2312" w:eastAsia="仿宋_GB2312"/>
          <w:sz w:val="24"/>
        </w:rPr>
        <w:t>中期检查报告通过后，定稿版报告由研究生、导师各存档一份，无需上传系统。</w:t>
      </w:r>
    </w:p>
    <w:p w14:paraId="65745047">
      <w:pPr>
        <w:spacing w:before="156" w:beforeLines="50" w:line="300" w:lineRule="auto"/>
        <w:ind w:left="480"/>
        <w:rPr>
          <w:rFonts w:eastAsia="仿宋_GB2312"/>
          <w:sz w:val="24"/>
        </w:rPr>
      </w:pPr>
      <w:r>
        <w:rPr>
          <w:rFonts w:hint="eastAsia" w:eastAsia="仿宋_GB2312"/>
          <w:sz w:val="24"/>
        </w:rPr>
        <w:t>U</w:t>
      </w:r>
      <w:r>
        <w:rPr>
          <w:rFonts w:eastAsia="仿宋_GB2312"/>
          <w:sz w:val="24"/>
        </w:rPr>
        <w:t>pon passing the review, the final version of this report shall be archived by the graduate student and his/her supervisors for future reference.</w:t>
      </w:r>
    </w:p>
    <w:p w14:paraId="15660212">
      <w:pPr>
        <w:spacing w:before="156" w:beforeLines="50" w:line="300" w:lineRule="auto"/>
        <w:ind w:left="480"/>
        <w:rPr>
          <w:rFonts w:eastAsia="仿宋_GB2312"/>
          <w:sz w:val="24"/>
        </w:rPr>
      </w:pPr>
    </w:p>
    <w:p w14:paraId="6AA24FD1">
      <w:pPr>
        <w:snapToGrid w:val="0"/>
        <w:sectPr>
          <w:footerReference r:id="rId10" w:type="first"/>
          <w:footerReference r:id="rId8" w:type="default"/>
          <w:footerReference r:id="rId9" w:type="even"/>
          <w:pgSz w:w="11906" w:h="16838"/>
          <w:pgMar w:top="1418" w:right="1588" w:bottom="1418" w:left="1588" w:header="851" w:footer="851" w:gutter="0"/>
          <w:cols w:space="425" w:num="1"/>
          <w:docGrid w:type="lines" w:linePitch="312" w:charSpace="0"/>
        </w:sectPr>
      </w:pPr>
    </w:p>
    <w:p w14:paraId="43FAAC7F">
      <w:pPr>
        <w:adjustRightInd/>
        <w:spacing w:line="360" w:lineRule="auto"/>
        <w:ind w:left="510"/>
        <w:jc w:val="center"/>
        <w:textAlignment w:val="auto"/>
        <w:rPr>
          <w:rFonts w:eastAsia="仿宋_GB2312"/>
          <w:b/>
          <w:sz w:val="28"/>
          <w:szCs w:val="28"/>
        </w:rPr>
      </w:pPr>
      <w:r>
        <w:rPr>
          <w:rFonts w:hint="eastAsia" w:eastAsia="仿宋_GB2312"/>
          <w:b/>
          <w:sz w:val="28"/>
          <w:szCs w:val="28"/>
        </w:rPr>
        <w:t>中期检查</w:t>
      </w:r>
      <w:r>
        <w:rPr>
          <w:rFonts w:eastAsia="仿宋_GB2312"/>
          <w:b/>
          <w:sz w:val="28"/>
          <w:szCs w:val="28"/>
        </w:rPr>
        <w:t>报告 Mid-term Examination Report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6458"/>
      </w:tblGrid>
      <w:tr w14:paraId="5891870E">
        <w:trPr>
          <w:jc w:val="center"/>
        </w:trPr>
        <w:tc>
          <w:tcPr>
            <w:tcW w:w="2694" w:type="dxa"/>
            <w:shd w:val="clear" w:color="auto" w:fill="auto"/>
            <w:vAlign w:val="center"/>
          </w:tcPr>
          <w:p w14:paraId="216F7E25">
            <w:pPr>
              <w:spacing w:line="360" w:lineRule="auto"/>
              <w:rPr>
                <w:rFonts w:eastAsia="仿宋_GB2312"/>
                <w:sz w:val="24"/>
              </w:rPr>
            </w:pPr>
            <w:permStart w:id="8" w:edGrp="everyone" w:colFirst="1" w:colLast="1"/>
            <w:r>
              <w:rPr>
                <w:rFonts w:eastAsia="仿宋_GB2312"/>
                <w:sz w:val="24"/>
              </w:rPr>
              <w:t>论文题目</w:t>
            </w:r>
          </w:p>
          <w:p w14:paraId="44A9B916">
            <w:pPr>
              <w:spacing w:line="360" w:lineRule="auto"/>
              <w:rPr>
                <w:rFonts w:eastAsia="仿宋_GB2312"/>
                <w:sz w:val="24"/>
              </w:rPr>
            </w:pPr>
            <w:r>
              <w:rPr>
                <w:rFonts w:eastAsia="仿宋_GB2312"/>
                <w:sz w:val="24"/>
              </w:rPr>
              <w:t>Thesis Title</w:t>
            </w:r>
          </w:p>
        </w:tc>
        <w:tc>
          <w:tcPr>
            <w:tcW w:w="6458" w:type="dxa"/>
            <w:shd w:val="clear" w:color="auto" w:fill="auto"/>
            <w:vAlign w:val="center"/>
          </w:tcPr>
          <w:p w14:paraId="552524EA">
            <w:pPr>
              <w:spacing w:line="360" w:lineRule="auto"/>
              <w:rPr>
                <w:rFonts w:hint="eastAsia" w:eastAsia="仿宋_GB2312"/>
                <w:b/>
                <w:sz w:val="24"/>
              </w:rPr>
            </w:pPr>
            <w:r>
              <w:rPr>
                <w:rFonts w:hint="eastAsia" w:eastAsia="仿宋_GB2312"/>
                <w:b/>
                <w:sz w:val="24"/>
              </w:rPr>
              <w:t>基于笔触拆解计算的数字绘画辅助系统交互设计研究——以“星迹智绘”为例</w:t>
            </w:r>
          </w:p>
          <w:p w14:paraId="7EEC6EE5">
            <w:pPr>
              <w:spacing w:line="360" w:lineRule="auto"/>
              <w:rPr>
                <w:rFonts w:hint="eastAsia" w:eastAsia="仿宋_GB2312"/>
                <w:b/>
                <w:sz w:val="24"/>
              </w:rPr>
            </w:pPr>
            <w:r>
              <w:rPr>
                <w:rFonts w:hint="eastAsia" w:eastAsia="仿宋_GB2312"/>
                <w:b/>
                <w:sz w:val="24"/>
              </w:rPr>
              <w:t>Research on Interaction Design of Digital Painting Assistance System Based on Stroke Decomposition Computation: A Case Study of Star Trace Paint</w:t>
            </w:r>
          </w:p>
        </w:tc>
      </w:tr>
      <w:permEnd w:id="8"/>
      <w:tr w14:paraId="7717257B">
        <w:trPr>
          <w:jc w:val="center"/>
        </w:trPr>
        <w:tc>
          <w:tcPr>
            <w:tcW w:w="2694" w:type="dxa"/>
            <w:shd w:val="clear" w:color="auto" w:fill="auto"/>
            <w:vAlign w:val="center"/>
          </w:tcPr>
          <w:p w14:paraId="0F9EDBD1">
            <w:pPr>
              <w:spacing w:line="360" w:lineRule="auto"/>
              <w:rPr>
                <w:rFonts w:eastAsia="仿宋_GB2312"/>
                <w:sz w:val="24"/>
              </w:rPr>
            </w:pPr>
            <w:r>
              <w:rPr>
                <w:rFonts w:eastAsia="仿宋_GB2312"/>
                <w:sz w:val="24"/>
              </w:rPr>
              <w:t>研究课题来源</w:t>
            </w:r>
          </w:p>
          <w:p w14:paraId="0D8BCA31">
            <w:pPr>
              <w:spacing w:line="360" w:lineRule="auto"/>
              <w:rPr>
                <w:rFonts w:eastAsia="仿宋_GB2312"/>
                <w:sz w:val="24"/>
              </w:rPr>
            </w:pPr>
            <w:r>
              <w:rPr>
                <w:rFonts w:eastAsia="仿宋_GB2312"/>
                <w:sz w:val="24"/>
              </w:rPr>
              <w:t>Source of Research Project</w:t>
            </w:r>
          </w:p>
        </w:tc>
        <w:tc>
          <w:tcPr>
            <w:tcW w:w="6458" w:type="dxa"/>
            <w:shd w:val="clear" w:color="auto" w:fill="auto"/>
          </w:tcPr>
          <w:p w14:paraId="32AC70A7">
            <w:pPr>
              <w:spacing w:line="300" w:lineRule="auto"/>
              <w:jc w:val="left"/>
              <w:rPr>
                <w:rFonts w:ascii="华文仿宋" w:hAnsi="华文仿宋" w:eastAsia="华文仿宋"/>
                <w:szCs w:val="21"/>
              </w:rPr>
            </w:pPr>
            <w:r>
              <w:rPr>
                <w:rFonts w:ascii="华文仿宋" w:hAnsi="华文仿宋" w:eastAsia="华文仿宋"/>
                <w:sz w:val="24"/>
              </w:rPr>
              <w:t>请在合适选项前画</w:t>
            </w:r>
            <w:r>
              <w:rPr>
                <w:rFonts w:hint="eastAsia" w:ascii="华文仿宋" w:hAnsi="华文仿宋" w:eastAsia="华文仿宋"/>
                <w:sz w:val="24"/>
              </w:rPr>
              <w:t xml:space="preserve">√ </w:t>
            </w:r>
            <w:r>
              <w:rPr>
                <w:rFonts w:eastAsia="华文仿宋"/>
                <w:szCs w:val="21"/>
              </w:rPr>
              <w:t xml:space="preserve">Please select the proper options by </w:t>
            </w:r>
            <w:r>
              <w:rPr>
                <w:rFonts w:ascii="华文仿宋" w:hAnsi="华文仿宋" w:eastAsia="华文仿宋"/>
                <w:szCs w:val="21"/>
              </w:rPr>
              <w:t>“</w:t>
            </w:r>
            <w:r>
              <w:rPr>
                <w:rFonts w:hint="eastAsia" w:ascii="华文仿宋" w:hAnsi="华文仿宋" w:eastAsia="华文仿宋"/>
                <w:szCs w:val="21"/>
              </w:rPr>
              <w:t>√</w:t>
            </w:r>
            <w:r>
              <w:rPr>
                <w:rFonts w:ascii="华文仿宋" w:hAnsi="华文仿宋" w:eastAsia="华文仿宋"/>
                <w:szCs w:val="21"/>
              </w:rPr>
              <w:t>”</w:t>
            </w:r>
            <w:r>
              <w:rPr>
                <w:rFonts w:hint="eastAsia" w:ascii="华文仿宋" w:hAnsi="华文仿宋" w:eastAsia="华文仿宋"/>
                <w:szCs w:val="21"/>
              </w:rPr>
              <w:t>.</w:t>
            </w:r>
          </w:p>
          <w:p w14:paraId="61E72F79">
            <w:pPr>
              <w:spacing w:line="300" w:lineRule="auto"/>
              <w:jc w:val="left"/>
              <w:rPr>
                <w:rFonts w:eastAsia="仿宋_GB2312"/>
                <w:sz w:val="24"/>
              </w:rPr>
            </w:pPr>
            <w:r>
              <w:rPr>
                <w:rFonts w:hint="eastAsia"/>
                <w:lang w:eastAsia="zh-CN"/>
              </w:rPr>
              <w:t>☑</w:t>
            </w:r>
            <w:r>
              <w:rPr>
                <w:rFonts w:ascii="Times New Roman" w:hAnsi="Times New Roman" w:eastAsia="宋体"/>
              </w:rPr>
              <w:t xml:space="preserve"> </w:t>
            </w:r>
            <w:r>
              <w:rPr>
                <w:rFonts w:ascii="华文仿宋" w:hAnsi="华文仿宋" w:eastAsia="华文仿宋"/>
                <w:sz w:val="24"/>
              </w:rPr>
              <w:t>国家自然科学基金课题</w:t>
            </w:r>
            <w:r>
              <w:rPr>
                <w:rFonts w:eastAsia="仿宋_GB2312"/>
                <w:sz w:val="24"/>
              </w:rPr>
              <w:t xml:space="preserve"> NSFC Research Grants</w:t>
            </w:r>
          </w:p>
          <w:p w14:paraId="71219B40">
            <w:pPr>
              <w:spacing w:line="300" w:lineRule="auto"/>
              <w:jc w:val="left"/>
              <w:rPr>
                <w:rFonts w:eastAsia="仿宋_GB2312"/>
                <w:sz w:val="24"/>
              </w:rPr>
            </w:pPr>
            <w:sdt>
              <w:sdtPr>
                <w:rPr>
                  <w:rFonts w:ascii="华文仿宋" w:hAnsi="华文仿宋" w:eastAsia="华文仿宋"/>
                  <w:sz w:val="24"/>
                </w:rPr>
                <w:id w:val="328316849"/>
                <w14:checkbox>
                  <w14:checked w14:val="0"/>
                  <w14:checkedState w14:val="221A" w14:font="宋体"/>
                  <w14:uncheckedState w14:val="2610" w14:font="MS Gothic"/>
                </w14:checkbox>
              </w:sdtPr>
              <w:sdtEndPr>
                <w:rPr>
                  <w:rFonts w:ascii="华文仿宋" w:hAnsi="华文仿宋" w:eastAsia="华文仿宋"/>
                  <w:sz w:val="24"/>
                </w:rPr>
              </w:sdtEndPr>
              <w:sdtContent>
                <w:permStart w:id="9" w:edGrp="everyone"/>
                <w:r>
                  <w:rPr>
                    <w:rFonts w:hint="eastAsia" w:ascii="MS Gothic" w:hAnsi="MS Gothic" w:eastAsia="MS Gothic"/>
                    <w:sz w:val="24"/>
                  </w:rPr>
                  <w:t>☐</w:t>
                </w:r>
                <w:permEnd w:id="9"/>
              </w:sdtContent>
            </w:sdt>
            <w:r>
              <w:rPr>
                <w:rFonts w:ascii="华文仿宋" w:hAnsi="华文仿宋" w:eastAsia="华文仿宋"/>
                <w:sz w:val="24"/>
              </w:rPr>
              <w:t xml:space="preserve"> </w:t>
            </w:r>
            <w:r>
              <w:rPr>
                <w:rFonts w:hint="eastAsia" w:ascii="华文仿宋" w:hAnsi="华文仿宋" w:eastAsia="华文仿宋"/>
                <w:sz w:val="24"/>
              </w:rPr>
              <w:t xml:space="preserve">国家社会科学基金 </w:t>
            </w:r>
            <w:r>
              <w:rPr>
                <w:rFonts w:hint="eastAsia" w:eastAsia="仿宋_GB2312"/>
                <w:sz w:val="24"/>
              </w:rPr>
              <w:t>National Social Science Fund of China</w:t>
            </w:r>
          </w:p>
          <w:p w14:paraId="1ED7B81E">
            <w:pPr>
              <w:spacing w:line="300" w:lineRule="auto"/>
              <w:jc w:val="left"/>
              <w:rPr>
                <w:rFonts w:ascii="华文仿宋" w:hAnsi="华文仿宋" w:eastAsia="华文仿宋"/>
                <w:sz w:val="24"/>
              </w:rPr>
            </w:pPr>
            <w:sdt>
              <w:sdtPr>
                <w:rPr>
                  <w:rFonts w:ascii="华文仿宋" w:hAnsi="华文仿宋" w:eastAsia="华文仿宋"/>
                  <w:sz w:val="24"/>
                </w:rPr>
                <w:id w:val="949205886"/>
                <w14:checkbox>
                  <w14:checked w14:val="0"/>
                  <w14:checkedState w14:val="221A" w14:font="宋体"/>
                  <w14:uncheckedState w14:val="2610" w14:font="MS Gothic"/>
                </w14:checkbox>
              </w:sdtPr>
              <w:sdtEndPr>
                <w:rPr>
                  <w:rFonts w:ascii="华文仿宋" w:hAnsi="华文仿宋" w:eastAsia="华文仿宋"/>
                  <w:sz w:val="24"/>
                </w:rPr>
              </w:sdtEndPr>
              <w:sdtContent>
                <w:permStart w:id="10" w:edGrp="everyone"/>
                <w:r>
                  <w:rPr>
                    <w:rFonts w:hint="eastAsia" w:ascii="MS Gothic" w:hAnsi="MS Gothic" w:eastAsia="MS Gothic"/>
                    <w:sz w:val="24"/>
                  </w:rPr>
                  <w:t>☐</w:t>
                </w:r>
                <w:permEnd w:id="10"/>
              </w:sdtContent>
            </w:sdt>
            <w:r>
              <w:rPr>
                <w:rFonts w:ascii="华文仿宋" w:hAnsi="华文仿宋" w:eastAsia="华文仿宋"/>
                <w:sz w:val="24"/>
              </w:rPr>
              <w:t xml:space="preserve"> 国家重大科研专项 </w:t>
            </w:r>
            <w:r>
              <w:rPr>
                <w:rFonts w:eastAsia="仿宋_GB2312"/>
                <w:sz w:val="24"/>
              </w:rPr>
              <w:t>National Key Research Project</w:t>
            </w:r>
            <w:r>
              <w:rPr>
                <w:rFonts w:hint="eastAsia" w:eastAsia="仿宋_GB2312"/>
                <w:sz w:val="24"/>
              </w:rPr>
              <w:t>s</w:t>
            </w:r>
          </w:p>
          <w:p w14:paraId="756A6DED">
            <w:pPr>
              <w:spacing w:line="300" w:lineRule="auto"/>
              <w:jc w:val="left"/>
              <w:rPr>
                <w:rFonts w:ascii="华文仿宋" w:hAnsi="华文仿宋" w:eastAsia="华文仿宋"/>
                <w:sz w:val="24"/>
              </w:rPr>
            </w:pPr>
            <w:sdt>
              <w:sdtPr>
                <w:rPr>
                  <w:rFonts w:ascii="华文仿宋" w:hAnsi="华文仿宋" w:eastAsia="华文仿宋"/>
                  <w:sz w:val="24"/>
                </w:rPr>
                <w:id w:val="25677614"/>
                <w14:checkbox>
                  <w14:checked w14:val="0"/>
                  <w14:checkedState w14:val="221A" w14:font="宋体"/>
                  <w14:uncheckedState w14:val="2610" w14:font="MS Gothic"/>
                </w14:checkbox>
              </w:sdtPr>
              <w:sdtEndPr>
                <w:rPr>
                  <w:rFonts w:ascii="华文仿宋" w:hAnsi="华文仿宋" w:eastAsia="华文仿宋"/>
                  <w:sz w:val="24"/>
                </w:rPr>
              </w:sdtEndPr>
              <w:sdtContent>
                <w:permStart w:id="11" w:edGrp="everyone"/>
                <w:r>
                  <w:rPr>
                    <w:rFonts w:hint="eastAsia" w:ascii="MS Gothic" w:hAnsi="MS Gothic" w:eastAsia="MS Gothic"/>
                    <w:sz w:val="24"/>
                  </w:rPr>
                  <w:t>☐</w:t>
                </w:r>
                <w:permEnd w:id="11"/>
              </w:sdtContent>
            </w:sdt>
            <w:r>
              <w:rPr>
                <w:rFonts w:ascii="华文仿宋" w:hAnsi="华文仿宋" w:eastAsia="华文仿宋"/>
                <w:sz w:val="24"/>
              </w:rPr>
              <w:t xml:space="preserve"> 其它纵向科研课题 </w:t>
            </w:r>
            <w:r>
              <w:rPr>
                <w:rFonts w:eastAsia="仿宋_GB2312"/>
                <w:sz w:val="24"/>
              </w:rPr>
              <w:t>Other Governmental Research Grants</w:t>
            </w:r>
          </w:p>
          <w:p w14:paraId="06699B07">
            <w:pPr>
              <w:spacing w:line="300" w:lineRule="auto"/>
              <w:jc w:val="left"/>
              <w:rPr>
                <w:rFonts w:ascii="华文仿宋" w:hAnsi="华文仿宋" w:eastAsia="华文仿宋"/>
                <w:sz w:val="24"/>
              </w:rPr>
            </w:pPr>
            <w:sdt>
              <w:sdtPr>
                <w:rPr>
                  <w:rFonts w:ascii="华文仿宋" w:hAnsi="华文仿宋" w:eastAsia="华文仿宋"/>
                  <w:sz w:val="24"/>
                </w:rPr>
                <w:id w:val="1876728893"/>
                <w14:checkbox>
                  <w14:checked w14:val="0"/>
                  <w14:checkedState w14:val="221A" w14:font="宋体"/>
                  <w14:uncheckedState w14:val="2610" w14:font="MS Gothic"/>
                </w14:checkbox>
              </w:sdtPr>
              <w:sdtEndPr>
                <w:rPr>
                  <w:rFonts w:ascii="华文仿宋" w:hAnsi="华文仿宋" w:eastAsia="华文仿宋"/>
                  <w:sz w:val="24"/>
                </w:rPr>
              </w:sdtEndPr>
              <w:sdtContent>
                <w:permStart w:id="12" w:edGrp="everyone"/>
                <w:r>
                  <w:rPr>
                    <w:rFonts w:hint="eastAsia" w:ascii="MS Gothic" w:hAnsi="MS Gothic" w:eastAsia="MS Gothic"/>
                    <w:sz w:val="24"/>
                  </w:rPr>
                  <w:t>☐</w:t>
                </w:r>
                <w:permEnd w:id="12"/>
              </w:sdtContent>
            </w:sdt>
            <w:r>
              <w:rPr>
                <w:rFonts w:ascii="华文仿宋" w:hAnsi="华文仿宋" w:eastAsia="华文仿宋"/>
                <w:sz w:val="24"/>
              </w:rPr>
              <w:t xml:space="preserve"> 企业横向课题</w:t>
            </w:r>
            <w:r>
              <w:rPr>
                <w:rFonts w:eastAsia="仿宋_GB2312"/>
                <w:sz w:val="24"/>
              </w:rPr>
              <w:t xml:space="preserve"> R&amp;D Projects from Industry</w:t>
            </w:r>
          </w:p>
          <w:p w14:paraId="2678DE47">
            <w:pPr>
              <w:spacing w:line="300" w:lineRule="auto"/>
              <w:jc w:val="left"/>
              <w:rPr>
                <w:rFonts w:eastAsia="华文楷体"/>
                <w:sz w:val="24"/>
              </w:rPr>
            </w:pPr>
            <w:sdt>
              <w:sdtPr>
                <w:rPr>
                  <w:rFonts w:ascii="华文仿宋" w:hAnsi="华文仿宋" w:eastAsia="华文仿宋"/>
                  <w:sz w:val="24"/>
                </w:rPr>
                <w:id w:val="135792000"/>
                <w14:checkbox>
                  <w14:checked w14:val="0"/>
                  <w14:checkedState w14:val="221A" w14:font="宋体"/>
                  <w14:uncheckedState w14:val="2610" w14:font="MS Gothic"/>
                </w14:checkbox>
              </w:sdtPr>
              <w:sdtEndPr>
                <w:rPr>
                  <w:rFonts w:ascii="华文仿宋" w:hAnsi="华文仿宋" w:eastAsia="华文仿宋"/>
                  <w:sz w:val="24"/>
                </w:rPr>
              </w:sdtEndPr>
              <w:sdtContent>
                <w:permStart w:id="13" w:edGrp="everyone"/>
                <w:r>
                  <w:rPr>
                    <w:rFonts w:hint="eastAsia" w:ascii="MS Gothic" w:hAnsi="MS Gothic" w:eastAsia="MS Gothic"/>
                    <w:sz w:val="24"/>
                  </w:rPr>
                  <w:t>☐</w:t>
                </w:r>
                <w:permEnd w:id="13"/>
              </w:sdtContent>
            </w:sdt>
            <w:r>
              <w:rPr>
                <w:rFonts w:ascii="华文仿宋" w:hAnsi="华文仿宋" w:eastAsia="华文仿宋"/>
                <w:sz w:val="24"/>
              </w:rPr>
              <w:t xml:space="preserve"> 自拟课题 </w:t>
            </w:r>
            <w:r>
              <w:rPr>
                <w:rFonts w:eastAsia="仿宋_GB2312"/>
                <w:sz w:val="24"/>
              </w:rPr>
              <w:t>Self-proposed Project</w:t>
            </w:r>
          </w:p>
        </w:tc>
      </w:tr>
      <w:tr w14:paraId="7B24C17D">
        <w:trPr>
          <w:jc w:val="center"/>
        </w:trPr>
        <w:tc>
          <w:tcPr>
            <w:tcW w:w="2694" w:type="dxa"/>
            <w:shd w:val="clear" w:color="auto" w:fill="auto"/>
            <w:vAlign w:val="center"/>
          </w:tcPr>
          <w:p w14:paraId="0BF59315">
            <w:pPr>
              <w:spacing w:line="360" w:lineRule="auto"/>
              <w:rPr>
                <w:rFonts w:eastAsia="仿宋_GB2312"/>
                <w:sz w:val="24"/>
              </w:rPr>
            </w:pPr>
            <w:permStart w:id="14" w:edGrp="everyone" w:colFirst="1" w:colLast="1"/>
            <w:r>
              <w:rPr>
                <w:rFonts w:eastAsia="仿宋_GB2312"/>
                <w:sz w:val="24"/>
              </w:rPr>
              <w:t>论文开题日期</w:t>
            </w:r>
          </w:p>
          <w:p w14:paraId="5F761062">
            <w:pPr>
              <w:spacing w:line="360" w:lineRule="auto"/>
              <w:rPr>
                <w:rFonts w:eastAsia="仿宋_GB2312"/>
                <w:sz w:val="24"/>
              </w:rPr>
            </w:pPr>
            <w:r>
              <w:rPr>
                <w:rFonts w:hint="eastAsia" w:eastAsia="仿宋_GB2312"/>
                <w:sz w:val="24"/>
              </w:rPr>
              <w:t>Thesis</w:t>
            </w:r>
            <w:r>
              <w:rPr>
                <w:rFonts w:eastAsia="仿宋_GB2312"/>
                <w:sz w:val="24"/>
              </w:rPr>
              <w:t xml:space="preserve"> </w:t>
            </w:r>
            <w:r>
              <w:rPr>
                <w:rFonts w:hint="eastAsia" w:eastAsia="仿宋_GB2312"/>
                <w:sz w:val="24"/>
              </w:rPr>
              <w:t>Proposal Date</w:t>
            </w:r>
          </w:p>
        </w:tc>
        <w:tc>
          <w:tcPr>
            <w:tcW w:w="6458" w:type="dxa"/>
            <w:shd w:val="clear" w:color="auto" w:fill="auto"/>
            <w:vAlign w:val="center"/>
          </w:tcPr>
          <w:p w14:paraId="093D377E">
            <w:pPr>
              <w:spacing w:line="300" w:lineRule="auto"/>
              <w:rPr>
                <w:rFonts w:ascii="华文仿宋" w:hAnsi="华文仿宋" w:eastAsia="华文仿宋"/>
                <w:sz w:val="24"/>
              </w:rPr>
            </w:pPr>
            <w:r>
              <w:rPr>
                <w:rFonts w:hint="eastAsia" w:ascii="华文仿宋" w:hAnsi="华文仿宋" w:eastAsia="华文仿宋"/>
                <w:sz w:val="24"/>
              </w:rPr>
              <w:t>2025 年 11 月 12 日</w:t>
            </w:r>
          </w:p>
        </w:tc>
      </w:tr>
      <w:permEnd w:id="14"/>
    </w:tbl>
    <w:p w14:paraId="6080FBDC">
      <w:pPr>
        <w:numPr>
          <w:ilvl w:val="0"/>
          <w:numId w:val="2"/>
        </w:numPr>
        <w:adjustRightInd/>
        <w:spacing w:before="240" w:after="240" w:line="240" w:lineRule="auto"/>
        <w:textAlignment w:val="auto"/>
        <w:rPr>
          <w:rFonts w:eastAsia="仿宋_GB2312"/>
          <w:sz w:val="24"/>
        </w:rPr>
      </w:pPr>
      <w:r>
        <w:rPr>
          <w:rFonts w:hint="eastAsia" w:eastAsia="仿宋_GB2312"/>
          <w:b/>
          <w:sz w:val="24"/>
        </w:rPr>
        <w:t>报告正文 R</w:t>
      </w:r>
      <w:r>
        <w:rPr>
          <w:rFonts w:eastAsia="仿宋_GB2312"/>
          <w:b/>
          <w:sz w:val="24"/>
        </w:rPr>
        <w:t>eport</w:t>
      </w:r>
      <w:r>
        <w:rPr>
          <w:rFonts w:hint="eastAsia" w:eastAsia="仿宋_GB2312"/>
          <w:b/>
          <w:sz w:val="24"/>
        </w:rPr>
        <w:t>。</w:t>
      </w:r>
      <w:r>
        <w:rPr>
          <w:rFonts w:hint="eastAsia" w:eastAsia="仿宋_GB2312"/>
          <w:sz w:val="24"/>
        </w:rPr>
        <w:t>请阐述开题报告以来学位论文研究工作的进展情况及所取得的阶段性成果，并简述下一阶段研究计划，不少于</w:t>
      </w:r>
      <w:r>
        <w:rPr>
          <w:rFonts w:eastAsia="仿宋_GB2312"/>
          <w:sz w:val="24"/>
        </w:rPr>
        <w:t>4</w:t>
      </w:r>
      <w:r>
        <w:rPr>
          <w:rFonts w:hint="eastAsia" w:eastAsia="仿宋_GB2312"/>
          <w:sz w:val="24"/>
        </w:rPr>
        <w:t>000汉字。</w:t>
      </w:r>
      <w:r>
        <w:rPr>
          <w:rFonts w:eastAsia="仿宋_GB2312"/>
          <w:sz w:val="24"/>
        </w:rPr>
        <w:t>Please summarize your research progress and achievements since your thesis proposal as well as your plan for next step. No less than 3200 words if written in English.</w:t>
      </w:r>
    </w:p>
    <w:p w14:paraId="43941175">
      <w:pPr>
        <w:snapToGrid w:val="0"/>
        <w:ind w:firstLine="480" w:firstLineChars="200"/>
        <w:jc w:val="left"/>
        <w:rPr>
          <w:rFonts w:eastAsia="华文楷体"/>
          <w:sz w:val="24"/>
        </w:rPr>
      </w:pPr>
      <w:permStart w:id="15" w:edGrp="everyone"/>
      <w:r>
        <w:rPr>
          <w:rFonts w:ascii="Times New Roman" w:hAnsi="Times New Roman" w:cs="Times New Roman"/>
          <w:b/>
          <w:sz w:val="24"/>
          <w:highlight w:val="yellow"/>
        </w:rPr>
        <w:t>本人承诺，中期检查报告正文中文字数</w:t>
      </w:r>
      <w:r>
        <w:rPr>
          <w:rFonts w:ascii="Times New Roman" w:hAnsi="Times New Roman" w:cs="Times New Roman"/>
          <w:sz w:val="24"/>
          <w:u w:val="single"/>
        </w:rPr>
        <w:t xml:space="preserve"> </w:t>
      </w:r>
      <w:r>
        <w:rPr>
          <w:rFonts w:ascii="Times New Roman" w:hAnsi="Times New Roman" w:cs="Times New Roman"/>
          <w:b/>
          <w:sz w:val="24"/>
          <w:u w:val="single"/>
        </w:rPr>
        <w:t xml:space="preserve">  </w:t>
      </w:r>
      <w:r>
        <w:rPr>
          <w:rFonts w:ascii="Times New Roman" w:hAnsi="Times New Roman" w:cs="Times New Roman"/>
          <w:sz w:val="24"/>
          <w:u w:val="single"/>
        </w:rPr>
        <w:t xml:space="preserve"> </w:t>
      </w:r>
      <w:r>
        <w:rPr>
          <w:rFonts w:ascii="Times New Roman" w:hAnsi="Times New Roman" w:cs="Times New Roman"/>
          <w:b/>
          <w:sz w:val="24"/>
          <w:highlight w:val="yellow"/>
        </w:rPr>
        <w:t xml:space="preserve">，英文字数 </w:t>
      </w:r>
      <w:r>
        <w:rPr>
          <w:rFonts w:ascii="Times New Roman" w:hAnsi="Times New Roman" w:cs="Times New Roman"/>
          <w:sz w:val="24"/>
          <w:highlight w:val="yellow"/>
          <w:u w:val="single"/>
        </w:rPr>
        <w:t xml:space="preserve"> </w:t>
      </w:r>
      <w:r>
        <w:rPr>
          <w:rFonts w:ascii="Times New Roman" w:hAnsi="Times New Roman" w:cs="Times New Roman"/>
          <w:b/>
          <w:sz w:val="24"/>
          <w:highlight w:val="yellow"/>
          <w:u w:val="single"/>
        </w:rPr>
        <w:t xml:space="preserve">   </w:t>
      </w:r>
      <w:r>
        <w:rPr>
          <w:rFonts w:ascii="Times New Roman" w:hAnsi="Times New Roman" w:cs="Times New Roman"/>
          <w:b/>
          <w:sz w:val="24"/>
          <w:highlight w:val="yellow"/>
        </w:rPr>
        <w:t>。若与事实不符，本人愿承担相应后果。</w:t>
      </w:r>
    </w:p>
    <w:p w14:paraId="2EA6B715">
      <w:pPr>
        <w:snapToGrid w:val="0"/>
        <w:ind w:firstLine="480" w:firstLineChars="200"/>
        <w:jc w:val="left"/>
        <w:rPr>
          <w:rFonts w:eastAsia="华文楷体"/>
          <w:sz w:val="24"/>
        </w:rPr>
      </w:pPr>
    </w:p>
    <w:p w14:paraId="1B3F6530">
      <w:pPr>
        <w:pStyle w:val="15"/>
      </w:pPr>
      <w:r>
        <w:t>一、研究目标与中期工作概况</w:t>
      </w:r>
    </w:p>
    <w:p w14:paraId="463FB7B3">
      <w:pPr>
        <w:pStyle w:val="16"/>
      </w:pPr>
      <w:r>
        <w:t>本课题围绕零基础人群的数字绘画体验展开，研究如何</w:t>
      </w:r>
      <w:r>
        <w:rPr>
          <w:rFonts w:hint="eastAsia"/>
          <w:lang w:val="en-US" w:eastAsia="zh-CN"/>
        </w:rPr>
        <w:t>通过设计一款绘画交互系统，</w:t>
      </w:r>
      <w:r>
        <w:t>将</w:t>
      </w:r>
      <w:r>
        <w:rPr>
          <w:rFonts w:hint="eastAsia"/>
          <w:lang w:val="en-US" w:eastAsia="zh-CN"/>
        </w:rPr>
        <w:t>传统的图像</w:t>
      </w:r>
      <w:r>
        <w:t>笔触</w:t>
      </w:r>
      <w:r>
        <w:rPr>
          <w:rFonts w:hint="eastAsia"/>
          <w:lang w:val="en-US" w:eastAsia="zh-CN"/>
        </w:rPr>
        <w:t>拆解计算</w:t>
      </w:r>
      <w:r>
        <w:t>表达转化为可理解、可执行的操作引导，帮助使用者开始绘画、持续推进并获得创作满足感。</w:t>
      </w:r>
    </w:p>
    <w:p w14:paraId="1D6C7057">
      <w:pPr>
        <w:pStyle w:val="16"/>
        <w:rPr>
          <w:rFonts w:hint="eastAsia"/>
          <w:lang w:eastAsia="zh-CN"/>
        </w:rPr>
      </w:pPr>
      <w:r>
        <w:t>论文题目为“基于笔触拆解算法的数字绘画辅助系统交互设计研究——以‘星迹智绘’为例”。研究关注</w:t>
      </w:r>
      <w:r>
        <w:rPr>
          <w:rFonts w:hint="eastAsia"/>
          <w:lang w:val="en-US" w:eastAsia="zh-CN"/>
        </w:rPr>
        <w:t>于绘画初学者进行电子绘画时的</w:t>
      </w:r>
      <w:r>
        <w:t>“不会画、不想画、怕画不好”</w:t>
      </w:r>
      <w:r>
        <w:rPr>
          <w:rFonts w:hint="eastAsia"/>
          <w:lang w:val="en-US" w:eastAsia="zh-CN"/>
        </w:rPr>
        <w:t>多种绘画难点于抵触点</w:t>
      </w:r>
      <w:r>
        <w:t>，分别对应操作方法不明确、行动意愿不足以及对结果的不确定感</w:t>
      </w:r>
      <w:r>
        <w:rPr>
          <w:rFonts w:hint="eastAsia"/>
          <w:lang w:eastAsia="zh-CN"/>
        </w:rPr>
        <w:t>，</w:t>
      </w:r>
      <w:r>
        <w:rPr>
          <w:rFonts w:hint="eastAsia"/>
          <w:lang w:val="en-US" w:eastAsia="zh-CN"/>
        </w:rPr>
        <w:t>通过设计此绘画</w:t>
      </w:r>
      <w:r>
        <w:t>系统</w:t>
      </w:r>
      <w:r>
        <w:rPr>
          <w:rFonts w:hint="eastAsia"/>
          <w:lang w:eastAsia="zh-CN"/>
        </w:rPr>
        <w:t>，</w:t>
      </w:r>
      <w:r>
        <w:t>希望通过清晰的下一</w:t>
      </w:r>
      <w:r>
        <w:rPr>
          <w:rFonts w:hint="eastAsia"/>
          <w:lang w:val="en-US" w:eastAsia="zh-CN"/>
        </w:rPr>
        <w:t>笔触交互</w:t>
      </w:r>
      <w:r>
        <w:t>提示</w:t>
      </w:r>
      <w:r>
        <w:rPr>
          <w:rFonts w:hint="eastAsia"/>
          <w:lang w:val="en-US" w:eastAsia="zh-CN"/>
        </w:rPr>
        <w:t>以</w:t>
      </w:r>
      <w:r>
        <w:t>降低这些障碍</w:t>
      </w:r>
      <w:r>
        <w:rPr>
          <w:rFonts w:hint="eastAsia"/>
          <w:lang w:eastAsia="zh-CN"/>
        </w:rPr>
        <w:t>。</w:t>
      </w:r>
    </w:p>
    <w:p w14:paraId="245068BA">
      <w:pPr>
        <w:pStyle w:val="16"/>
      </w:pPr>
      <w:r>
        <w:t>开题阶段</w:t>
      </w:r>
      <w:r>
        <w:rPr>
          <w:rFonts w:hint="eastAsia"/>
          <w:lang w:val="en-US" w:eastAsia="zh-CN"/>
        </w:rPr>
        <w:t>初步</w:t>
      </w:r>
      <w:r>
        <w:t>确定了</w:t>
      </w:r>
      <w:r>
        <w:rPr>
          <w:rFonts w:hint="eastAsia"/>
          <w:lang w:val="en-US" w:eastAsia="zh-CN"/>
        </w:rPr>
        <w:t>大致的</w:t>
      </w:r>
      <w:r>
        <w:t>研究方向、问题意识和产品构想，尚未形成可运行的系统。</w:t>
      </w:r>
      <w:r>
        <w:rPr>
          <w:rFonts w:hint="eastAsia"/>
          <w:lang w:val="en-US" w:eastAsia="zh-CN"/>
        </w:rPr>
        <w:t>自</w:t>
      </w:r>
      <w:r>
        <w:t>开题以来，本阶段工作主要集中于四个方面：</w:t>
      </w:r>
      <w:r>
        <w:rPr>
          <w:rFonts w:hint="eastAsia"/>
          <w:lang w:val="en-US" w:eastAsia="zh-CN"/>
        </w:rPr>
        <w:t>（1）</w:t>
      </w:r>
      <w:r>
        <w:t>搜集与梳理</w:t>
      </w:r>
      <w:r>
        <w:rPr>
          <w:rFonts w:hint="eastAsia"/>
          <w:lang w:val="en-US" w:eastAsia="zh-CN"/>
        </w:rPr>
        <w:t>传统的</w:t>
      </w:r>
      <w:r>
        <w:t>笔触式渲染及神经绘画相关算法；</w:t>
      </w:r>
      <w:r>
        <w:rPr>
          <w:rFonts w:hint="eastAsia"/>
          <w:lang w:eastAsia="zh-CN"/>
        </w:rPr>
        <w:t>（</w:t>
      </w:r>
      <w:r>
        <w:rPr>
          <w:rFonts w:hint="eastAsia"/>
          <w:lang w:val="en-US" w:eastAsia="zh-CN"/>
        </w:rPr>
        <w:t>2）</w:t>
      </w:r>
      <w:r>
        <w:t>融合方法思想并完成适合浏览器交互的笔触规划实现；</w:t>
      </w:r>
      <w:r>
        <w:rPr>
          <w:rFonts w:hint="eastAsia"/>
          <w:lang w:eastAsia="zh-CN"/>
        </w:rPr>
        <w:t>（</w:t>
      </w:r>
      <w:r>
        <w:rPr>
          <w:rFonts w:hint="eastAsia"/>
          <w:lang w:val="en-US" w:eastAsia="zh-CN"/>
        </w:rPr>
        <w:t>3）</w:t>
      </w:r>
      <w:r>
        <w:t>搭建选图、绘画、反馈和作品保存的交互流程及视觉界面；</w:t>
      </w:r>
      <w:r>
        <w:rPr>
          <w:rFonts w:hint="eastAsia"/>
          <w:lang w:eastAsia="zh-CN"/>
        </w:rPr>
        <w:t>（</w:t>
      </w:r>
      <w:r>
        <w:rPr>
          <w:rFonts w:hint="eastAsia"/>
          <w:lang w:val="en-US" w:eastAsia="zh-CN"/>
        </w:rPr>
        <w:t>4）</w:t>
      </w:r>
      <w:r>
        <w:t>开发支持对比实验的数据采集、研究管理和分析展示模块。目前已形成可操作、可演示的</w:t>
      </w:r>
      <w:r>
        <w:rPr>
          <w:rFonts w:hint="eastAsia"/>
          <w:lang w:val="en-US" w:eastAsia="zh-CN"/>
        </w:rPr>
        <w:t>自研</w:t>
      </w:r>
      <w:r>
        <w:t>“星迹智绘”网页原型，研究进入以真实使用检验设计的准备阶段。</w:t>
      </w:r>
    </w:p>
    <w:p w14:paraId="2E54F993">
      <w:pPr>
        <w:pStyle w:val="16"/>
      </w:pPr>
      <w:r>
        <w:t>本研究将</w:t>
      </w:r>
      <w:r>
        <w:rPr>
          <w:rFonts w:hint="eastAsia"/>
          <w:lang w:val="en-US" w:eastAsia="zh-CN"/>
        </w:rPr>
        <w:t>传统</w:t>
      </w:r>
      <w:r>
        <w:t>算法</w:t>
      </w:r>
      <w:r>
        <w:rPr>
          <w:rFonts w:hint="eastAsia"/>
          <w:lang w:val="en-US" w:eastAsia="zh-CN"/>
        </w:rPr>
        <w:t>的应用化设计</w:t>
      </w:r>
      <w:r>
        <w:t>、交互</w:t>
      </w:r>
      <w:r>
        <w:rPr>
          <w:rFonts w:hint="eastAsia"/>
          <w:lang w:val="en-US" w:eastAsia="zh-CN"/>
        </w:rPr>
        <w:t>设计</w:t>
      </w:r>
      <w:r>
        <w:t>和评价放在同一条研究主线上。算法提供有序的绘画动作</w:t>
      </w:r>
      <w:r>
        <w:rPr>
          <w:rFonts w:hint="eastAsia"/>
          <w:lang w:val="en-US" w:eastAsia="zh-CN"/>
        </w:rPr>
        <w:t>规则与参数</w:t>
      </w:r>
      <w:r>
        <w:t>，交互设计将位置、方向、颜色、宽度和进度转译为易于理解的提示，系统记录实际操作与主观反馈，后续实验再评价这种帮助是否有效。</w:t>
      </w:r>
    </w:p>
    <w:p w14:paraId="6A13FFE0">
      <w:pPr>
        <w:pStyle w:val="16"/>
        <w:rPr>
          <w:rFonts w:hint="default" w:eastAsia="宋体"/>
          <w:lang w:val="en-US" w:eastAsia="zh-CN"/>
        </w:rPr>
      </w:pPr>
      <w:r>
        <w:rPr>
          <w:rFonts w:hint="eastAsia"/>
          <w:lang w:val="en-US" w:eastAsia="zh-CN"/>
        </w:rPr>
        <w:t>该作品项目已完成云部署：</w:t>
      </w:r>
      <w:r>
        <w:rPr>
          <w:rFonts w:hint="eastAsia"/>
        </w:rPr>
        <w:fldChar w:fldCharType="begin"/>
      </w:r>
      <w:r>
        <w:rPr>
          <w:rFonts w:hint="eastAsia"/>
        </w:rPr>
        <w:instrText xml:space="preserve"> HYPERLINK "https://startrace-306119-11-1416317231.sh.run.tcloudbase.com/" </w:instrText>
      </w:r>
      <w:r>
        <w:rPr>
          <w:rFonts w:hint="eastAsia"/>
        </w:rPr>
        <w:fldChar w:fldCharType="separate"/>
      </w:r>
      <w:r>
        <w:rPr>
          <w:rStyle w:val="10"/>
          <w:rFonts w:hint="eastAsia"/>
        </w:rPr>
        <w:t>https://startrace-306119-11-1416317231.sh.run.tcloudbase.com/</w:t>
      </w:r>
      <w:r>
        <w:rPr>
          <w:rFonts w:hint="eastAsia"/>
        </w:rPr>
        <w:fldChar w:fldCharType="end"/>
      </w:r>
      <w:r>
        <w:rPr>
          <w:rFonts w:hint="eastAsia"/>
          <w:lang w:eastAsia="zh-CN"/>
        </w:rPr>
        <w:t>，</w:t>
      </w:r>
      <w:r>
        <w:rPr>
          <w:rFonts w:hint="eastAsia"/>
          <w:lang w:val="en-US" w:eastAsia="zh-CN"/>
        </w:rPr>
        <w:t>可在线体验。</w:t>
      </w:r>
    </w:p>
    <w:p w14:paraId="6C078ED0">
      <w:pPr>
        <w:pStyle w:val="15"/>
      </w:pPr>
      <w:r>
        <w:t>二、相关算法的搜集、理解与方法整合</w:t>
      </w:r>
    </w:p>
    <w:p w14:paraId="052264AD">
      <w:pPr>
        <w:pStyle w:val="17"/>
      </w:pPr>
      <w:r>
        <w:t>2.1 笔触式渲染的基础原理</w:t>
      </w:r>
    </w:p>
    <w:p w14:paraId="5A3F53DE">
      <w:pPr>
        <w:pStyle w:val="16"/>
      </w:pPr>
      <w:r>
        <w:t>Hertzmann提出的多尺度曲线笔触方法是本课题的重要基础文献[1]。该方法用较大的笔刷建立画面，再用逐渐缩小的笔刷修整与相应模糊参考图存在差异的区域；曲线沿图像梯度的垂直方向延伸，形成具有绘画感的笔迹。论文还把笔刷</w:t>
      </w:r>
      <w:bookmarkStart w:id="8" w:name="_GoBack"/>
      <w:bookmarkEnd w:id="8"/>
      <w:r>
        <w:t>尺寸、曲率及颜色变化等组织为可调风格参数，为“将图像表示为动作序列”和“通过参数形成不同笔触外观”提供了方法参照。</w:t>
      </w:r>
    </w:p>
    <w:p w14:paraId="64A7ED65">
      <w:pPr>
        <w:pStyle w:val="16"/>
      </w:pPr>
      <w:r>
        <w:t>在面向交互设计的阅读中，我重点区分了图像重建与人的绘画任务。自动渲染主要关心生成图像，逐笔指导还需要考虑笔数、寻找起点的难度、位置跳转与动作顺序。因而本项目以多尺度表达为基础，将有限动作预算、可预测的空间顺序以及每一步可显示的笔触参数纳入实现目标。文献提供的是方法思想，具体的预算分配、扫描规则和界面提示则由本项目结合应用场景设计。</w:t>
      </w:r>
    </w:p>
    <w:p w14:paraId="7EAA2980">
      <w:pPr>
        <w:pStyle w:val="17"/>
      </w:pPr>
      <w:r>
        <w:t>2.2 神经绘画研究的参照价值</w:t>
      </w:r>
    </w:p>
    <w:p w14:paraId="47665C37">
      <w:pPr>
        <w:pStyle w:val="16"/>
      </w:pPr>
      <w:r>
        <w:rPr>
          <w:rFonts w:hint="eastAsia"/>
          <w:lang w:val="en-US" w:eastAsia="zh-CN"/>
        </w:rPr>
        <w:t>1998年，</w:t>
      </w:r>
      <w:r>
        <w:t>Huang等</w:t>
      </w:r>
      <w:r>
        <w:rPr>
          <w:rFonts w:hint="eastAsia"/>
          <w:lang w:val="en-US" w:eastAsia="zh-CN"/>
        </w:rPr>
        <w:t>研究者</w:t>
      </w:r>
      <w:r>
        <w:t>将绘画描述为连续笔触决策，通过神经渲染器和基于模型的强化学习生成笔触序列[2]；</w:t>
      </w:r>
      <w:r>
        <w:rPr>
          <w:rFonts w:hint="eastAsia"/>
          <w:lang w:val="en-US" w:eastAsia="zh-CN"/>
        </w:rPr>
        <w:t>2021年，</w:t>
      </w:r>
      <w:r>
        <w:t>Zou</w:t>
      </w:r>
      <w:r>
        <w:rPr>
          <w:rFonts w:hint="eastAsia"/>
          <w:lang w:val="en-US" w:eastAsia="zh-CN"/>
        </w:rPr>
        <w:t>Z</w:t>
      </w:r>
      <w:r>
        <w:t>等</w:t>
      </w:r>
      <w:r>
        <w:rPr>
          <w:rFonts w:hint="eastAsia"/>
          <w:lang w:val="en-US" w:eastAsia="zh-CN"/>
        </w:rPr>
        <w:t>研究者</w:t>
      </w:r>
      <w:r>
        <w:t>将参数化笔触渲染与图像相似度优化相结合，讨论神经渲染及参数搜索问题[3]；</w:t>
      </w:r>
      <w:r>
        <w:rPr>
          <w:rFonts w:hint="eastAsia"/>
          <w:lang w:val="en-US" w:eastAsia="zh-CN"/>
        </w:rPr>
        <w:t>2023年，</w:t>
      </w:r>
      <w:r>
        <w:t>HU T等</w:t>
      </w:r>
      <w:r>
        <w:rPr>
          <w:rFonts w:hint="eastAsia"/>
          <w:lang w:val="en-US" w:eastAsia="zh-CN"/>
        </w:rPr>
        <w:t>研究者</w:t>
      </w:r>
      <w:r>
        <w:t>进一步区分“在哪里画”和“画什么”，通过动态预测绘画区域组织重建过程[4]。这三类研究帮助本课题理解有限笔触表达、参数优化反馈以及绘画区域组织之间的联系。</w:t>
      </w:r>
    </w:p>
    <w:p w14:paraId="2BBEC945">
      <w:pPr>
        <w:pStyle w:val="16"/>
      </w:pPr>
      <w:r>
        <w:t>本项目对这些研究采用方法层面的综合参照：保留可回放的参数化动作、以重建误差评价候选笔触，并明确组织区域访问顺序。当前运行程序采用显式搜索和解析颜色拟合，没有训练或调用上述论文的策略网络、神经渲染器及动态区域模型。因此，本课题的工作定位是</w:t>
      </w:r>
      <w:r>
        <w:rPr>
          <w:b/>
          <w:bCs/>
        </w:rPr>
        <w:t>面向交互需求的算法适配与系统设计</w:t>
      </w:r>
      <w:r>
        <w:t>，</w:t>
      </w:r>
      <w:r>
        <w:rPr>
          <w:rFonts w:hint="eastAsia"/>
          <w:lang w:val="en-US" w:eastAsia="zh-CN"/>
        </w:rPr>
        <w:t>参考的算法</w:t>
      </w:r>
      <w:r>
        <w:t>相关论文的性能结论</w:t>
      </w:r>
      <w:r>
        <w:rPr>
          <w:rFonts w:hint="eastAsia"/>
          <w:lang w:val="en-US" w:eastAsia="zh-CN"/>
        </w:rPr>
        <w:t>无法</w:t>
      </w:r>
      <w:r>
        <w:t>直接当作本系统的实验结果，</w:t>
      </w:r>
      <w:r>
        <w:rPr>
          <w:rFonts w:hint="eastAsia"/>
          <w:lang w:val="en-US" w:eastAsia="zh-CN"/>
        </w:rPr>
        <w:t>其</w:t>
      </w:r>
      <w:r>
        <w:t>思想整合</w:t>
      </w:r>
      <w:r>
        <w:rPr>
          <w:rFonts w:hint="eastAsia"/>
          <w:lang w:val="en-US" w:eastAsia="zh-CN"/>
        </w:rPr>
        <w:t>也无法</w:t>
      </w:r>
      <w:r>
        <w:t>表述为多个神经模型的直接融合部署。</w:t>
      </w:r>
    </w:p>
    <w:p w14:paraId="4A5129A9">
      <w:pPr>
        <w:pStyle w:val="17"/>
      </w:pPr>
      <w:r>
        <w:t>2.3 方法选择与系统结构</w:t>
      </w:r>
    </w:p>
    <w:p w14:paraId="3EBD1B05">
      <w:pPr>
        <w:pStyle w:val="16"/>
      </w:pPr>
      <w:r>
        <w:rPr>
          <w:rFonts w:hint="eastAsia"/>
          <w:lang w:val="en-US" w:eastAsia="zh-CN"/>
        </w:rPr>
        <w:t>此项目</w:t>
      </w:r>
      <w:r>
        <w:t>在浏览器</w:t>
      </w:r>
      <w:r>
        <w:rPr>
          <w:rFonts w:hint="eastAsia"/>
          <w:lang w:val="en-US" w:eastAsia="zh-CN"/>
        </w:rPr>
        <w:t>web端</w:t>
      </w:r>
      <w:r>
        <w:t>中完成规划</w:t>
      </w:r>
      <w:r>
        <w:rPr>
          <w:rFonts w:hint="eastAsia"/>
          <w:lang w:eastAsia="zh-CN"/>
        </w:rPr>
        <w:t>，</w:t>
      </w:r>
      <w:r>
        <w:t>可以让用户选图后直接获得绘画引导，也便于将取消、进度反馈和重新尝试纳入交互。当前</w:t>
      </w:r>
      <w:r>
        <w:rPr>
          <w:rFonts w:hint="eastAsia"/>
          <w:lang w:val="en-US" w:eastAsia="zh-CN"/>
        </w:rPr>
        <w:t>研究</w:t>
      </w:r>
      <w:r>
        <w:t>方法</w:t>
      </w:r>
      <w:r>
        <w:rPr>
          <w:rFonts w:hint="eastAsia"/>
          <w:lang w:val="en-US" w:eastAsia="zh-CN"/>
        </w:rPr>
        <w:t>为，</w:t>
      </w:r>
      <w:r>
        <w:t xml:space="preserve">把输入图像转成一组包含起止点、宽度、颜色及遍次信息的笔触，由画布模块按顺序显示和绘制。计算过程放在Web </w:t>
      </w:r>
      <w:r>
        <w:rPr>
          <w:rFonts w:hint="eastAsia"/>
          <w:lang w:val="en-US" w:eastAsia="zh-CN"/>
        </w:rPr>
        <w:t>端</w:t>
      </w:r>
      <w:r>
        <w:t>后台线程中，避免主要交互长时间被计算阻塞；研究模块则保存经过审核的参考图和计划，使同一批次的参与者使用一致材料。图1展示了从</w:t>
      </w:r>
      <w:r>
        <w:rPr>
          <w:rFonts w:hint="eastAsia"/>
          <w:lang w:val="en-US" w:eastAsia="zh-CN"/>
        </w:rPr>
        <w:t>参考图像</w:t>
      </w:r>
      <w:r>
        <w:t>输入到绘画指导、再到研究记录的结构。</w:t>
      </w:r>
    </w:p>
    <w:p w14:paraId="1BC08927">
      <w:pPr>
        <w:pStyle w:val="18"/>
        <w:keepNext/>
        <w:spacing w:before="120"/>
      </w:pPr>
      <w:r>
        <w:drawing>
          <wp:inline distT="0" distB="0" distL="114300" distR="114300">
            <wp:extent cx="5939790" cy="3569970"/>
            <wp:effectExtent l="0" t="0" r="3810" b="11430"/>
            <wp:docPr id="2" name="Picture 2" descr="图1 图像输入、笔触规划、绘画交互与研究记录的系统结构。依据当前实现绘制；箭头表示模块间的数据与功能连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1 图像输入、笔触规划、绘画交互与研究记录的系统结构。依据当前实现绘制；箭头表示模块间的数据与功能连接。"/>
                    <pic:cNvPicPr>
                      <a:picLocks noChangeAspect="1"/>
                    </pic:cNvPicPr>
                  </pic:nvPicPr>
                  <pic:blipFill>
                    <a:blip r:embed="rId15"/>
                    <a:stretch>
                      <a:fillRect/>
                    </a:stretch>
                  </pic:blipFill>
                  <pic:spPr>
                    <a:xfrm>
                      <a:off x="0" y="0"/>
                      <a:ext cx="5940000" cy="3570188"/>
                    </a:xfrm>
                    <a:prstGeom prst="rect">
                      <a:avLst/>
                    </a:prstGeom>
                  </pic:spPr>
                </pic:pic>
              </a:graphicData>
            </a:graphic>
          </wp:inline>
        </w:drawing>
      </w:r>
    </w:p>
    <w:p w14:paraId="30F8CCFF">
      <w:pPr>
        <w:pStyle w:val="18"/>
        <w:keepNext/>
      </w:pPr>
      <w:r>
        <w:t>图1  图像输入、笔触规划、绘画交互与研究记录的系统结构</w:t>
      </w:r>
    </w:p>
    <w:p w14:paraId="448D8CFA">
      <w:pPr>
        <w:pStyle w:val="15"/>
      </w:pPr>
      <w:r>
        <w:t>三、</w:t>
      </w:r>
      <w:r>
        <w:rPr>
          <w:rFonts w:hint="eastAsia"/>
          <w:lang w:val="en-US" w:eastAsia="zh-CN"/>
        </w:rPr>
        <w:t>笔触拆解序列</w:t>
      </w:r>
      <w:r>
        <w:t>有序规划算法实现</w:t>
      </w:r>
    </w:p>
    <w:p w14:paraId="16720659">
      <w:pPr>
        <w:pStyle w:val="17"/>
      </w:pPr>
      <w:r>
        <w:t>3.1 有限预算与五遍尺度组织</w:t>
      </w:r>
    </w:p>
    <w:p w14:paraId="5DE2AE2E">
      <w:pPr>
        <w:pStyle w:val="16"/>
      </w:pPr>
      <w:r>
        <w:t>当前默认规划器从白色画布开始重新组织整幅图像</w:t>
      </w:r>
      <w:r>
        <w:rPr>
          <w:rFonts w:hint="eastAsia"/>
          <w:lang w:eastAsia="zh-CN"/>
        </w:rPr>
        <w:t>，</w:t>
      </w:r>
      <w:r>
        <w:t>系统每次只接受能够改善目标误差且路径有效的笔触，绘画顺序分为五遍：大色块、中色块、形体、小笔触和细节。各遍分别采用固定宽度，整组宽度由大到小递减；每遍按网格逐行访问，从左上到右下推进，并在当前区域中选择仍需修整的位置。空间顺序是区域访问顺序，每一笔的端点</w:t>
      </w:r>
      <w:r>
        <w:rPr>
          <w:rFonts w:hint="eastAsia"/>
          <w:lang w:val="en-US" w:eastAsia="zh-CN"/>
        </w:rPr>
        <w:t>尽量</w:t>
      </w:r>
      <w:r>
        <w:t>沿一条对角线排列。笔触可以跨越网格边界，其颜色拟合与误差评价始终基于同一张共享画布，</w:t>
      </w:r>
      <w:r>
        <w:rPr>
          <w:rFonts w:hint="eastAsia"/>
          <w:lang w:val="en-US" w:eastAsia="zh-CN"/>
        </w:rPr>
        <w:t>以</w:t>
      </w:r>
      <w:r>
        <w:t>避免把各块分别绘制后再硬性拼接。</w:t>
      </w:r>
    </w:p>
    <w:p w14:paraId="755AC699">
      <w:pPr>
        <w:pStyle w:val="18"/>
        <w:keepNext/>
      </w:pPr>
      <w:r>
        <w:t>表1  五遍规划的尺度与预算设置</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1"/>
        <w:gridCol w:w="1871"/>
        <w:gridCol w:w="1871"/>
        <w:gridCol w:w="2891"/>
      </w:tblGrid>
      <w:tr w14:paraId="684254BF">
        <w:trPr>
          <w:cantSplit/>
          <w:tblHeader/>
          <w:jc w:val="center"/>
        </w:trPr>
        <w:tc>
          <w:tcPr>
            <w:tcW w:w="2721" w:type="dxa"/>
            <w:shd w:val="clear" w:color="auto" w:fill="ECEAFE"/>
          </w:tcPr>
          <w:p w14:paraId="506D368F">
            <w:pPr>
              <w:pStyle w:val="19"/>
              <w:spacing w:before="80" w:after="80"/>
            </w:pPr>
            <w:r>
              <w:rPr>
                <w:b/>
              </w:rPr>
              <w:t>遍次 / 用途</w:t>
            </w:r>
          </w:p>
        </w:tc>
        <w:tc>
          <w:tcPr>
            <w:tcW w:w="1871" w:type="dxa"/>
            <w:shd w:val="clear" w:color="auto" w:fill="ECEAFE"/>
          </w:tcPr>
          <w:p w14:paraId="3754CD27">
            <w:pPr>
              <w:pStyle w:val="19"/>
              <w:spacing w:before="80" w:after="80"/>
            </w:pPr>
            <w:r>
              <w:rPr>
                <w:b/>
              </w:rPr>
              <w:t>基准宽度</w:t>
            </w:r>
          </w:p>
        </w:tc>
        <w:tc>
          <w:tcPr>
            <w:tcW w:w="1871" w:type="dxa"/>
            <w:shd w:val="clear" w:color="auto" w:fill="ECEAFE"/>
          </w:tcPr>
          <w:p w14:paraId="7FE2455B">
            <w:pPr>
              <w:pStyle w:val="19"/>
              <w:spacing w:before="80" w:after="80"/>
            </w:pPr>
            <w:r>
              <w:rPr>
                <w:b/>
              </w:rPr>
              <w:t>网格</w:t>
            </w:r>
          </w:p>
        </w:tc>
        <w:tc>
          <w:tcPr>
            <w:tcW w:w="2891" w:type="dxa"/>
            <w:shd w:val="clear" w:color="auto" w:fill="ECEAFE"/>
          </w:tcPr>
          <w:p w14:paraId="5D954649">
            <w:pPr>
              <w:pStyle w:val="19"/>
              <w:spacing w:before="80" w:after="80"/>
            </w:pPr>
            <w:r>
              <w:rPr>
                <w:b/>
              </w:rPr>
              <w:t>1000预算下尝试次数</w:t>
            </w:r>
          </w:p>
        </w:tc>
      </w:tr>
      <w:tr w14:paraId="4A2FA376">
        <w:trPr>
          <w:cantSplit/>
          <w:jc w:val="center"/>
        </w:trPr>
        <w:tc>
          <w:tcPr>
            <w:tcW w:w="2721" w:type="dxa"/>
          </w:tcPr>
          <w:p w14:paraId="71BDA4AC">
            <w:pPr>
              <w:pStyle w:val="19"/>
              <w:spacing w:before="80" w:after="80"/>
            </w:pPr>
            <w:r>
              <w:rPr>
                <w:b w:val="0"/>
              </w:rPr>
              <w:t>1 / 大色块</w:t>
            </w:r>
          </w:p>
        </w:tc>
        <w:tc>
          <w:tcPr>
            <w:tcW w:w="1871" w:type="dxa"/>
          </w:tcPr>
          <w:p w14:paraId="312A473E">
            <w:pPr>
              <w:pStyle w:val="19"/>
              <w:spacing w:before="80" w:after="80"/>
            </w:pPr>
            <w:r>
              <w:rPr>
                <w:b w:val="0"/>
              </w:rPr>
              <w:t>30</w:t>
            </w:r>
          </w:p>
        </w:tc>
        <w:tc>
          <w:tcPr>
            <w:tcW w:w="1871" w:type="dxa"/>
          </w:tcPr>
          <w:p w14:paraId="5FA5271B">
            <w:pPr>
              <w:pStyle w:val="19"/>
              <w:spacing w:before="80" w:after="80"/>
            </w:pPr>
            <w:r>
              <w:rPr>
                <w:b w:val="0"/>
              </w:rPr>
              <w:t>3 × 3</w:t>
            </w:r>
          </w:p>
        </w:tc>
        <w:tc>
          <w:tcPr>
            <w:tcW w:w="2891" w:type="dxa"/>
          </w:tcPr>
          <w:p w14:paraId="27289B3C">
            <w:pPr>
              <w:pStyle w:val="19"/>
              <w:spacing w:before="80" w:after="80"/>
            </w:pPr>
            <w:r>
              <w:rPr>
                <w:b w:val="0"/>
              </w:rPr>
              <w:t>60</w:t>
            </w:r>
          </w:p>
        </w:tc>
      </w:tr>
      <w:tr w14:paraId="16ED3115">
        <w:trPr>
          <w:cantSplit/>
          <w:jc w:val="center"/>
        </w:trPr>
        <w:tc>
          <w:tcPr>
            <w:tcW w:w="2721" w:type="dxa"/>
          </w:tcPr>
          <w:p w14:paraId="0FD02699">
            <w:pPr>
              <w:pStyle w:val="19"/>
              <w:spacing w:before="80" w:after="80"/>
            </w:pPr>
            <w:r>
              <w:rPr>
                <w:b w:val="0"/>
              </w:rPr>
              <w:t>2 / 中色块</w:t>
            </w:r>
          </w:p>
        </w:tc>
        <w:tc>
          <w:tcPr>
            <w:tcW w:w="1871" w:type="dxa"/>
          </w:tcPr>
          <w:p w14:paraId="65F250B2">
            <w:pPr>
              <w:pStyle w:val="19"/>
              <w:spacing w:before="80" w:after="80"/>
            </w:pPr>
            <w:r>
              <w:rPr>
                <w:b w:val="0"/>
              </w:rPr>
              <w:t>16</w:t>
            </w:r>
          </w:p>
        </w:tc>
        <w:tc>
          <w:tcPr>
            <w:tcW w:w="1871" w:type="dxa"/>
          </w:tcPr>
          <w:p w14:paraId="6EEF1D86">
            <w:pPr>
              <w:pStyle w:val="19"/>
              <w:spacing w:before="80" w:after="80"/>
            </w:pPr>
            <w:r>
              <w:rPr>
                <w:b w:val="0"/>
              </w:rPr>
              <w:t>4 × 4</w:t>
            </w:r>
          </w:p>
        </w:tc>
        <w:tc>
          <w:tcPr>
            <w:tcW w:w="2891" w:type="dxa"/>
          </w:tcPr>
          <w:p w14:paraId="6D13F771">
            <w:pPr>
              <w:pStyle w:val="19"/>
              <w:spacing w:before="80" w:after="80"/>
            </w:pPr>
            <w:r>
              <w:rPr>
                <w:b w:val="0"/>
              </w:rPr>
              <w:t>120</w:t>
            </w:r>
          </w:p>
        </w:tc>
      </w:tr>
      <w:tr w14:paraId="5FC7D6EA">
        <w:trPr>
          <w:cantSplit/>
          <w:jc w:val="center"/>
        </w:trPr>
        <w:tc>
          <w:tcPr>
            <w:tcW w:w="2721" w:type="dxa"/>
          </w:tcPr>
          <w:p w14:paraId="45AEC61B">
            <w:pPr>
              <w:pStyle w:val="19"/>
              <w:spacing w:before="80" w:after="80"/>
            </w:pPr>
            <w:r>
              <w:rPr>
                <w:b w:val="0"/>
              </w:rPr>
              <w:t>3 / 形体</w:t>
            </w:r>
          </w:p>
        </w:tc>
        <w:tc>
          <w:tcPr>
            <w:tcW w:w="1871" w:type="dxa"/>
          </w:tcPr>
          <w:p w14:paraId="5B2A3283">
            <w:pPr>
              <w:pStyle w:val="19"/>
              <w:spacing w:before="80" w:after="80"/>
            </w:pPr>
            <w:r>
              <w:rPr>
                <w:b w:val="0"/>
              </w:rPr>
              <w:t>8</w:t>
            </w:r>
          </w:p>
        </w:tc>
        <w:tc>
          <w:tcPr>
            <w:tcW w:w="1871" w:type="dxa"/>
          </w:tcPr>
          <w:p w14:paraId="302E2C46">
            <w:pPr>
              <w:pStyle w:val="19"/>
              <w:spacing w:before="80" w:after="80"/>
            </w:pPr>
            <w:r>
              <w:rPr>
                <w:b w:val="0"/>
              </w:rPr>
              <w:t>5 × 5</w:t>
            </w:r>
          </w:p>
        </w:tc>
        <w:tc>
          <w:tcPr>
            <w:tcW w:w="2891" w:type="dxa"/>
          </w:tcPr>
          <w:p w14:paraId="2DF6BD0C">
            <w:pPr>
              <w:pStyle w:val="19"/>
              <w:spacing w:before="80" w:after="80"/>
            </w:pPr>
            <w:r>
              <w:rPr>
                <w:b w:val="0"/>
              </w:rPr>
              <w:t>220</w:t>
            </w:r>
          </w:p>
        </w:tc>
      </w:tr>
      <w:tr w14:paraId="450A0326">
        <w:trPr>
          <w:cantSplit/>
          <w:jc w:val="center"/>
        </w:trPr>
        <w:tc>
          <w:tcPr>
            <w:tcW w:w="2721" w:type="dxa"/>
          </w:tcPr>
          <w:p w14:paraId="6AE430AC">
            <w:pPr>
              <w:pStyle w:val="19"/>
              <w:spacing w:before="80" w:after="80"/>
            </w:pPr>
            <w:r>
              <w:rPr>
                <w:b w:val="0"/>
              </w:rPr>
              <w:t>4 / 小笔触</w:t>
            </w:r>
          </w:p>
        </w:tc>
        <w:tc>
          <w:tcPr>
            <w:tcW w:w="1871" w:type="dxa"/>
          </w:tcPr>
          <w:p w14:paraId="066FEE32">
            <w:pPr>
              <w:pStyle w:val="19"/>
              <w:spacing w:before="80" w:after="80"/>
            </w:pPr>
            <w:r>
              <w:rPr>
                <w:b w:val="0"/>
              </w:rPr>
              <w:t>4</w:t>
            </w:r>
          </w:p>
        </w:tc>
        <w:tc>
          <w:tcPr>
            <w:tcW w:w="1871" w:type="dxa"/>
          </w:tcPr>
          <w:p w14:paraId="6FDA9343">
            <w:pPr>
              <w:pStyle w:val="19"/>
              <w:spacing w:before="80" w:after="80"/>
            </w:pPr>
            <w:r>
              <w:rPr>
                <w:b w:val="0"/>
              </w:rPr>
              <w:t>6 × 6</w:t>
            </w:r>
          </w:p>
        </w:tc>
        <w:tc>
          <w:tcPr>
            <w:tcW w:w="2891" w:type="dxa"/>
          </w:tcPr>
          <w:p w14:paraId="5452BBBA">
            <w:pPr>
              <w:pStyle w:val="19"/>
              <w:spacing w:before="80" w:after="80"/>
            </w:pPr>
            <w:r>
              <w:rPr>
                <w:b w:val="0"/>
              </w:rPr>
              <w:t>280</w:t>
            </w:r>
          </w:p>
        </w:tc>
      </w:tr>
      <w:tr w14:paraId="111DC1B3">
        <w:trPr>
          <w:cantSplit/>
          <w:jc w:val="center"/>
        </w:trPr>
        <w:tc>
          <w:tcPr>
            <w:tcW w:w="2721" w:type="dxa"/>
          </w:tcPr>
          <w:p w14:paraId="04006E94">
            <w:pPr>
              <w:pStyle w:val="19"/>
              <w:spacing w:before="80" w:after="80"/>
            </w:pPr>
            <w:r>
              <w:rPr>
                <w:b w:val="0"/>
              </w:rPr>
              <w:t>5 / 细节</w:t>
            </w:r>
          </w:p>
        </w:tc>
        <w:tc>
          <w:tcPr>
            <w:tcW w:w="1871" w:type="dxa"/>
          </w:tcPr>
          <w:p w14:paraId="39CB1424">
            <w:pPr>
              <w:pStyle w:val="19"/>
              <w:spacing w:before="80" w:after="80"/>
            </w:pPr>
            <w:r>
              <w:rPr>
                <w:b w:val="0"/>
              </w:rPr>
              <w:t>2.2</w:t>
            </w:r>
          </w:p>
        </w:tc>
        <w:tc>
          <w:tcPr>
            <w:tcW w:w="1871" w:type="dxa"/>
          </w:tcPr>
          <w:p w14:paraId="01E55E8D">
            <w:pPr>
              <w:pStyle w:val="19"/>
              <w:spacing w:before="80" w:after="80"/>
            </w:pPr>
            <w:r>
              <w:rPr>
                <w:b w:val="0"/>
              </w:rPr>
              <w:t>6 × 6</w:t>
            </w:r>
          </w:p>
        </w:tc>
        <w:tc>
          <w:tcPr>
            <w:tcW w:w="2891" w:type="dxa"/>
          </w:tcPr>
          <w:p w14:paraId="07D38AF5">
            <w:pPr>
              <w:pStyle w:val="19"/>
              <w:spacing w:before="80" w:after="80"/>
            </w:pPr>
            <w:r>
              <w:rPr>
                <w:b w:val="0"/>
              </w:rPr>
              <w:t>320</w:t>
            </w:r>
          </w:p>
        </w:tc>
      </w:tr>
    </w:tbl>
    <w:p w14:paraId="32C6C101">
      <w:pPr>
        <w:pStyle w:val="19"/>
      </w:pPr>
      <w:r>
        <w:t>注：宽度按分析图短边200像素换算；无收益候选跳过，尝试次数不等于最终接受笔数。</w:t>
      </w:r>
    </w:p>
    <w:p w14:paraId="1D26A7FD">
      <w:pPr>
        <w:pStyle w:val="16"/>
      </w:pPr>
      <w:r>
        <w:t>表1的宽度以分析图短边200像素为基准，再按实际尺寸换算。每遍的尝试次数按预算比例分配，区域内部则按当前加权残差分配数量：尚未表达充分的区域获得更多机会，已接近参考图的区域减少重复覆盖。图2用莫奈《日出·印象》的同一份规划结果展示五遍的累积重建，便于观察整体色彩、形体和细节逐渐形成的过程。</w:t>
      </w:r>
    </w:p>
    <w:p w14:paraId="7AA4DD5F">
      <w:pPr>
        <w:pStyle w:val="18"/>
        <w:keepNext/>
        <w:spacing w:before="120"/>
      </w:pPr>
      <w:r>
        <w:drawing>
          <wp:inline distT="0" distB="0" distL="114300" distR="114300">
            <wp:extent cx="5752465" cy="4751705"/>
            <wp:effectExtent l="0" t="0" r="8255" b="3175"/>
            <wp:docPr id="3" name="Picture 3" descr="图2 莫奈《日出·印象》的五遍累积重建效果。原图为项目内参考作品；阶段图来自当前五遍规划方法的工程验证。均为算法模拟结果，非用户手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2 莫奈《日出·印象》的五遍累积重建效果。原图为项目内参考作品；阶段图来自当前五遍规划方法的工程验证。均为算法模拟结果，非用户手绘。"/>
                    <pic:cNvPicPr>
                      <a:picLocks noChangeAspect="1"/>
                    </pic:cNvPicPr>
                  </pic:nvPicPr>
                  <pic:blipFill>
                    <a:blip r:embed="rId16"/>
                    <a:stretch>
                      <a:fillRect/>
                    </a:stretch>
                  </pic:blipFill>
                  <pic:spPr>
                    <a:xfrm>
                      <a:off x="0" y="0"/>
                      <a:ext cx="5752736" cy="4752000"/>
                    </a:xfrm>
                    <a:prstGeom prst="rect">
                      <a:avLst/>
                    </a:prstGeom>
                  </pic:spPr>
                </pic:pic>
              </a:graphicData>
            </a:graphic>
          </wp:inline>
        </w:drawing>
      </w:r>
    </w:p>
    <w:p w14:paraId="52AE4DFB">
      <w:pPr>
        <w:pStyle w:val="18"/>
        <w:keepNext/>
      </w:pPr>
      <w:r>
        <w:t>图2  莫奈《日出·印象》的五遍累积重建效果</w:t>
      </w:r>
    </w:p>
    <w:p w14:paraId="51F67626">
      <w:pPr>
        <w:pStyle w:val="15"/>
      </w:pPr>
      <w:r>
        <w:t>四、交互流程与UI设计建设</w:t>
      </w:r>
    </w:p>
    <w:p w14:paraId="1BB71529">
      <w:pPr>
        <w:pStyle w:val="17"/>
      </w:pPr>
      <w:r>
        <w:t>4.1 信息架构与创作入口</w:t>
      </w:r>
    </w:p>
    <w:p w14:paraId="590D47C2">
      <w:pPr>
        <w:pStyle w:val="16"/>
      </w:pPr>
      <w:r>
        <w:t>“星迹智绘”</w:t>
      </w:r>
      <w:r>
        <w:rPr>
          <w:rFonts w:hint="eastAsia"/>
          <w:lang w:val="en-US" w:eastAsia="zh-CN"/>
        </w:rPr>
        <w:t>程序</w:t>
      </w:r>
      <w:r>
        <w:t>已经建立首页、选图、绘画、作品查看、产品介绍及研究测试等主要页面。普通体验路径围绕“选择想画的图—获得有序笔触—亲手绘画—保存作品”组织；用户测试通过独立入口进入统一任务。首页突出“开始我的第一幅画”的主操作，将较长介绍默认折叠，减少初次进入时需要阅读的信息。产品介绍页面则承担完整功能说明、算法原理和文献来源展示，避免把技术细节集中放入绘画任务界面。</w:t>
      </w:r>
    </w:p>
    <w:p w14:paraId="247E5C85">
      <w:pPr>
        <w:pStyle w:val="18"/>
        <w:keepNext/>
        <w:spacing w:before="120"/>
      </w:pPr>
      <w:r>
        <w:drawing>
          <wp:inline distT="0" distB="0" distL="114300" distR="114300">
            <wp:extent cx="3879215" cy="2694305"/>
            <wp:effectExtent l="0" t="0" r="6985" b="3175"/>
            <wp:docPr id="4" name="Picture 4" descr="图3 星迹智绘首页与主要创作入口。当前程序截图；首页的长介绍默认收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3 星迹智绘首页与主要创作入口。当前程序截图；首页的长介绍默认收起。"/>
                    <pic:cNvPicPr>
                      <a:picLocks noChangeAspect="1"/>
                    </pic:cNvPicPr>
                  </pic:nvPicPr>
                  <pic:blipFill>
                    <a:blip r:embed="rId17"/>
                    <a:stretch>
                      <a:fillRect/>
                    </a:stretch>
                  </pic:blipFill>
                  <pic:spPr>
                    <a:xfrm>
                      <a:off x="0" y="0"/>
                      <a:ext cx="3879215" cy="2694305"/>
                    </a:xfrm>
                    <a:prstGeom prst="rect">
                      <a:avLst/>
                    </a:prstGeom>
                  </pic:spPr>
                </pic:pic>
              </a:graphicData>
            </a:graphic>
          </wp:inline>
        </w:drawing>
      </w:r>
      <w:r>
        <w:drawing>
          <wp:inline distT="0" distB="0" distL="114300" distR="114300">
            <wp:extent cx="1859280" cy="2696210"/>
            <wp:effectExtent l="0" t="0" r="0" b="127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8"/>
                    <a:stretch>
                      <a:fillRect/>
                    </a:stretch>
                  </pic:blipFill>
                  <pic:spPr>
                    <a:xfrm>
                      <a:off x="0" y="0"/>
                      <a:ext cx="1859280" cy="2696210"/>
                    </a:xfrm>
                    <a:prstGeom prst="rect">
                      <a:avLst/>
                    </a:prstGeom>
                    <a:noFill/>
                    <a:ln>
                      <a:noFill/>
                    </a:ln>
                  </pic:spPr>
                </pic:pic>
              </a:graphicData>
            </a:graphic>
          </wp:inline>
        </w:drawing>
      </w:r>
    </w:p>
    <w:p w14:paraId="51E1EF28">
      <w:pPr>
        <w:pStyle w:val="18"/>
        <w:keepNext/>
      </w:pPr>
      <w:r>
        <w:t>图3  星迹智绘首页与主要创作入口</w:t>
      </w:r>
    </w:p>
    <w:p w14:paraId="32D8287C">
      <w:pPr>
        <w:pStyle w:val="19"/>
      </w:pPr>
      <w:r>
        <w:t>注：当前程序截图；首页的长介绍默认收起。</w:t>
      </w:r>
    </w:p>
    <w:p w14:paraId="35D44C06">
      <w:pPr>
        <w:pStyle w:val="16"/>
      </w:pPr>
      <w:r>
        <w:t>参考图既可以来自作品库，也可以由用户本地选择或拖拽上传。当前支持20MB以下的JPG、PNG等浏览器可解码图像，并提供文件检查、预览和加载反馈。用户可以先检查拆解后的预期效果，再决定是否进入绘画。对于参考图过于复杂或细节不足的情况，这一步能使目标更明确。自由画布允许直接绘画，不要求先挑选主题；它为不想跟随固定参考图的</w:t>
      </w:r>
      <w:r>
        <w:rPr>
          <w:rFonts w:hint="eastAsia"/>
          <w:lang w:val="en-US" w:eastAsia="zh-CN"/>
        </w:rPr>
        <w:t>绘画</w:t>
      </w:r>
      <w:r>
        <w:t>使用者保留</w:t>
      </w:r>
      <w:r>
        <w:rPr>
          <w:rFonts w:hint="eastAsia"/>
          <w:lang w:val="en-US" w:eastAsia="zh-CN"/>
        </w:rPr>
        <w:t>了</w:t>
      </w:r>
      <w:r>
        <w:t>自主表达</w:t>
      </w:r>
      <w:r>
        <w:rPr>
          <w:rFonts w:hint="eastAsia"/>
          <w:lang w:val="en-US" w:eastAsia="zh-CN"/>
        </w:rPr>
        <w:t>的</w:t>
      </w:r>
      <w:r>
        <w:t>空间。</w:t>
      </w:r>
    </w:p>
    <w:p w14:paraId="05A64562">
      <w:pPr>
        <w:pStyle w:val="18"/>
        <w:keepNext/>
        <w:spacing w:before="120"/>
      </w:pPr>
      <w:r>
        <w:drawing>
          <wp:inline distT="0" distB="0" distL="114300" distR="114300">
            <wp:extent cx="2038350" cy="2217420"/>
            <wp:effectExtent l="0" t="0" r="3810" b="762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9"/>
                    <a:stretch>
                      <a:fillRect/>
                    </a:stretch>
                  </pic:blipFill>
                  <pic:spPr>
                    <a:xfrm>
                      <a:off x="0" y="0"/>
                      <a:ext cx="2038350" cy="2217420"/>
                    </a:xfrm>
                    <a:prstGeom prst="rect">
                      <a:avLst/>
                    </a:prstGeom>
                    <a:noFill/>
                    <a:ln>
                      <a:noFill/>
                    </a:ln>
                  </pic:spPr>
                </pic:pic>
              </a:graphicData>
            </a:graphic>
          </wp:inline>
        </w:drawing>
      </w:r>
      <w:r>
        <w:drawing>
          <wp:inline distT="0" distB="0" distL="114300" distR="114300">
            <wp:extent cx="1485900" cy="2216150"/>
            <wp:effectExtent l="0" t="0" r="7620" b="889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20"/>
                    <a:stretch>
                      <a:fillRect/>
                    </a:stretch>
                  </pic:blipFill>
                  <pic:spPr>
                    <a:xfrm>
                      <a:off x="0" y="0"/>
                      <a:ext cx="1485900" cy="2216150"/>
                    </a:xfrm>
                    <a:prstGeom prst="rect">
                      <a:avLst/>
                    </a:prstGeom>
                    <a:noFill/>
                    <a:ln>
                      <a:noFill/>
                    </a:ln>
                  </pic:spPr>
                </pic:pic>
              </a:graphicData>
            </a:graphic>
          </wp:inline>
        </w:drawing>
      </w:r>
      <w:r>
        <w:drawing>
          <wp:inline distT="0" distB="0" distL="114300" distR="114300">
            <wp:extent cx="2414905" cy="2233930"/>
            <wp:effectExtent l="0" t="0" r="8255" b="635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21"/>
                    <a:stretch>
                      <a:fillRect/>
                    </a:stretch>
                  </pic:blipFill>
                  <pic:spPr>
                    <a:xfrm>
                      <a:off x="0" y="0"/>
                      <a:ext cx="2414905" cy="2233930"/>
                    </a:xfrm>
                    <a:prstGeom prst="rect">
                      <a:avLst/>
                    </a:prstGeom>
                    <a:noFill/>
                    <a:ln>
                      <a:noFill/>
                    </a:ln>
                  </pic:spPr>
                </pic:pic>
              </a:graphicData>
            </a:graphic>
          </wp:inline>
        </w:drawing>
      </w:r>
    </w:p>
    <w:p w14:paraId="5C69AF7E">
      <w:pPr>
        <w:pStyle w:val="18"/>
        <w:keepNext/>
      </w:pPr>
      <w:r>
        <w:t>图4  图片上传</w:t>
      </w:r>
      <w:r>
        <w:rPr>
          <w:rFonts w:hint="eastAsia"/>
          <w:lang w:eastAsia="zh-CN"/>
        </w:rPr>
        <w:t>、</w:t>
      </w:r>
      <w:r>
        <w:rPr>
          <w:rFonts w:hint="eastAsia"/>
          <w:lang w:val="en-US" w:eastAsia="zh-CN"/>
        </w:rPr>
        <w:t>精选临摹、自由画布</w:t>
      </w:r>
      <w:r>
        <w:t>选择界面</w:t>
      </w:r>
    </w:p>
    <w:p w14:paraId="7C366F43">
      <w:pPr>
        <w:pStyle w:val="19"/>
      </w:pPr>
      <w:r>
        <w:t>注：当前程序截图；支持点击选图、拖拽上传和进入自由画布。</w:t>
      </w:r>
    </w:p>
    <w:p w14:paraId="6D65378A">
      <w:pPr>
        <w:pStyle w:val="17"/>
      </w:pPr>
      <w:r>
        <w:t>4.2 绘画中的提示、控制与反馈</w:t>
      </w:r>
    </w:p>
    <w:p w14:paraId="5A243675">
      <w:pPr>
        <w:pStyle w:val="16"/>
      </w:pPr>
      <w:r>
        <w:t>绘画界面以画布为中心，当前笔触通过半透明区域、数字起终点和方向箭头表示。数字、圆圈、箭头和路线会随笔触尺寸同比缩放，减少细小笔触被大图标遮挡的情况。用户默认获得完整引导，也可在工具中选择适度提示或仅保留起点。进度与遍次说明共同告诉用户当前处于大色块建立还是细节修整阶段，使“下一笔”与整幅画的形成过程建立联系。</w:t>
      </w:r>
    </w:p>
    <w:p w14:paraId="7B6EC9E0">
      <w:pPr>
        <w:pStyle w:val="16"/>
      </w:pPr>
      <w:r>
        <w:t>参考原图置于</w:t>
      </w:r>
      <w:r>
        <w:rPr>
          <w:rFonts w:hint="eastAsia"/>
          <w:lang w:val="en-US" w:eastAsia="zh-CN"/>
        </w:rPr>
        <w:t>提示</w:t>
      </w:r>
      <w:r>
        <w:t>面板中，按容器适配显示，点击可以放大查看并恢复。面板可移动、锁定和收起为方圆图标，帮助使用者根据画布位置安排信息。底部工具栏把模式、画笔与常用操作集中呈现，按钮提供悬停文字提示，教程入口解释不同工具的作用。沿星迹模式支持撤销，使误操作具备可恢复性，也让用户可以重新尝试当前动作。</w:t>
      </w:r>
    </w:p>
    <w:p w14:paraId="35C449AA">
      <w:pPr>
        <w:pStyle w:val="18"/>
        <w:keepNext/>
        <w:spacing w:before="120"/>
      </w:pPr>
      <w:r>
        <w:drawing>
          <wp:inline distT="0" distB="0" distL="114300" distR="114300">
            <wp:extent cx="1508125" cy="1371600"/>
            <wp:effectExtent l="0" t="0" r="635"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2"/>
                    <a:stretch>
                      <a:fillRect/>
                    </a:stretch>
                  </pic:blipFill>
                  <pic:spPr>
                    <a:xfrm>
                      <a:off x="0" y="0"/>
                      <a:ext cx="1508125" cy="1371600"/>
                    </a:xfrm>
                    <a:prstGeom prst="rect">
                      <a:avLst/>
                    </a:prstGeom>
                    <a:noFill/>
                    <a:ln>
                      <a:noFill/>
                    </a:ln>
                  </pic:spPr>
                </pic:pic>
              </a:graphicData>
            </a:graphic>
          </wp:inline>
        </w:drawing>
      </w:r>
      <w:r>
        <w:drawing>
          <wp:inline distT="0" distB="0" distL="114300" distR="114300">
            <wp:extent cx="1964055" cy="1364615"/>
            <wp:effectExtent l="0" t="0" r="1905" b="6985"/>
            <wp:docPr id="6" name="Picture 6" descr="图5 沿星迹绘画、参考原图与可移动提示面板。当前程序截图；图中画布为绘画起始状态，紫色区域表示待执行笔触，非用户作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5 沿星迹绘画、参考原图与可移动提示面板。当前程序截图；图中画布为绘画起始状态，紫色区域表示待执行笔触，非用户作品。"/>
                    <pic:cNvPicPr>
                      <a:picLocks noChangeAspect="1"/>
                    </pic:cNvPicPr>
                  </pic:nvPicPr>
                  <pic:blipFill>
                    <a:blip r:embed="rId23"/>
                    <a:stretch>
                      <a:fillRect/>
                    </a:stretch>
                  </pic:blipFill>
                  <pic:spPr>
                    <a:xfrm>
                      <a:off x="0" y="0"/>
                      <a:ext cx="1964055" cy="1364615"/>
                    </a:xfrm>
                    <a:prstGeom prst="rect">
                      <a:avLst/>
                    </a:prstGeom>
                  </pic:spPr>
                </pic:pic>
              </a:graphicData>
            </a:graphic>
          </wp:inline>
        </w:drawing>
      </w:r>
      <w:r>
        <w:drawing>
          <wp:inline distT="0" distB="0" distL="114300" distR="114300">
            <wp:extent cx="1464310" cy="1349375"/>
            <wp:effectExtent l="0" t="0" r="13970" b="698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4"/>
                    <a:stretch>
                      <a:fillRect/>
                    </a:stretch>
                  </pic:blipFill>
                  <pic:spPr>
                    <a:xfrm>
                      <a:off x="0" y="0"/>
                      <a:ext cx="1464310" cy="1349375"/>
                    </a:xfrm>
                    <a:prstGeom prst="rect">
                      <a:avLst/>
                    </a:prstGeom>
                    <a:noFill/>
                    <a:ln>
                      <a:noFill/>
                    </a:ln>
                  </pic:spPr>
                </pic:pic>
              </a:graphicData>
            </a:graphic>
          </wp:inline>
        </w:drawing>
      </w:r>
      <w:r>
        <w:drawing>
          <wp:inline distT="0" distB="0" distL="114300" distR="114300">
            <wp:extent cx="1015365" cy="1380490"/>
            <wp:effectExtent l="0" t="0" r="5715" b="635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25"/>
                    <a:stretch>
                      <a:fillRect/>
                    </a:stretch>
                  </pic:blipFill>
                  <pic:spPr>
                    <a:xfrm>
                      <a:off x="0" y="0"/>
                      <a:ext cx="1015365" cy="1380490"/>
                    </a:xfrm>
                    <a:prstGeom prst="rect">
                      <a:avLst/>
                    </a:prstGeom>
                    <a:noFill/>
                    <a:ln>
                      <a:noFill/>
                    </a:ln>
                  </pic:spPr>
                </pic:pic>
              </a:graphicData>
            </a:graphic>
          </wp:inline>
        </w:drawing>
      </w:r>
    </w:p>
    <w:p w14:paraId="25706CED">
      <w:pPr>
        <w:pStyle w:val="18"/>
        <w:keepNext/>
      </w:pPr>
      <w:r>
        <w:t>图5  沿星迹绘画、参考原图与可移动提示面板</w:t>
      </w:r>
    </w:p>
    <w:p w14:paraId="7D0AE18A">
      <w:pPr>
        <w:pStyle w:val="19"/>
      </w:pPr>
      <w:r>
        <w:t>注：当前程序截图；图中画布为绘画起始状态，紫色区域表示待执行笔触。</w:t>
      </w:r>
    </w:p>
    <w:p w14:paraId="5560224C">
      <w:pPr>
        <w:pStyle w:val="16"/>
      </w:pPr>
      <w:r>
        <w:t>普通体验提供沿星迹、自动续画和自由星域三种使用方式。沿星迹强调按照当前提示动笔；自动续画用于观察序列怎样构成画面，逐笔间隔可在200毫秒至1秒之间调整，默认1秒，暂停后保持当前模式和进度；自由星域直接响应使用者的绘画手势。绘画过程中可调整笔宽、颜色和风格，笔宽数字用整数显示。</w:t>
      </w:r>
    </w:p>
    <w:p w14:paraId="01F0376C">
      <w:pPr>
        <w:pStyle w:val="15"/>
      </w:pPr>
      <w:r>
        <w:t>五、程序与实验平台的开发建设</w:t>
      </w:r>
    </w:p>
    <w:p w14:paraId="6FFC6E95">
      <w:pPr>
        <w:pStyle w:val="17"/>
      </w:pPr>
      <w:r>
        <w:t>5.1 前后端与数据流程</w:t>
      </w:r>
    </w:p>
    <w:p w14:paraId="24A813E7">
      <w:pPr>
        <w:pStyle w:val="16"/>
      </w:pPr>
      <w:r>
        <w:t xml:space="preserve">程序以Next.js、React和TypeScript搭建页面与状态管理，浏览器Canvas承载参考图、引导和实际笔迹，Web </w:t>
      </w:r>
      <w:r>
        <w:rPr>
          <w:rFonts w:hint="eastAsia"/>
          <w:lang w:val="en-US" w:eastAsia="zh-CN"/>
        </w:rPr>
        <w:t>端</w:t>
      </w:r>
      <w:r>
        <w:t>运行较重的图像规划。服务端提供研究配置、入组、轮次记录、作品保存、评分和导出接口，使用持久化数据库及文件目录管理研究材料。算法模块与绘画操作分离，研究材料保存版本和哈希，便于核对某一份记录使用了哪张图片、哪套笔触计划和哪一版规则。</w:t>
      </w:r>
    </w:p>
    <w:p w14:paraId="47337C06">
      <w:pPr>
        <w:pStyle w:val="16"/>
      </w:pPr>
      <w:r>
        <w:t>普通体验与研究任务采用不同的使用边界。普通体验允许自行选图、切换风格与观察自动续画；研究任务由研究者统一设置材料、工具能力和时限。同一研究码关联同一人的两轮任务，重复研究码会被提示，不作为进入任意已有记录的凭证。研究者工作台集中查看测试记录、材料状态和配对结果，参与者无需选择后台批次。实际测试是否开放由材料审核和批次发布状态控制，软件功能完成不等于某个研究批次已经开始招募。</w:t>
      </w:r>
    </w:p>
    <w:p w14:paraId="41F3FAF2">
      <w:pPr>
        <w:pStyle w:val="17"/>
      </w:pPr>
      <w:r>
        <w:t>5.2 已搭建的五步用户测试流程</w:t>
      </w:r>
    </w:p>
    <w:p w14:paraId="54E00565">
      <w:pPr>
        <w:pStyle w:val="16"/>
      </w:pPr>
      <w:r>
        <w:t>参与者侧的流程组织为“进入—熟悉工具—第一轮—第二轮—完成对比”。进入时说明用途、预计时间、保存内容与退出方式，并确认研究同意及参与条件。练习图自动准备，参与者主动开始90秒练习；每轮绘画前填写两道自评题，然后直接开始任务，避免在准备页面之间反复跳转。两轮之间安排休息，第二轮结束后显示配对结果，口头访谈由研究者在后台记录。图7概括了该流程与两种实验条件。</w:t>
      </w:r>
    </w:p>
    <w:p w14:paraId="2162D571">
      <w:pPr>
        <w:pStyle w:val="18"/>
        <w:keepNext/>
        <w:spacing w:before="120"/>
      </w:pPr>
      <w:r>
        <w:drawing>
          <wp:inline distT="0" distB="0" distL="114300" distR="114300">
            <wp:extent cx="4575810" cy="3322320"/>
            <wp:effectExtent l="0" t="0" r="11430" b="0"/>
            <wp:docPr id="8" name="Picture 8" descr="图7 五步参与流程与两条件对比结构。依据当前程序绘制；展示的是研究方案与已实现流程，非已完成实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7 五步参与流程与两条件对比结构。依据当前程序绘制；展示的是研究方案与已实现流程，非已完成实验。"/>
                    <pic:cNvPicPr>
                      <a:picLocks noChangeAspect="1"/>
                    </pic:cNvPicPr>
                  </pic:nvPicPr>
                  <pic:blipFill>
                    <a:blip r:embed="rId26"/>
                    <a:stretch>
                      <a:fillRect/>
                    </a:stretch>
                  </pic:blipFill>
                  <pic:spPr>
                    <a:xfrm>
                      <a:off x="0" y="0"/>
                      <a:ext cx="4575810" cy="3322320"/>
                    </a:xfrm>
                    <a:prstGeom prst="rect">
                      <a:avLst/>
                    </a:prstGeom>
                  </pic:spPr>
                </pic:pic>
              </a:graphicData>
            </a:graphic>
          </wp:inline>
        </w:drawing>
      </w:r>
    </w:p>
    <w:p w14:paraId="7AD50C6C">
      <w:pPr>
        <w:pStyle w:val="18"/>
        <w:keepNext/>
      </w:pPr>
      <w:r>
        <w:t>图</w:t>
      </w:r>
      <w:r>
        <w:rPr>
          <w:rFonts w:hint="eastAsia"/>
          <w:lang w:val="en-US" w:eastAsia="zh-CN"/>
        </w:rPr>
        <w:t>6</w:t>
      </w:r>
      <w:r>
        <w:t xml:space="preserve">  五步参与流程与两条件对比结构</w:t>
      </w:r>
    </w:p>
    <w:p w14:paraId="2CF95D5F">
      <w:pPr>
        <w:pStyle w:val="18"/>
        <w:keepNext/>
        <w:spacing w:before="120"/>
      </w:pPr>
      <w:r>
        <w:drawing>
          <wp:inline distT="0" distB="0" distL="114300" distR="114300">
            <wp:extent cx="4354195" cy="3023870"/>
            <wp:effectExtent l="0" t="0" r="4445" b="8890"/>
            <wp:docPr id="9" name="Picture 9" descr="图8 研究参与说明、研究码与同意入口。截图来自隔离演示环境，不表示实际研究批次已经发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8 研究参与说明、研究码与同意入口。截图来自隔离演示环境，不表示实际研究批次已经发布。"/>
                    <pic:cNvPicPr>
                      <a:picLocks noChangeAspect="1"/>
                    </pic:cNvPicPr>
                  </pic:nvPicPr>
                  <pic:blipFill>
                    <a:blip r:embed="rId27"/>
                    <a:stretch>
                      <a:fillRect/>
                    </a:stretch>
                  </pic:blipFill>
                  <pic:spPr>
                    <a:xfrm>
                      <a:off x="0" y="0"/>
                      <a:ext cx="4354195" cy="3023870"/>
                    </a:xfrm>
                    <a:prstGeom prst="rect">
                      <a:avLst/>
                    </a:prstGeom>
                  </pic:spPr>
                </pic:pic>
              </a:graphicData>
            </a:graphic>
          </wp:inline>
        </w:drawing>
      </w:r>
    </w:p>
    <w:p w14:paraId="35D1F17E">
      <w:pPr>
        <w:pStyle w:val="18"/>
        <w:keepNext/>
      </w:pPr>
      <w:r>
        <w:t>图</w:t>
      </w:r>
      <w:r>
        <w:rPr>
          <w:rFonts w:hint="eastAsia"/>
          <w:lang w:val="en-US" w:eastAsia="zh-CN"/>
        </w:rPr>
        <w:t>7</w:t>
      </w:r>
      <w:r>
        <w:t xml:space="preserve">  研究参与说明、研究码与同意入口</w:t>
      </w:r>
    </w:p>
    <w:p w14:paraId="4F78268F">
      <w:pPr>
        <w:pStyle w:val="16"/>
      </w:pPr>
    </w:p>
    <w:p w14:paraId="14BEBBFE">
      <w:pPr>
        <w:pStyle w:val="16"/>
      </w:pPr>
      <w:r>
        <w:t>研究采用同一参与者、同一参考图的两条件比较。A条件为参照图片进行普通数字绘画；B条件在相同基础画布上提供笔触序列与引导信息。系统分配AB或BA顺序，以平衡先后影响；两条件共用画笔、橡皮、撤销重做和图层等基础工具，均禁用自动续画与标准笔触替代。B条件包含位置、方向及参数建议，因此实验评价的是整套笔触引导交互，不单独归因于一根路径线。</w:t>
      </w:r>
    </w:p>
    <w:p w14:paraId="68DC4558">
      <w:pPr>
        <w:pStyle w:val="18"/>
        <w:keepNext/>
        <w:spacing w:before="120"/>
      </w:pPr>
      <w:r>
        <w:drawing>
          <wp:inline distT="0" distB="0" distL="114300" distR="114300">
            <wp:extent cx="4942205" cy="3432175"/>
            <wp:effectExtent l="0" t="0" r="10795" b="12065"/>
            <wp:docPr id="10" name="Picture 10" descr="图9 笔触引导条件下的研究任务界面。隔离演示环境截图；参与者实际作品与引导计划分别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图9 笔触引导条件下的研究任务界面。隔离演示环境截图；参与者实际作品与引导计划分别记录。"/>
                    <pic:cNvPicPr>
                      <a:picLocks noChangeAspect="1"/>
                    </pic:cNvPicPr>
                  </pic:nvPicPr>
                  <pic:blipFill>
                    <a:blip r:embed="rId28"/>
                    <a:stretch>
                      <a:fillRect/>
                    </a:stretch>
                  </pic:blipFill>
                  <pic:spPr>
                    <a:xfrm>
                      <a:off x="0" y="0"/>
                      <a:ext cx="4942205" cy="3432175"/>
                    </a:xfrm>
                    <a:prstGeom prst="rect">
                      <a:avLst/>
                    </a:prstGeom>
                  </pic:spPr>
                </pic:pic>
              </a:graphicData>
            </a:graphic>
          </wp:inline>
        </w:drawing>
      </w:r>
    </w:p>
    <w:p w14:paraId="24ED32D0">
      <w:pPr>
        <w:pStyle w:val="18"/>
        <w:keepNext/>
      </w:pPr>
      <w:r>
        <w:t>图</w:t>
      </w:r>
      <w:r>
        <w:rPr>
          <w:rFonts w:hint="eastAsia"/>
          <w:lang w:val="en-US" w:eastAsia="zh-CN"/>
        </w:rPr>
        <w:t>8</w:t>
      </w:r>
      <w:r>
        <w:t xml:space="preserve">  笔触引导条件下的研究任务界面</w:t>
      </w:r>
    </w:p>
    <w:p w14:paraId="1FDBD6B3">
      <w:pPr>
        <w:pStyle w:val="16"/>
      </w:pPr>
    </w:p>
    <w:p w14:paraId="6788733F">
      <w:pPr>
        <w:pStyle w:val="16"/>
      </w:pPr>
      <w:r>
        <w:t>当前每轮设置12分钟上限，轮间休息2分钟，两轮前后均采集简短感受。前测关注再次绘画意愿和担心画不好，后测再加入体验满足感及完成类似任务的信心，采用七级回答并允许不回答。题目是围绕本项目目标编写的简短自评，尚不能视为已验证的标准心理量表。正式采集前还需通过预试检查语言是否容易理解、任务是否过长以及参与者是否把引导当作必须全部完成的考核。</w:t>
      </w:r>
    </w:p>
    <w:p w14:paraId="10DA0674">
      <w:pPr>
        <w:pStyle w:val="17"/>
      </w:pPr>
      <w:r>
        <w:t>5.3 数据埋点、评分与可视化</w:t>
      </w:r>
    </w:p>
    <w:p w14:paraId="05508146">
      <w:pPr>
        <w:pStyle w:val="16"/>
      </w:pPr>
      <w:r>
        <w:t>系统已建立任务开始与结束、落笔、撤销、引导推进、休息、页面切换和系统阻塞等事件记录，并将行为摘要、作品和问卷关联到同一轮次。记录支持服务端保存、失败重试及导出；后台可逐份查看测试，进行配对分析、独立作品评分和问题复盘。</w:t>
      </w:r>
    </w:p>
    <w:p w14:paraId="7A9CAEF4">
      <w:pPr>
        <w:pStyle w:val="18"/>
        <w:keepNext/>
        <w:spacing w:before="120"/>
      </w:pPr>
      <w:r>
        <w:drawing>
          <wp:inline distT="0" distB="0" distL="114300" distR="114300">
            <wp:extent cx="4934585" cy="3427095"/>
            <wp:effectExtent l="0" t="0" r="3175" b="1905"/>
            <wp:docPr id="11" name="Picture 11" descr="图10 研究者工作台、测试记录与材料配置。页面中的一份记录为合成演示；不是真人预试人数或实验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图10 研究者工作台、测试记录与材料配置。页面中的一份记录为合成演示；不是真人预试人数或实验结果。"/>
                    <pic:cNvPicPr>
                      <a:picLocks noChangeAspect="1"/>
                    </pic:cNvPicPr>
                  </pic:nvPicPr>
                  <pic:blipFill>
                    <a:blip r:embed="rId29"/>
                    <a:stretch>
                      <a:fillRect/>
                    </a:stretch>
                  </pic:blipFill>
                  <pic:spPr>
                    <a:xfrm>
                      <a:off x="0" y="0"/>
                      <a:ext cx="4934585" cy="3427095"/>
                    </a:xfrm>
                    <a:prstGeom prst="rect">
                      <a:avLst/>
                    </a:prstGeom>
                  </pic:spPr>
                </pic:pic>
              </a:graphicData>
            </a:graphic>
          </wp:inline>
        </w:drawing>
      </w:r>
    </w:p>
    <w:p w14:paraId="198736C0">
      <w:pPr>
        <w:pStyle w:val="18"/>
        <w:keepNext/>
      </w:pPr>
      <w:r>
        <w:t>图</w:t>
      </w:r>
      <w:r>
        <w:rPr>
          <w:rFonts w:hint="eastAsia"/>
          <w:lang w:val="en-US" w:eastAsia="zh-CN"/>
        </w:rPr>
        <w:t>9</w:t>
      </w:r>
      <w:r>
        <w:t xml:space="preserve">  研究者工作台、测试记录与材料配置</w:t>
      </w:r>
    </w:p>
    <w:p w14:paraId="2A217E8B">
      <w:pPr>
        <w:pStyle w:val="18"/>
        <w:keepNext/>
      </w:pPr>
    </w:p>
    <w:p w14:paraId="55881072">
      <w:pPr>
        <w:pStyle w:val="18"/>
        <w:keepNext/>
      </w:pPr>
      <w:r>
        <w:t>表3  研究目标与已实现测量口径</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2948"/>
        <w:gridCol w:w="4649"/>
      </w:tblGrid>
      <w:tr w14:paraId="1CDD4259">
        <w:trPr>
          <w:cantSplit/>
          <w:tblHeader/>
          <w:jc w:val="center"/>
        </w:trPr>
        <w:tc>
          <w:tcPr>
            <w:tcW w:w="1757" w:type="dxa"/>
            <w:shd w:val="clear" w:color="auto" w:fill="ECEAFE"/>
          </w:tcPr>
          <w:p w14:paraId="1720FEB0">
            <w:pPr>
              <w:pStyle w:val="19"/>
              <w:spacing w:before="80" w:after="80"/>
            </w:pPr>
            <w:r>
              <w:rPr>
                <w:b/>
              </w:rPr>
              <w:t>研究目标</w:t>
            </w:r>
          </w:p>
        </w:tc>
        <w:tc>
          <w:tcPr>
            <w:tcW w:w="2948" w:type="dxa"/>
            <w:shd w:val="clear" w:color="auto" w:fill="ECEAFE"/>
          </w:tcPr>
          <w:p w14:paraId="70B8A905">
            <w:pPr>
              <w:pStyle w:val="19"/>
              <w:spacing w:before="80" w:after="80"/>
            </w:pPr>
            <w:r>
              <w:rPr>
                <w:b/>
              </w:rPr>
              <w:t>主要记录</w:t>
            </w:r>
          </w:p>
        </w:tc>
        <w:tc>
          <w:tcPr>
            <w:tcW w:w="4649" w:type="dxa"/>
            <w:shd w:val="clear" w:color="auto" w:fill="ECEAFE"/>
          </w:tcPr>
          <w:p w14:paraId="6FF98098">
            <w:pPr>
              <w:pStyle w:val="19"/>
              <w:spacing w:before="80" w:after="80"/>
            </w:pPr>
            <w:r>
              <w:rPr>
                <w:b/>
              </w:rPr>
              <w:t>解释与限制</w:t>
            </w:r>
          </w:p>
        </w:tc>
      </w:tr>
      <w:tr w14:paraId="6D589AA8">
        <w:trPr>
          <w:cantSplit/>
          <w:jc w:val="center"/>
        </w:trPr>
        <w:tc>
          <w:tcPr>
            <w:tcW w:w="1757" w:type="dxa"/>
          </w:tcPr>
          <w:p w14:paraId="27738D4D">
            <w:pPr>
              <w:pStyle w:val="19"/>
              <w:spacing w:before="80" w:after="80"/>
            </w:pPr>
            <w:r>
              <w:rPr>
                <w:b w:val="0"/>
              </w:rPr>
              <w:t>愿意开始与再次绘画</w:t>
            </w:r>
          </w:p>
        </w:tc>
        <w:tc>
          <w:tcPr>
            <w:tcW w:w="2948" w:type="dxa"/>
          </w:tcPr>
          <w:p w14:paraId="2595A414">
            <w:pPr>
              <w:pStyle w:val="19"/>
              <w:spacing w:before="80" w:after="80"/>
            </w:pPr>
            <w:r>
              <w:rPr>
                <w:b w:val="0"/>
              </w:rPr>
              <w:t>首次有效落笔等待；每轮前后意愿自评</w:t>
            </w:r>
          </w:p>
        </w:tc>
        <w:tc>
          <w:tcPr>
            <w:tcW w:w="4649" w:type="dxa"/>
          </w:tcPr>
          <w:p w14:paraId="7F325BEC">
            <w:pPr>
              <w:pStyle w:val="19"/>
              <w:spacing w:before="80" w:after="80"/>
            </w:pPr>
            <w:r>
              <w:rPr>
                <w:b w:val="0"/>
              </w:rPr>
              <w:t>等待是启动行为指标；意愿不是长期实际练习频次。</w:t>
            </w:r>
          </w:p>
        </w:tc>
      </w:tr>
      <w:tr w14:paraId="0FFEEEBC">
        <w:trPr>
          <w:cantSplit/>
          <w:jc w:val="center"/>
        </w:trPr>
        <w:tc>
          <w:tcPr>
            <w:tcW w:w="1757" w:type="dxa"/>
          </w:tcPr>
          <w:p w14:paraId="14A01466">
            <w:pPr>
              <w:pStyle w:val="19"/>
              <w:spacing w:before="80" w:after="80"/>
            </w:pPr>
            <w:r>
              <w:rPr>
                <w:b w:val="0"/>
              </w:rPr>
              <w:t>绘画推进与速度</w:t>
            </w:r>
          </w:p>
        </w:tc>
        <w:tc>
          <w:tcPr>
            <w:tcW w:w="2948" w:type="dxa"/>
          </w:tcPr>
          <w:p w14:paraId="7D7743AF">
            <w:pPr>
              <w:pStyle w:val="19"/>
              <w:spacing w:before="80" w:after="80"/>
            </w:pPr>
            <w:r>
              <w:rPr>
                <w:b w:val="0"/>
              </w:rPr>
              <w:t>开始/结束时间；有效绘画时长；结束原因</w:t>
            </w:r>
          </w:p>
        </w:tc>
        <w:tc>
          <w:tcPr>
            <w:tcW w:w="4649" w:type="dxa"/>
          </w:tcPr>
          <w:p w14:paraId="6C205C3F">
            <w:pPr>
              <w:pStyle w:val="19"/>
              <w:spacing w:before="80" w:after="80"/>
            </w:pPr>
            <w:r>
              <w:rPr>
                <w:b w:val="0"/>
              </w:rPr>
              <w:t>耗时必须结合完成度；超时、主动结束与技术退出分别解释。</w:t>
            </w:r>
          </w:p>
        </w:tc>
      </w:tr>
      <w:tr w14:paraId="71883034">
        <w:trPr>
          <w:cantSplit/>
          <w:jc w:val="center"/>
        </w:trPr>
        <w:tc>
          <w:tcPr>
            <w:tcW w:w="1757" w:type="dxa"/>
          </w:tcPr>
          <w:p w14:paraId="62BB62E0">
            <w:pPr>
              <w:pStyle w:val="19"/>
              <w:spacing w:before="80" w:after="80"/>
            </w:pPr>
            <w:r>
              <w:rPr>
                <w:b w:val="0"/>
              </w:rPr>
              <w:t>过程中的停顿</w:t>
            </w:r>
          </w:p>
        </w:tc>
        <w:tc>
          <w:tcPr>
            <w:tcW w:w="2948" w:type="dxa"/>
          </w:tcPr>
          <w:p w14:paraId="33D927E4">
            <w:pPr>
              <w:pStyle w:val="19"/>
              <w:spacing w:before="80" w:after="80"/>
            </w:pPr>
            <w:r>
              <w:rPr>
                <w:b w:val="0"/>
              </w:rPr>
              <w:t>有效落笔间≥5秒停顿；休息/隐藏/阻塞</w:t>
            </w:r>
          </w:p>
        </w:tc>
        <w:tc>
          <w:tcPr>
            <w:tcW w:w="4649" w:type="dxa"/>
          </w:tcPr>
          <w:p w14:paraId="133981B9">
            <w:pPr>
              <w:pStyle w:val="19"/>
              <w:spacing w:before="80" w:after="80"/>
            </w:pPr>
            <w:r>
              <w:rPr>
                <w:b w:val="0"/>
              </w:rPr>
              <w:t>停顿不等于困难；首次等待与末次落笔后间隔另计。</w:t>
            </w:r>
          </w:p>
        </w:tc>
      </w:tr>
      <w:tr w14:paraId="05450BA3">
        <w:trPr>
          <w:cantSplit/>
          <w:jc w:val="center"/>
        </w:trPr>
        <w:tc>
          <w:tcPr>
            <w:tcW w:w="1757" w:type="dxa"/>
          </w:tcPr>
          <w:p w14:paraId="39C7186E">
            <w:pPr>
              <w:pStyle w:val="19"/>
              <w:spacing w:before="80" w:after="80"/>
            </w:pPr>
            <w:r>
              <w:rPr>
                <w:b w:val="0"/>
              </w:rPr>
              <w:t>作品完成情况</w:t>
            </w:r>
          </w:p>
        </w:tc>
        <w:tc>
          <w:tcPr>
            <w:tcW w:w="2948" w:type="dxa"/>
          </w:tcPr>
          <w:p w14:paraId="3485B6A6">
            <w:pPr>
              <w:pStyle w:val="19"/>
              <w:spacing w:before="80" w:after="80"/>
            </w:pPr>
            <w:r>
              <w:rPr>
                <w:b w:val="0"/>
              </w:rPr>
              <w:t>共同十项清单；两位评分者独立评分</w:t>
            </w:r>
          </w:p>
        </w:tc>
        <w:tc>
          <w:tcPr>
            <w:tcW w:w="4649" w:type="dxa"/>
          </w:tcPr>
          <w:p w14:paraId="3EFBA25C">
            <w:pPr>
              <w:pStyle w:val="19"/>
              <w:spacing w:before="80" w:after="80"/>
            </w:pPr>
            <w:r>
              <w:rPr>
                <w:b w:val="0"/>
              </w:rPr>
              <w:t>每项0/1/2分，换算百分制后平均；与引导进度分离。</w:t>
            </w:r>
          </w:p>
        </w:tc>
      </w:tr>
      <w:tr w14:paraId="5BE3EDAC">
        <w:trPr>
          <w:cantSplit/>
          <w:jc w:val="center"/>
        </w:trPr>
        <w:tc>
          <w:tcPr>
            <w:tcW w:w="1757" w:type="dxa"/>
          </w:tcPr>
          <w:p w14:paraId="4857C314">
            <w:pPr>
              <w:pStyle w:val="19"/>
              <w:spacing w:before="80" w:after="80"/>
            </w:pPr>
            <w:r>
              <w:rPr>
                <w:b w:val="0"/>
              </w:rPr>
              <w:t>担忧、满足与信心</w:t>
            </w:r>
          </w:p>
        </w:tc>
        <w:tc>
          <w:tcPr>
            <w:tcW w:w="2948" w:type="dxa"/>
          </w:tcPr>
          <w:p w14:paraId="2983D9C3">
            <w:pPr>
              <w:pStyle w:val="19"/>
              <w:spacing w:before="80" w:after="80"/>
            </w:pPr>
            <w:r>
              <w:rPr>
                <w:b w:val="0"/>
              </w:rPr>
              <w:t>两题前测、四题后测；七级自评</w:t>
            </w:r>
          </w:p>
        </w:tc>
        <w:tc>
          <w:tcPr>
            <w:tcW w:w="4649" w:type="dxa"/>
          </w:tcPr>
          <w:p w14:paraId="0EA9D2CE">
            <w:pPr>
              <w:pStyle w:val="19"/>
              <w:spacing w:before="80" w:after="80"/>
            </w:pPr>
            <w:r>
              <w:rPr>
                <w:b w:val="0"/>
              </w:rPr>
              <w:t>项目自编题目；可不回答，不作为已验证心理量表。</w:t>
            </w:r>
          </w:p>
        </w:tc>
      </w:tr>
      <w:tr w14:paraId="6B9DA2D6">
        <w:trPr>
          <w:cantSplit/>
          <w:jc w:val="center"/>
        </w:trPr>
        <w:tc>
          <w:tcPr>
            <w:tcW w:w="1757" w:type="dxa"/>
          </w:tcPr>
          <w:p w14:paraId="76568997">
            <w:pPr>
              <w:pStyle w:val="19"/>
              <w:spacing w:before="80" w:after="80"/>
            </w:pPr>
            <w:r>
              <w:rPr>
                <w:b w:val="0"/>
              </w:rPr>
              <w:t>过程解释与数据完整性</w:t>
            </w:r>
          </w:p>
        </w:tc>
        <w:tc>
          <w:tcPr>
            <w:tcW w:w="2948" w:type="dxa"/>
          </w:tcPr>
          <w:p w14:paraId="1FDAE836">
            <w:pPr>
              <w:pStyle w:val="19"/>
              <w:spacing w:before="80" w:after="80"/>
            </w:pPr>
            <w:r>
              <w:rPr>
                <w:b w:val="0"/>
              </w:rPr>
              <w:t>落笔、撤销、推进、问卷、作品、访谈</w:t>
            </w:r>
          </w:p>
        </w:tc>
        <w:tc>
          <w:tcPr>
            <w:tcW w:w="4649" w:type="dxa"/>
          </w:tcPr>
          <w:p w14:paraId="55ECE20F">
            <w:pPr>
              <w:pStyle w:val="19"/>
              <w:spacing w:before="80" w:after="80"/>
            </w:pPr>
            <w:r>
              <w:rPr>
                <w:b w:val="0"/>
              </w:rPr>
              <w:t>研究者录入口头访谈；JSON与后端记录支持核对。</w:t>
            </w:r>
          </w:p>
        </w:tc>
      </w:tr>
    </w:tbl>
    <w:p w14:paraId="0B665942">
      <w:pPr>
        <w:pStyle w:val="16"/>
      </w:pPr>
    </w:p>
    <w:p w14:paraId="0593C8F4">
      <w:pPr>
        <w:pStyle w:val="16"/>
      </w:pPr>
      <w:r>
        <w:t>停顿在当前程序中有明确口径：相邻两次有效非橡皮落笔之间的间隔达到5秒，且不与页面隐藏、主动休息或系统阻塞重叠，才计入停顿。首次落笔前的等待和结束前的尾段另行记录，不能混在同一种停顿指标里。这样可以区分观察思考、主动暂停与技术等待，但仍不能仅凭日志推断参与者的心理原因，需要结合口头访谈解释。</w:t>
      </w:r>
    </w:p>
    <w:p w14:paraId="7227824B">
      <w:pPr>
        <w:pStyle w:val="16"/>
      </w:pPr>
      <w:r>
        <w:t>作品完成度依据共同的十项内容清单，由两位评分者独立按0、1、2分评分，并换算为百分制平均值；关键主体项目另设基本要求。它与引导进度、匹配数量及算法覆盖率分别保存。研究者可以配置与参考图对应的评分清单，正式实验前应固定评分规则并检查一致性。导出的结构化JSON与后端保存记录可用于追溯，报告中的缺失值保留为空，不用零分替代未完成的评分。</w:t>
      </w:r>
    </w:p>
    <w:p w14:paraId="2981E730">
      <w:pPr>
        <w:pStyle w:val="18"/>
        <w:keepNext/>
        <w:spacing w:before="120"/>
      </w:pPr>
      <w:r>
        <w:drawing>
          <wp:inline distT="0" distB="0" distL="114300" distR="114300">
            <wp:extent cx="5657215" cy="3660775"/>
            <wp:effectExtent l="0" t="0" r="12065" b="12065"/>
            <wp:docPr id="12" name="Picture 12" descr="图11 两轮绘画的指标对比与过程时间线。仅为隔离环境的合成记录展示，计时经过加速且作品未评分；不用于任何效果结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图11 两轮绘画的指标对比与过程时间线。仅为隔离环境的合成记录展示，计时经过加速且作品未评分；不用于任何效果结论。"/>
                    <pic:cNvPicPr>
                      <a:picLocks noChangeAspect="1"/>
                    </pic:cNvPicPr>
                  </pic:nvPicPr>
                  <pic:blipFill>
                    <a:blip r:embed="rId30"/>
                    <a:stretch>
                      <a:fillRect/>
                    </a:stretch>
                  </pic:blipFill>
                  <pic:spPr>
                    <a:xfrm>
                      <a:off x="0" y="0"/>
                      <a:ext cx="5657215" cy="3660775"/>
                    </a:xfrm>
                    <a:prstGeom prst="rect">
                      <a:avLst/>
                    </a:prstGeom>
                  </pic:spPr>
                </pic:pic>
              </a:graphicData>
            </a:graphic>
          </wp:inline>
        </w:drawing>
      </w:r>
    </w:p>
    <w:p w14:paraId="18A9A22B">
      <w:pPr>
        <w:pStyle w:val="18"/>
        <w:keepNext/>
      </w:pPr>
      <w:r>
        <w:t>图11  两轮绘画的指标对比与过程时间线</w:t>
      </w:r>
    </w:p>
    <w:p w14:paraId="3DDC8533">
      <w:pPr>
        <w:pStyle w:val="19"/>
      </w:pPr>
      <w:r>
        <w:t>注：仅为隔离环境的合成记录展示，计时经过加速且作品未评分；不用于任何效果结论。</w:t>
      </w:r>
    </w:p>
    <w:p w14:paraId="5AF16E36">
      <w:pPr>
        <w:pStyle w:val="16"/>
      </w:pPr>
      <w:r>
        <w:t>软件验证已覆盖材料准备、两种顺序的任务执行、问卷提交、离线后重试保存、后台访谈、评分、权限与移动端布局。现有检查说明这些流程可以在隔离环境中运行，但真实设备和真实参与者仍可能出现不同问题。本阶段的结果是实验执行工具已搭建，而不是对产品效果完成了验证。研究保留退出与撤回入口，按既定期限私有保存研究作品，不公开参与者身份信息或完整触点轨迹。</w:t>
      </w:r>
    </w:p>
    <w:p w14:paraId="4FD58A41">
      <w:pPr>
        <w:pStyle w:val="15"/>
      </w:pPr>
      <w:r>
        <w:t>六、阶段性成果与待验证问题</w:t>
      </w:r>
    </w:p>
    <w:p w14:paraId="7C6EC4E0">
      <w:pPr>
        <w:pStyle w:val="16"/>
      </w:pPr>
      <w:r>
        <w:t>本阶段已形成可运行的网页原型、独立的笔触规划模块、由粗到细的五遍序列、六种自由笔刷、交互教程与产品说明，以及覆盖研究执行和记录管理的前后端模块。文献阅读已转化为具体的方法选择、实现说明和参考来源；UI设计已从页面表达落实到可操作的上传、提示、撤销、模式切换和保存流程。这些成果使课题具备开展用户测试的条件，构成中期工作的主要完成内容。</w:t>
      </w:r>
    </w:p>
    <w:p w14:paraId="6042EAE3">
      <w:pPr>
        <w:pStyle w:val="16"/>
      </w:pPr>
      <w:r>
        <w:t>当前待验证的问题主要涉及任务负担与交互有效性。1000笔可改善部分图像的细节表达，但大量逐笔操作可能增加等待与重复动作；由粗到细的顺序更容易说明，却不保证每名用户都能理解局部笔触与原图之间的关系。参考图、画布、提示卡和工具栏的注意力分配也需要实际观察。后续将重点记录犹豫、误触、反复查看提示和提前结束的位置，以判断问题来自材料难度、算法动作还是界面组织。</w:t>
      </w:r>
    </w:p>
    <w:p w14:paraId="43EE52EF">
      <w:pPr>
        <w:pStyle w:val="16"/>
      </w:pPr>
      <w:r>
        <w:t>研究解释同样需要明确边界。同图重复绘画会产生记忆和熟悉效应，AB与BA平衡只能缓解，不能完全消除；单次自评意愿不能证明长期习惯形成；更快结束也可能源于提前放弃。分析速度时必须结合完成度、结束原因及作品内容，分析满意度时要注意亲手创作感与系统帮助之间的关系。论文将把这些限制纳入讨论，并保留与预期不一致的结果。</w:t>
      </w:r>
    </w:p>
    <w:p w14:paraId="46DBA838">
      <w:pPr>
        <w:pStyle w:val="15"/>
      </w:pPr>
      <w:r>
        <w:t>七、下一阶段</w:t>
      </w:r>
      <w:r>
        <w:rPr>
          <w:rFonts w:hint="eastAsia"/>
          <w:lang w:val="en-US" w:eastAsia="zh-CN"/>
        </w:rPr>
        <w:t>用户测试</w:t>
      </w:r>
      <w:r>
        <w:t>计划</w:t>
      </w:r>
    </w:p>
    <w:p w14:paraId="49F593A1">
      <w:pPr>
        <w:pStyle w:val="18"/>
        <w:keepNext/>
      </w:pPr>
      <w:r>
        <w:t>表4  下一阶段执行安排与阶段交付</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2948"/>
        <w:gridCol w:w="4649"/>
      </w:tblGrid>
      <w:tr w14:paraId="7515939B">
        <w:trPr>
          <w:cantSplit/>
          <w:tblHeader/>
          <w:jc w:val="center"/>
        </w:trPr>
        <w:tc>
          <w:tcPr>
            <w:tcW w:w="1757" w:type="dxa"/>
            <w:shd w:val="clear" w:color="auto" w:fill="ECEAFE"/>
          </w:tcPr>
          <w:p w14:paraId="614F03B8">
            <w:pPr>
              <w:pStyle w:val="19"/>
              <w:keepNext/>
              <w:spacing w:before="80" w:after="80"/>
            </w:pPr>
            <w:r>
              <w:rPr>
                <w:b/>
              </w:rPr>
              <w:t>顺序</w:t>
            </w:r>
          </w:p>
        </w:tc>
        <w:tc>
          <w:tcPr>
            <w:tcW w:w="2948" w:type="dxa"/>
            <w:shd w:val="clear" w:color="auto" w:fill="ECEAFE"/>
          </w:tcPr>
          <w:p w14:paraId="02F97A66">
            <w:pPr>
              <w:pStyle w:val="19"/>
              <w:keepNext/>
              <w:spacing w:before="80" w:after="80"/>
            </w:pPr>
            <w:r>
              <w:rPr>
                <w:b/>
              </w:rPr>
              <w:t>主要工作</w:t>
            </w:r>
          </w:p>
        </w:tc>
        <w:tc>
          <w:tcPr>
            <w:tcW w:w="4649" w:type="dxa"/>
            <w:shd w:val="clear" w:color="auto" w:fill="ECEAFE"/>
          </w:tcPr>
          <w:p w14:paraId="7AB74085">
            <w:pPr>
              <w:pStyle w:val="19"/>
              <w:keepNext/>
              <w:spacing w:before="80" w:after="80"/>
            </w:pPr>
            <w:r>
              <w:rPr>
                <w:b/>
              </w:rPr>
              <w:t>完成标志</w:t>
            </w:r>
          </w:p>
        </w:tc>
      </w:tr>
      <w:tr w14:paraId="304F4E81">
        <w:trPr>
          <w:cantSplit/>
          <w:jc w:val="center"/>
        </w:trPr>
        <w:tc>
          <w:tcPr>
            <w:tcW w:w="1757" w:type="dxa"/>
          </w:tcPr>
          <w:p w14:paraId="3CAAAFA3">
            <w:pPr>
              <w:pStyle w:val="19"/>
              <w:keepNext/>
              <w:spacing w:before="80" w:after="80"/>
            </w:pPr>
            <w:r>
              <w:rPr>
                <w:b w:val="0"/>
              </w:rPr>
              <w:t>1 / 预试准备</w:t>
            </w:r>
          </w:p>
        </w:tc>
        <w:tc>
          <w:tcPr>
            <w:tcW w:w="2948" w:type="dxa"/>
          </w:tcPr>
          <w:p w14:paraId="6FA64736">
            <w:pPr>
              <w:pStyle w:val="19"/>
              <w:keepNext/>
              <w:spacing w:before="80" w:after="80"/>
            </w:pPr>
            <w:r>
              <w:rPr>
                <w:b w:val="0"/>
              </w:rPr>
              <w:t>核对研究说明、候选材料、设备与评分清单</w:t>
            </w:r>
          </w:p>
        </w:tc>
        <w:tc>
          <w:tcPr>
            <w:tcW w:w="4649" w:type="dxa"/>
          </w:tcPr>
          <w:p w14:paraId="386F55DE">
            <w:pPr>
              <w:pStyle w:val="19"/>
              <w:keepNext/>
              <w:spacing w:before="80" w:after="80"/>
            </w:pPr>
            <w:r>
              <w:rPr>
                <w:b w:val="0"/>
              </w:rPr>
              <w:t>形成可执行的统一说明与材料包。</w:t>
            </w:r>
          </w:p>
        </w:tc>
      </w:tr>
      <w:tr w14:paraId="329A978B">
        <w:trPr>
          <w:cantSplit/>
          <w:jc w:val="center"/>
        </w:trPr>
        <w:tc>
          <w:tcPr>
            <w:tcW w:w="1757" w:type="dxa"/>
          </w:tcPr>
          <w:p w14:paraId="31DDE0B8">
            <w:pPr>
              <w:pStyle w:val="19"/>
              <w:keepNext/>
              <w:spacing w:before="80" w:after="80"/>
            </w:pPr>
            <w:r>
              <w:rPr>
                <w:b w:val="0"/>
              </w:rPr>
              <w:t>2 / 六人预试</w:t>
            </w:r>
          </w:p>
        </w:tc>
        <w:tc>
          <w:tcPr>
            <w:tcW w:w="2948" w:type="dxa"/>
          </w:tcPr>
          <w:p w14:paraId="3657E88B">
            <w:pPr>
              <w:pStyle w:val="19"/>
              <w:keepNext/>
              <w:spacing w:before="80" w:after="80"/>
            </w:pPr>
            <w:r>
              <w:rPr>
                <w:b w:val="0"/>
              </w:rPr>
              <w:t>观察五步流程、任务负担与数据完整性</w:t>
            </w:r>
          </w:p>
        </w:tc>
        <w:tc>
          <w:tcPr>
            <w:tcW w:w="4649" w:type="dxa"/>
          </w:tcPr>
          <w:p w14:paraId="7178B7E5">
            <w:pPr>
              <w:pStyle w:val="19"/>
              <w:keepNext/>
              <w:spacing w:before="80" w:after="80"/>
            </w:pPr>
            <w:r>
              <w:rPr>
                <w:b w:val="0"/>
              </w:rPr>
              <w:t>记录问题、访谈及每项修正依据。</w:t>
            </w:r>
          </w:p>
        </w:tc>
      </w:tr>
      <w:tr w14:paraId="0977C2EB">
        <w:trPr>
          <w:cantSplit/>
          <w:jc w:val="center"/>
        </w:trPr>
        <w:tc>
          <w:tcPr>
            <w:tcW w:w="1757" w:type="dxa"/>
          </w:tcPr>
          <w:p w14:paraId="7FE055B1">
            <w:pPr>
              <w:pStyle w:val="19"/>
              <w:keepNext/>
              <w:spacing w:before="80" w:after="80"/>
            </w:pPr>
            <w:r>
              <w:rPr>
                <w:b w:val="0"/>
              </w:rPr>
              <w:t>3 / 交互优化与复验</w:t>
            </w:r>
          </w:p>
        </w:tc>
        <w:tc>
          <w:tcPr>
            <w:tcW w:w="2948" w:type="dxa"/>
          </w:tcPr>
          <w:p w14:paraId="58F941C6">
            <w:pPr>
              <w:pStyle w:val="19"/>
              <w:keepNext/>
              <w:spacing w:before="80" w:after="80"/>
            </w:pPr>
            <w:r>
              <w:rPr>
                <w:b w:val="0"/>
              </w:rPr>
              <w:t>优化提示、遮挡、按钮语义与任务节奏</w:t>
            </w:r>
          </w:p>
        </w:tc>
        <w:tc>
          <w:tcPr>
            <w:tcW w:w="4649" w:type="dxa"/>
          </w:tcPr>
          <w:p w14:paraId="0EC3262B">
            <w:pPr>
              <w:pStyle w:val="19"/>
              <w:keepNext/>
              <w:spacing w:before="80" w:after="80"/>
            </w:pPr>
            <w:r>
              <w:rPr>
                <w:b w:val="0"/>
              </w:rPr>
              <w:t>复验通过，固定正式版本与协议。</w:t>
            </w:r>
          </w:p>
        </w:tc>
      </w:tr>
      <w:tr w14:paraId="707C5A99">
        <w:trPr>
          <w:cantSplit/>
          <w:jc w:val="center"/>
        </w:trPr>
        <w:tc>
          <w:tcPr>
            <w:tcW w:w="1757" w:type="dxa"/>
          </w:tcPr>
          <w:p w14:paraId="5603D341">
            <w:pPr>
              <w:pStyle w:val="19"/>
              <w:keepNext/>
              <w:spacing w:before="80" w:after="80"/>
            </w:pPr>
            <w:r>
              <w:rPr>
                <w:b w:val="0"/>
              </w:rPr>
              <w:t>4 / 正式对比实验</w:t>
            </w:r>
          </w:p>
        </w:tc>
        <w:tc>
          <w:tcPr>
            <w:tcW w:w="2948" w:type="dxa"/>
          </w:tcPr>
          <w:p w14:paraId="5F4C83F8">
            <w:pPr>
              <w:pStyle w:val="19"/>
              <w:keepNext/>
              <w:spacing w:before="80" w:after="80"/>
            </w:pPr>
            <w:r>
              <w:rPr>
                <w:b w:val="0"/>
              </w:rPr>
              <w:t>按AB/BA获取拟定24份有效配对记录</w:t>
            </w:r>
          </w:p>
        </w:tc>
        <w:tc>
          <w:tcPr>
            <w:tcW w:w="4649" w:type="dxa"/>
          </w:tcPr>
          <w:p w14:paraId="40214685">
            <w:pPr>
              <w:pStyle w:val="19"/>
              <w:keepNext/>
              <w:spacing w:before="80" w:after="80"/>
            </w:pPr>
            <w:r>
              <w:rPr>
                <w:b w:val="0"/>
              </w:rPr>
              <w:t>完成两轮作品、问卷与双人评分核对。</w:t>
            </w:r>
          </w:p>
        </w:tc>
      </w:tr>
      <w:tr w14:paraId="7F48B69A">
        <w:trPr>
          <w:cantSplit/>
          <w:jc w:val="center"/>
        </w:trPr>
        <w:tc>
          <w:tcPr>
            <w:tcW w:w="1757" w:type="dxa"/>
          </w:tcPr>
          <w:p w14:paraId="44220A94">
            <w:pPr>
              <w:pStyle w:val="19"/>
              <w:keepNext w:val="0"/>
              <w:spacing w:before="80" w:after="80"/>
            </w:pPr>
            <w:r>
              <w:rPr>
                <w:b w:val="0"/>
              </w:rPr>
              <w:t>5 / 分析和论文完善</w:t>
            </w:r>
          </w:p>
        </w:tc>
        <w:tc>
          <w:tcPr>
            <w:tcW w:w="2948" w:type="dxa"/>
          </w:tcPr>
          <w:p w14:paraId="4A6CB505">
            <w:pPr>
              <w:pStyle w:val="19"/>
              <w:keepNext w:val="0"/>
              <w:spacing w:before="80" w:after="80"/>
            </w:pPr>
            <w:r>
              <w:rPr>
                <w:b w:val="0"/>
              </w:rPr>
              <w:t>配对分析、访谈解释、设计总结</w:t>
            </w:r>
          </w:p>
        </w:tc>
        <w:tc>
          <w:tcPr>
            <w:tcW w:w="4649" w:type="dxa"/>
          </w:tcPr>
          <w:p w14:paraId="7E68D95A">
            <w:pPr>
              <w:pStyle w:val="19"/>
              <w:keepNext w:val="0"/>
              <w:spacing w:before="80" w:after="80"/>
            </w:pPr>
            <w:r>
              <w:rPr>
                <w:b w:val="0"/>
              </w:rPr>
              <w:t>完成结果与讨论，报告局限和适用范围。</w:t>
            </w:r>
          </w:p>
        </w:tc>
      </w:tr>
    </w:tbl>
    <w:p w14:paraId="175CA99E">
      <w:pPr>
        <w:pStyle w:val="19"/>
      </w:pPr>
      <w:r>
        <w:t>注：采用相对阶段安排；具体日程在预试组织与导师确认后确定。</w:t>
      </w:r>
    </w:p>
    <w:p w14:paraId="2A17A236">
      <w:pPr>
        <w:pStyle w:val="17"/>
      </w:pPr>
      <w:r>
        <w:t>7.1 开展预试并优化交互</w:t>
      </w:r>
    </w:p>
    <w:p w14:paraId="277BEA6C">
      <w:pPr>
        <w:pStyle w:val="16"/>
      </w:pPr>
      <w:r>
        <w:t>下一阶段首先执行6名零基础参与者的预试。预试重点是确认用户能否理解说明、进入练习、独立开始绘画、使用提示并提交作品，以及同一材料在两条件下的任务负担是否合理。研究者将观察关键犹豫点、记录口头反馈，并核查日志、问卷和作品是否配对完整。预试数据用于发现设计和测量问题，不与正式数据直接混合用于证明假设。</w:t>
      </w:r>
    </w:p>
    <w:p w14:paraId="1341A624">
      <w:pPr>
        <w:pStyle w:val="16"/>
      </w:pPr>
      <w:r>
        <w:t>根据预试结果，优先优化与核心任务有关的交互：控制提示信息量、调整面板遮挡与工具触达、明确开始和结束含义、改善细小笔触的可辨识性，并检查撤销是否符合用户预期。材料与笔触预算也根据真实操作时间和完成情况共同确定；不预设名画级复杂材料必须在12分钟内完成1000笔。优化后进行复验，再冻结正式材料、算法计划、界面、问卷和评分规则，使条件之间保持可比。</w:t>
      </w:r>
    </w:p>
    <w:p w14:paraId="17DDF58B">
      <w:pPr>
        <w:pStyle w:val="17"/>
      </w:pPr>
      <w:r>
        <w:t>7.2 执行正式对比实验与结果分析</w:t>
      </w:r>
    </w:p>
    <w:p w14:paraId="4343FB53">
      <w:pPr>
        <w:pStyle w:val="16"/>
      </w:pPr>
      <w:r>
        <w:t>正式研究拟取得24名参与者的有效配对记录，招募数量和纳入条件结合预试及导师意见最终确定。参与者使用统一设备和输入方式，对同一图完成A、B两条件，遵循平衡顺序与一致时限。研究者按照统一说明执行，不在某一条件额外提供绘画帮助；口头访谈重点询问哪种方式更容易开始、何时最想停止，以及哪幅作品更有“自己画出来”的感受。</w:t>
      </w:r>
    </w:p>
    <w:p w14:paraId="63E0329E">
      <w:pPr>
        <w:pStyle w:val="16"/>
      </w:pPr>
      <w:r>
        <w:t>分析以作品完成度与再次绘画意愿为主要指标，启动等待、任务耗时、停顿、担忧和满足感作为辅助解释。当前平台提供配对差值、方向统计和双侧精确符号检验，并对两项主要指标进行Holm校正。正式分析前将明确缺失记录、超时、退出和技术故障的处理，报告差异及不确定性，避免只选择有利指标。作品评分尽量隐藏条件信息，并检查两位评分者的分歧；界面风格仍可能暴露条件时，将如实说明盲评限制。</w:t>
      </w:r>
    </w:p>
    <w:p w14:paraId="739C73C8">
      <w:pPr>
        <w:pStyle w:val="17"/>
      </w:pPr>
      <w:r>
        <w:t>7.3 完成论文写作与设计总结</w:t>
      </w:r>
    </w:p>
    <w:p w14:paraId="4ED07AE5">
      <w:pPr>
        <w:pStyle w:val="16"/>
      </w:pPr>
      <w:r>
        <w:t>论文写作与实验执行并行推进。现阶段可以完成研究背景、相关方法、算法实现、交互设计与系统建设章节；实验结束后补充用户表现、访谈、讨论和设计建议。最终论证围绕“有序笔触引导怎样帮助零基础用户开始并推进绘画”展开，将软件功能、过程证据和主观体验联系起来，研究将据此总结适用情境、局限和后续改进方向。</w:t>
      </w:r>
    </w:p>
    <w:p w14:paraId="2DE2FCDA">
      <w:pPr>
        <w:pStyle w:val="15"/>
        <w:pageBreakBefore/>
      </w:pPr>
      <w:r>
        <w:t>参考文献</w:t>
      </w:r>
    </w:p>
    <w:p w14:paraId="291D4D8A">
      <w:pPr>
        <w:pStyle w:val="20"/>
        <w:keepNext/>
      </w:pPr>
      <w:r>
        <w:t>[1] HERTZMANN A. Painterly Rendering with Curved Brush Strokes of Multiple Sizes[C]//Proceedings of SIGGRAPH 1998. 1998: 453–460. DOI: 10.1145/280814.280951.</w:t>
      </w:r>
    </w:p>
    <w:p w14:paraId="5E9EA052">
      <w:pPr>
        <w:pStyle w:val="19"/>
      </w:pPr>
      <w:r>
        <w:t>原文 / 来源：</w:t>
      </w:r>
      <w:r>
        <w:fldChar w:fldCharType="begin"/>
      </w:r>
      <w:r>
        <w:instrText xml:space="preserve"> HYPERLINK "https://mrl.cs.nyu.edu/publications/painterly98/" \h </w:instrText>
      </w:r>
      <w:r>
        <w:fldChar w:fldCharType="separate"/>
      </w:r>
      <w:r>
        <w:rPr>
          <w:color w:val="3755A0"/>
          <w:sz w:val="19"/>
        </w:rPr>
        <w:t>https://mrl.cs.nyu.edu/publications/painterly98/</w:t>
      </w:r>
      <w:r>
        <w:rPr>
          <w:color w:val="3755A0"/>
          <w:sz w:val="19"/>
        </w:rPr>
        <w:fldChar w:fldCharType="end"/>
      </w:r>
    </w:p>
    <w:p w14:paraId="2DF65890">
      <w:pPr>
        <w:pStyle w:val="20"/>
        <w:keepNext/>
      </w:pPr>
      <w:r>
        <w:t>[2] HUANG Z, HENG W, ZHOU S. Learning to Paint With Model-Based Deep Reinforcement Learning[C]//Proceedings of ICCV. 2019: 8709–8718. DOI: 10.1109/ICCV.2019.00880.</w:t>
      </w:r>
    </w:p>
    <w:p w14:paraId="00022CC9">
      <w:pPr>
        <w:pStyle w:val="19"/>
      </w:pPr>
      <w:r>
        <w:t>原文 / 来源：</w:t>
      </w:r>
      <w:r>
        <w:fldChar w:fldCharType="begin"/>
      </w:r>
      <w:r>
        <w:instrText xml:space="preserve"> HYPERLINK "https://arxiv.org/abs/1903.04411" \h </w:instrText>
      </w:r>
      <w:r>
        <w:fldChar w:fldCharType="separate"/>
      </w:r>
      <w:r>
        <w:rPr>
          <w:color w:val="3755A0"/>
          <w:sz w:val="19"/>
        </w:rPr>
        <w:t>https://arxiv.org/abs/1903.04411</w:t>
      </w:r>
      <w:r>
        <w:rPr>
          <w:color w:val="3755A0"/>
          <w:sz w:val="19"/>
        </w:rPr>
        <w:fldChar w:fldCharType="end"/>
      </w:r>
    </w:p>
    <w:p w14:paraId="44640FB2">
      <w:pPr>
        <w:pStyle w:val="20"/>
        <w:keepNext/>
      </w:pPr>
      <w:r>
        <w:t>[3] ZOU Z, SHI T, QIU S, et al. Stylized Neural Painting[C]//Proceedings of CVPR. 2021: 15689–15698. DOI: 10.1109/CVPR46437.2021.01543.</w:t>
      </w:r>
    </w:p>
    <w:p w14:paraId="69FB4843">
      <w:pPr>
        <w:pStyle w:val="19"/>
      </w:pPr>
      <w:r>
        <w:t>原文 / 来源：</w:t>
      </w:r>
      <w:r>
        <w:fldChar w:fldCharType="begin"/>
      </w:r>
      <w:r>
        <w:instrText xml:space="preserve"> HYPERLINK "https://openaccess.thecvf.com/content/CVPR2021/html/Zou_Stylized_Neural_Painting_CVPR_2021_paper.html" \h </w:instrText>
      </w:r>
      <w:r>
        <w:fldChar w:fldCharType="separate"/>
      </w:r>
      <w:r>
        <w:rPr>
          <w:color w:val="3755A0"/>
          <w:sz w:val="19"/>
        </w:rPr>
        <w:t>https://openaccess.thecvf.com/content/CVPR2021/html/Zou_Stylized_Neural_Painting_CVPR_2021_paper.html</w:t>
      </w:r>
      <w:r>
        <w:rPr>
          <w:color w:val="3755A0"/>
          <w:sz w:val="19"/>
        </w:rPr>
        <w:fldChar w:fldCharType="end"/>
      </w:r>
    </w:p>
    <w:p w14:paraId="40DF2262">
      <w:pPr>
        <w:pStyle w:val="20"/>
        <w:keepNext/>
      </w:pPr>
      <w:r>
        <w:t>[4] HU T, YI R, ZHU H, et al. Stroke-based Neural Painting and Stylization with Dynamically Predicted Painting Region[C]//Proceedings of ACM Multimedia. 2023. DOI: 10.1145/3581783.3611766.</w:t>
      </w:r>
    </w:p>
    <w:p w14:paraId="58DF1F52">
      <w:pPr>
        <w:pStyle w:val="19"/>
      </w:pPr>
      <w:r>
        <w:t>原文 / 来源：</w:t>
      </w:r>
      <w:r>
        <w:fldChar w:fldCharType="begin"/>
      </w:r>
      <w:r>
        <w:instrText xml:space="preserve"> HYPERLINK "https://arxiv.org/abs/2309.03504" \h </w:instrText>
      </w:r>
      <w:r>
        <w:fldChar w:fldCharType="separate"/>
      </w:r>
      <w:r>
        <w:rPr>
          <w:color w:val="3755A0"/>
          <w:sz w:val="19"/>
        </w:rPr>
        <w:t>https://arxiv.org/abs/2309.03504</w:t>
      </w:r>
      <w:r>
        <w:rPr>
          <w:color w:val="3755A0"/>
          <w:sz w:val="19"/>
        </w:rPr>
        <w:fldChar w:fldCharType="end"/>
      </w:r>
    </w:p>
    <w:p w14:paraId="12D103D9">
      <w:pPr>
        <w:pStyle w:val="20"/>
        <w:keepNext/>
      </w:pPr>
      <w:r>
        <w:t>[5] NATIONAL GALLERY. Claude Monet: The Water-Lily Pond[EB/OL]. [2026-09-16].</w:t>
      </w:r>
    </w:p>
    <w:p w14:paraId="5BB419CE">
      <w:pPr>
        <w:pStyle w:val="19"/>
      </w:pPr>
      <w:r>
        <w:t>原文 / 来源：</w:t>
      </w:r>
      <w:r>
        <w:fldChar w:fldCharType="begin"/>
      </w:r>
      <w:r>
        <w:instrText xml:space="preserve"> HYPERLINK "https://www.nationalgallery.org.uk/paintings/claude-monet-the-water-lily-pond" \h </w:instrText>
      </w:r>
      <w:r>
        <w:fldChar w:fldCharType="separate"/>
      </w:r>
      <w:r>
        <w:rPr>
          <w:color w:val="3755A0"/>
          <w:sz w:val="19"/>
        </w:rPr>
        <w:t>https://www.nationalgallery.org.uk/paintings/claude-monet-the-water-lily-pond</w:t>
      </w:r>
      <w:r>
        <w:rPr>
          <w:color w:val="3755A0"/>
          <w:sz w:val="19"/>
        </w:rPr>
        <w:fldChar w:fldCharType="end"/>
      </w:r>
    </w:p>
    <w:p w14:paraId="37A2B1D2">
      <w:pPr>
        <w:pStyle w:val="20"/>
        <w:keepNext/>
      </w:pPr>
      <w:r>
        <w:t>[6] VAN GOGH MUSEUM. Unravel Van Gogh: Thick Brushstrokes[EB/OL]. [2026-09-16].</w:t>
      </w:r>
    </w:p>
    <w:p w14:paraId="626EE684">
      <w:pPr>
        <w:pStyle w:val="19"/>
      </w:pPr>
      <w:r>
        <w:t>原文 / 来源：</w:t>
      </w:r>
      <w:r>
        <w:fldChar w:fldCharType="begin"/>
      </w:r>
      <w:r>
        <w:instrText xml:space="preserve"> HYPERLINK "https://ontrafel.vangogh.nl/en/story/29/thick-brushstrokes/" \h </w:instrText>
      </w:r>
      <w:r>
        <w:fldChar w:fldCharType="separate"/>
      </w:r>
      <w:r>
        <w:rPr>
          <w:color w:val="3755A0"/>
          <w:sz w:val="19"/>
        </w:rPr>
        <w:t>https://ontrafel.vangogh.nl/en/story/29/thick-brushstrokes/</w:t>
      </w:r>
      <w:r>
        <w:rPr>
          <w:color w:val="3755A0"/>
          <w:sz w:val="19"/>
        </w:rPr>
        <w:fldChar w:fldCharType="end"/>
      </w:r>
    </w:p>
    <w:p w14:paraId="6C2977E9">
      <w:pPr>
        <w:pStyle w:val="20"/>
        <w:keepNext/>
      </w:pPr>
      <w:r>
        <w:t>[7] NATIONAL GALLERY. Paul Gauguin: Harvest, Le Pouldu[EB/OL]. [2026-09-16].</w:t>
      </w:r>
    </w:p>
    <w:p w14:paraId="55B05B0C">
      <w:pPr>
        <w:pStyle w:val="19"/>
      </w:pPr>
      <w:r>
        <w:t>原文 / 来源：</w:t>
      </w:r>
      <w:r>
        <w:fldChar w:fldCharType="begin"/>
      </w:r>
      <w:r>
        <w:instrText xml:space="preserve"> HYPERLINK "https://www.nationalgallery.org.uk/paintings/paul-gauguin-harvest-le-pouldu" \h </w:instrText>
      </w:r>
      <w:r>
        <w:fldChar w:fldCharType="separate"/>
      </w:r>
      <w:r>
        <w:rPr>
          <w:color w:val="3755A0"/>
          <w:sz w:val="19"/>
        </w:rPr>
        <w:t>https://www.nationalgallery.org.uk/paintings/paul-gauguin-harvest-le-pouldu</w:t>
      </w:r>
      <w:r>
        <w:rPr>
          <w:color w:val="3755A0"/>
          <w:sz w:val="19"/>
        </w:rPr>
        <w:fldChar w:fldCharType="end"/>
      </w:r>
    </w:p>
    <w:p w14:paraId="175461D2">
      <w:pPr>
        <w:pStyle w:val="20"/>
        <w:keepNext/>
      </w:pPr>
      <w:r>
        <w:t>[8] NATIONAL GALLERY. Rembrandt: The Late Works—A Resource for Science Teachers, What Is Paint?[EB/OL]. [2026-09-16].</w:t>
      </w:r>
    </w:p>
    <w:p w14:paraId="2914008D">
      <w:pPr>
        <w:pStyle w:val="19"/>
      </w:pPr>
      <w:r>
        <w:t>原文 / 来源：</w:t>
      </w:r>
      <w:r>
        <w:fldChar w:fldCharType="begin"/>
      </w:r>
      <w:r>
        <w:instrText xml:space="preserve"> HYPERLINK "https://www.nationalgallery.org.uk/learning/teachers-notes/rembrandt-the-late-works-a-resource-for-science-teachers?viewPage=3" \h </w:instrText>
      </w:r>
      <w:r>
        <w:fldChar w:fldCharType="separate"/>
      </w:r>
      <w:r>
        <w:rPr>
          <w:color w:val="3755A0"/>
          <w:sz w:val="19"/>
        </w:rPr>
        <w:t>https://www.nationalgallery.org.uk/learning/teachers-notes/rembrandt-the-late-works-a-resource-for-science-teachers?viewPage=3</w:t>
      </w:r>
      <w:r>
        <w:rPr>
          <w:color w:val="3755A0"/>
          <w:sz w:val="19"/>
        </w:rPr>
        <w:fldChar w:fldCharType="end"/>
      </w:r>
    </w:p>
    <w:p w14:paraId="590C2776">
      <w:pPr>
        <w:pStyle w:val="20"/>
        <w:keepNext/>
      </w:pPr>
      <w:r>
        <w:t>[9] THE METROPOLITAN MUSEUM OF ART. Pablo Picasso (1881–1973)[EB/OL]. [2026-09-16].</w:t>
      </w:r>
    </w:p>
    <w:p w14:paraId="545B98BC">
      <w:pPr>
        <w:pStyle w:val="19"/>
      </w:pPr>
      <w:r>
        <w:t>原文 / 来源：</w:t>
      </w:r>
      <w:r>
        <w:fldChar w:fldCharType="begin"/>
      </w:r>
      <w:r>
        <w:instrText xml:space="preserve"> HYPERLINK "https://www.metmuseum.org/essays/pablo-picasso-1881-1973" \h </w:instrText>
      </w:r>
      <w:r>
        <w:fldChar w:fldCharType="separate"/>
      </w:r>
      <w:r>
        <w:rPr>
          <w:color w:val="3755A0"/>
          <w:sz w:val="19"/>
        </w:rPr>
        <w:t>https://www.metmuseum.org/essays/pablo-picasso-1881-1973</w:t>
      </w:r>
      <w:r>
        <w:rPr>
          <w:color w:val="3755A0"/>
          <w:sz w:val="19"/>
        </w:rPr>
        <w:fldChar w:fldCharType="end"/>
      </w:r>
    </w:p>
    <w:p w14:paraId="3BCF5E3B">
      <w:pPr>
        <w:pStyle w:val="20"/>
        <w:keepNext/>
      </w:pPr>
      <w:r>
        <w:t>[10] CENTENO S A, MAHON D. A Technical Study of John Singer Sargent’s Portrait of Madame Pierre Gautreau[J]. Metropolitan Museum Journal, 2005, 40: 121–129.</w:t>
      </w:r>
    </w:p>
    <w:p w14:paraId="3919C601">
      <w:pPr>
        <w:pStyle w:val="19"/>
      </w:pPr>
      <w:r>
        <w:t>原文 / 来源：</w:t>
      </w:r>
      <w:r>
        <w:fldChar w:fldCharType="begin"/>
      </w:r>
      <w:r>
        <w:instrText xml:space="preserve"> HYPERLINK "https://www.metmuseum.org/met-publications/technical-study-sargents-madame-pierre-gautreau-the-metropolitan-museum-journal-v-40-2005" \h </w:instrText>
      </w:r>
      <w:r>
        <w:fldChar w:fldCharType="separate"/>
      </w:r>
      <w:r>
        <w:rPr>
          <w:color w:val="3755A0"/>
          <w:sz w:val="19"/>
        </w:rPr>
        <w:t>https://www.metmuseum.org/met-publications/technical-study-sargents-madame-pierre-gautreau-the-metropolitan-museum-journal-v-40-2005</w:t>
      </w:r>
      <w:r>
        <w:rPr>
          <w:color w:val="3755A0"/>
          <w:sz w:val="19"/>
        </w:rPr>
        <w:fldChar w:fldCharType="end"/>
      </w:r>
    </w:p>
    <w:p w14:paraId="7A733383">
      <w:pPr>
        <w:snapToGrid w:val="0"/>
        <w:ind w:firstLine="480" w:firstLineChars="200"/>
        <w:jc w:val="left"/>
        <w:rPr>
          <w:rFonts w:eastAsia="华文楷体"/>
          <w:sz w:val="24"/>
        </w:rPr>
      </w:pPr>
    </w:p>
    <w:p w14:paraId="08DC5DC3">
      <w:pPr>
        <w:snapToGrid w:val="0"/>
        <w:ind w:firstLine="480" w:firstLineChars="200"/>
        <w:jc w:val="left"/>
        <w:rPr>
          <w:rFonts w:eastAsia="华文楷体"/>
          <w:sz w:val="24"/>
        </w:rPr>
      </w:pPr>
    </w:p>
    <w:p w14:paraId="63941DD9">
      <w:pPr>
        <w:snapToGrid w:val="0"/>
        <w:ind w:firstLine="480" w:firstLineChars="200"/>
        <w:jc w:val="left"/>
        <w:rPr>
          <w:rFonts w:eastAsia="华文楷体"/>
          <w:sz w:val="24"/>
        </w:rPr>
      </w:pPr>
    </w:p>
    <w:p w14:paraId="1567A3F8">
      <w:pPr>
        <w:snapToGrid w:val="0"/>
        <w:ind w:firstLine="480" w:firstLineChars="200"/>
        <w:jc w:val="left"/>
        <w:rPr>
          <w:rFonts w:eastAsia="华文楷体"/>
          <w:sz w:val="24"/>
        </w:rPr>
      </w:pPr>
    </w:p>
    <w:p w14:paraId="0AFB4784">
      <w:pPr>
        <w:snapToGrid w:val="0"/>
        <w:ind w:firstLine="480" w:firstLineChars="200"/>
        <w:jc w:val="left"/>
        <w:rPr>
          <w:rFonts w:eastAsia="华文楷体"/>
          <w:sz w:val="24"/>
        </w:rPr>
      </w:pPr>
    </w:p>
    <w:p w14:paraId="50AECF46">
      <w:pPr>
        <w:snapToGrid w:val="0"/>
        <w:ind w:firstLine="480" w:firstLineChars="200"/>
        <w:jc w:val="left"/>
        <w:rPr>
          <w:rFonts w:eastAsia="华文楷体"/>
          <w:sz w:val="24"/>
        </w:rPr>
      </w:pPr>
    </w:p>
    <w:p w14:paraId="49767C6F">
      <w:pPr>
        <w:snapToGrid w:val="0"/>
        <w:ind w:firstLine="480" w:firstLineChars="200"/>
        <w:jc w:val="left"/>
        <w:rPr>
          <w:rFonts w:eastAsia="华文楷体"/>
          <w:sz w:val="24"/>
        </w:rPr>
      </w:pPr>
    </w:p>
    <w:p w14:paraId="4AAAC829">
      <w:pPr>
        <w:snapToGrid w:val="0"/>
        <w:jc w:val="left"/>
        <w:rPr>
          <w:rFonts w:eastAsia="华文楷体"/>
          <w:sz w:val="24"/>
        </w:rPr>
      </w:pPr>
    </w:p>
    <w:p w14:paraId="551CC058">
      <w:pPr>
        <w:snapToGrid w:val="0"/>
        <w:jc w:val="left"/>
        <w:rPr>
          <w:rFonts w:eastAsia="华文楷体"/>
          <w:sz w:val="24"/>
        </w:rPr>
      </w:pPr>
    </w:p>
    <w:p w14:paraId="47393346">
      <w:pPr>
        <w:snapToGrid w:val="0"/>
        <w:jc w:val="left"/>
        <w:rPr>
          <w:rFonts w:eastAsia="华文楷体"/>
          <w:sz w:val="24"/>
        </w:rPr>
      </w:pPr>
    </w:p>
    <w:p w14:paraId="2B559151">
      <w:pPr>
        <w:snapToGrid w:val="0"/>
        <w:jc w:val="left"/>
        <w:rPr>
          <w:rFonts w:eastAsia="华文楷体"/>
          <w:sz w:val="24"/>
        </w:rPr>
      </w:pPr>
    </w:p>
    <w:p w14:paraId="04ABA769">
      <w:pPr>
        <w:snapToGrid w:val="0"/>
        <w:jc w:val="left"/>
        <w:rPr>
          <w:rFonts w:eastAsia="华文楷体"/>
          <w:sz w:val="24"/>
        </w:rPr>
      </w:pPr>
    </w:p>
    <w:permEnd w:id="15"/>
    <w:p w14:paraId="5784AE0A">
      <w:pPr>
        <w:numPr>
          <w:ilvl w:val="0"/>
          <w:numId w:val="2"/>
        </w:numPr>
        <w:adjustRightInd/>
        <w:spacing w:before="240" w:after="240" w:line="240" w:lineRule="auto"/>
        <w:textAlignment w:val="auto"/>
        <w:rPr>
          <w:rFonts w:eastAsia="仿宋_GB2312"/>
          <w:sz w:val="24"/>
        </w:rPr>
      </w:pPr>
      <w:r>
        <w:rPr>
          <w:rFonts w:hint="eastAsia" w:eastAsia="仿宋_GB2312"/>
          <w:b/>
          <w:sz w:val="24"/>
        </w:rPr>
        <w:t xml:space="preserve">成果清单 </w:t>
      </w:r>
      <w:r>
        <w:rPr>
          <w:rFonts w:eastAsia="仿宋_GB2312"/>
          <w:b/>
          <w:sz w:val="24"/>
        </w:rPr>
        <w:t>List of Achievements</w:t>
      </w:r>
      <w:r>
        <w:rPr>
          <w:rFonts w:hint="eastAsia" w:eastAsia="仿宋_GB2312"/>
          <w:b/>
          <w:sz w:val="24"/>
        </w:rPr>
        <w:t>。</w:t>
      </w:r>
      <w:r>
        <w:rPr>
          <w:rFonts w:hint="eastAsia" w:eastAsia="仿宋_GB2312"/>
          <w:sz w:val="24"/>
        </w:rPr>
        <w:t xml:space="preserve">请列出开题报告以来或上次年度进展报告以来新发表的学术论文、授权专利、国际会议论文、专著等成果清单。作者、标题、杂志、卷、期、页码等信息请填写完整。Please provide a list of academic publications (papers, patents, </w:t>
      </w:r>
      <w:r>
        <w:rPr>
          <w:rFonts w:eastAsia="仿宋_GB2312"/>
          <w:sz w:val="24"/>
        </w:rPr>
        <w:t xml:space="preserve">international academic </w:t>
      </w:r>
      <w:r>
        <w:rPr>
          <w:rFonts w:hint="eastAsia" w:eastAsia="仿宋_GB2312"/>
          <w:sz w:val="24"/>
        </w:rPr>
        <w:t xml:space="preserve">conference </w:t>
      </w:r>
      <w:r>
        <w:rPr>
          <w:rFonts w:eastAsia="仿宋_GB2312"/>
          <w:sz w:val="24"/>
        </w:rPr>
        <w:t xml:space="preserve">talks/presentations, monographs, etc.) since your thesis proposal. Information on author list, title, journal name, volume, number, and pages shall be complete. </w:t>
      </w:r>
    </w:p>
    <w:p w14:paraId="30CD988F">
      <w:pPr>
        <w:snapToGrid w:val="0"/>
        <w:ind w:firstLine="480" w:firstLineChars="200"/>
        <w:jc w:val="left"/>
        <w:rPr>
          <w:rFonts w:hint="default" w:eastAsia="华文楷体"/>
          <w:sz w:val="24"/>
          <w:lang w:val="en-US" w:eastAsia="zh-CN"/>
        </w:rPr>
      </w:pPr>
      <w:permStart w:id="16" w:edGrp="everyone"/>
      <w:r>
        <w:rPr>
          <w:rFonts w:hint="eastAsia" w:eastAsia="华文楷体"/>
          <w:sz w:val="24"/>
          <w:lang w:val="en-US" w:eastAsia="zh-CN"/>
        </w:rPr>
        <w:t>作品项目云部署体验地址：</w:t>
      </w:r>
      <w:r>
        <w:rPr>
          <w:rFonts w:hint="eastAsia" w:eastAsia="华文楷体"/>
          <w:sz w:val="24"/>
          <w:lang w:val="en-US" w:eastAsia="zh-CN"/>
        </w:rPr>
        <w:fldChar w:fldCharType="begin"/>
      </w:r>
      <w:r>
        <w:rPr>
          <w:rFonts w:hint="eastAsia" w:eastAsia="华文楷体"/>
          <w:sz w:val="24"/>
          <w:lang w:val="en-US" w:eastAsia="zh-CN"/>
        </w:rPr>
        <w:instrText xml:space="preserve"> HYPERLINK "https://startrace-306119-11-1416317231.sh.run.tcloudbase.com/" </w:instrText>
      </w:r>
      <w:r>
        <w:rPr>
          <w:rFonts w:hint="eastAsia" w:eastAsia="华文楷体"/>
          <w:sz w:val="24"/>
          <w:lang w:val="en-US" w:eastAsia="zh-CN"/>
        </w:rPr>
        <w:fldChar w:fldCharType="separate"/>
      </w:r>
      <w:r>
        <w:rPr>
          <w:rStyle w:val="9"/>
          <w:rFonts w:hint="eastAsia" w:eastAsia="华文楷体"/>
          <w:sz w:val="24"/>
          <w:lang w:val="en-US" w:eastAsia="zh-CN"/>
        </w:rPr>
        <w:t>https://startrace-306119-11-1416317231.sh.run.tcloudbase.com/</w:t>
      </w:r>
      <w:r>
        <w:rPr>
          <w:rFonts w:hint="eastAsia" w:eastAsia="华文楷体"/>
          <w:sz w:val="24"/>
          <w:lang w:val="en-US" w:eastAsia="zh-CN"/>
        </w:rPr>
        <w:fldChar w:fldCharType="end"/>
      </w:r>
    </w:p>
    <w:p w14:paraId="6CBD119C">
      <w:pPr>
        <w:snapToGrid w:val="0"/>
        <w:ind w:firstLine="480" w:firstLineChars="200"/>
        <w:jc w:val="left"/>
        <w:rPr>
          <w:rFonts w:eastAsia="华文楷体"/>
          <w:sz w:val="24"/>
        </w:rPr>
      </w:pPr>
    </w:p>
    <w:p w14:paraId="5F8832AB">
      <w:pPr>
        <w:snapToGrid w:val="0"/>
        <w:ind w:firstLine="480" w:firstLineChars="200"/>
        <w:jc w:val="left"/>
        <w:rPr>
          <w:rFonts w:eastAsia="华文楷体"/>
          <w:sz w:val="24"/>
        </w:rPr>
      </w:pPr>
    </w:p>
    <w:p w14:paraId="55061BBF">
      <w:pPr>
        <w:snapToGrid w:val="0"/>
        <w:ind w:firstLine="480" w:firstLineChars="200"/>
        <w:jc w:val="left"/>
        <w:rPr>
          <w:rFonts w:eastAsia="华文楷体"/>
          <w:sz w:val="24"/>
        </w:rPr>
      </w:pPr>
    </w:p>
    <w:p w14:paraId="58B6B86E">
      <w:pPr>
        <w:snapToGrid w:val="0"/>
        <w:ind w:firstLine="480" w:firstLineChars="200"/>
        <w:jc w:val="left"/>
        <w:rPr>
          <w:rFonts w:eastAsia="华文楷体"/>
          <w:sz w:val="24"/>
        </w:rPr>
      </w:pPr>
    </w:p>
    <w:permEnd w:id="16"/>
    <w:p w14:paraId="44F08121">
      <w:pPr>
        <w:snapToGrid w:val="0"/>
        <w:spacing w:before="120"/>
        <w:rPr>
          <w:rFonts w:ascii="仿宋_GB2312" w:eastAsia="仿宋_GB2312"/>
          <w:b/>
          <w:sz w:val="24"/>
        </w:rPr>
      </w:pPr>
    </w:p>
    <w:p w14:paraId="5443CD8D">
      <w:pPr>
        <w:snapToGrid w:val="0"/>
        <w:spacing w:before="120"/>
        <w:ind w:firstLine="482" w:firstLineChars="200"/>
        <w:rPr>
          <w:rFonts w:ascii="仿宋_GB2312" w:eastAsia="仿宋_GB2312"/>
          <w:b/>
          <w:sz w:val="24"/>
        </w:rPr>
      </w:pPr>
      <w:r>
        <w:rPr>
          <w:rFonts w:hint="eastAsia" w:ascii="仿宋_GB2312" w:eastAsia="仿宋_GB2312"/>
          <w:b/>
          <w:sz w:val="24"/>
        </w:rPr>
        <w:t>本人</w:t>
      </w:r>
      <w:r>
        <w:rPr>
          <w:rFonts w:ascii="仿宋_GB2312" w:eastAsia="仿宋_GB2312"/>
          <w:b/>
          <w:sz w:val="24"/>
        </w:rPr>
        <w:t>承诺：</w:t>
      </w:r>
      <w:r>
        <w:rPr>
          <w:rFonts w:hint="eastAsia" w:ascii="仿宋_GB2312" w:eastAsia="仿宋_GB2312"/>
          <w:b/>
          <w:sz w:val="24"/>
        </w:rPr>
        <w:t>报告中</w:t>
      </w:r>
      <w:r>
        <w:rPr>
          <w:rFonts w:ascii="仿宋_GB2312" w:eastAsia="仿宋_GB2312"/>
          <w:b/>
          <w:sz w:val="24"/>
        </w:rPr>
        <w:t>的内容</w:t>
      </w:r>
      <w:r>
        <w:rPr>
          <w:rFonts w:hint="eastAsia" w:ascii="仿宋_GB2312" w:eastAsia="仿宋_GB2312"/>
          <w:b/>
          <w:sz w:val="24"/>
        </w:rPr>
        <w:t>真实无误</w:t>
      </w:r>
      <w:r>
        <w:rPr>
          <w:rFonts w:ascii="仿宋_GB2312" w:eastAsia="仿宋_GB2312"/>
          <w:b/>
          <w:sz w:val="24"/>
        </w:rPr>
        <w:t>，若有不</w:t>
      </w:r>
      <w:r>
        <w:rPr>
          <w:rFonts w:hint="eastAsia" w:ascii="仿宋_GB2312" w:eastAsia="仿宋_GB2312"/>
          <w:b/>
          <w:sz w:val="24"/>
        </w:rPr>
        <w:t>实</w:t>
      </w:r>
      <w:r>
        <w:rPr>
          <w:rFonts w:ascii="仿宋_GB2312" w:eastAsia="仿宋_GB2312"/>
          <w:b/>
          <w:sz w:val="24"/>
        </w:rPr>
        <w:t>，愿承担相应的责任和后果。</w:t>
      </w:r>
      <w:bookmarkStart w:id="2" w:name="OLE_LINK22"/>
      <w:bookmarkStart w:id="3" w:name="OLE_LINK23"/>
      <w:r>
        <w:rPr>
          <w:rFonts w:hint="eastAsia" w:ascii="仿宋_GB2312" w:eastAsia="仿宋_GB2312"/>
          <w:b/>
          <w:sz w:val="24"/>
        </w:rPr>
        <w:t xml:space="preserve"> </w:t>
      </w:r>
      <w:r>
        <w:rPr>
          <w:rFonts w:eastAsia="仿宋_GB2312"/>
          <w:b/>
          <w:sz w:val="24"/>
        </w:rPr>
        <w:t xml:space="preserve">I </w:t>
      </w:r>
      <w:r>
        <w:rPr>
          <w:rFonts w:hint="eastAsia" w:eastAsia="仿宋_GB2312"/>
          <w:b/>
          <w:sz w:val="24"/>
        </w:rPr>
        <w:t xml:space="preserve">hereby </w:t>
      </w:r>
      <w:r>
        <w:rPr>
          <w:rFonts w:eastAsia="仿宋_GB2312"/>
          <w:b/>
          <w:sz w:val="24"/>
        </w:rPr>
        <w:t>declare and confirm that the details provided in this Form are valid and accurate.</w:t>
      </w:r>
      <w:bookmarkEnd w:id="2"/>
      <w:bookmarkEnd w:id="3"/>
      <w:r>
        <w:rPr>
          <w:rFonts w:eastAsia="仿宋_GB2312"/>
          <w:b/>
          <w:sz w:val="24"/>
        </w:rPr>
        <w:t xml:space="preserve"> </w:t>
      </w:r>
      <w:bookmarkStart w:id="4" w:name="OLE_LINK19"/>
      <w:bookmarkStart w:id="5" w:name="OLE_LINK18"/>
      <w:bookmarkStart w:id="6" w:name="OLE_LINK21"/>
      <w:bookmarkStart w:id="7" w:name="OLE_LINK20"/>
      <w:r>
        <w:rPr>
          <w:rFonts w:eastAsia="仿宋_GB2312"/>
          <w:b/>
          <w:sz w:val="24"/>
        </w:rPr>
        <w:t xml:space="preserve">If anything untruthful found, I will </w:t>
      </w:r>
      <w:r>
        <w:rPr>
          <w:rFonts w:hint="eastAsia" w:eastAsia="仿宋_GB2312"/>
          <w:b/>
          <w:sz w:val="24"/>
        </w:rPr>
        <w:t>bear</w:t>
      </w:r>
      <w:r>
        <w:rPr>
          <w:rFonts w:eastAsia="仿宋_GB2312"/>
          <w:b/>
          <w:sz w:val="24"/>
        </w:rPr>
        <w:t xml:space="preserve"> </w:t>
      </w:r>
      <w:r>
        <w:rPr>
          <w:rFonts w:hint="eastAsia" w:eastAsia="仿宋_GB2312"/>
          <w:b/>
          <w:sz w:val="24"/>
        </w:rPr>
        <w:t xml:space="preserve">the </w:t>
      </w:r>
      <w:r>
        <w:rPr>
          <w:rFonts w:eastAsia="仿宋_GB2312"/>
          <w:b/>
          <w:sz w:val="24"/>
        </w:rPr>
        <w:t xml:space="preserve">corresponding </w:t>
      </w:r>
      <w:r>
        <w:rPr>
          <w:rFonts w:hint="eastAsia" w:eastAsia="仿宋_GB2312"/>
          <w:b/>
          <w:sz w:val="24"/>
        </w:rPr>
        <w:t>liabilities</w:t>
      </w:r>
      <w:r>
        <w:rPr>
          <w:rFonts w:eastAsia="仿宋_GB2312"/>
          <w:b/>
          <w:sz w:val="24"/>
        </w:rPr>
        <w:t xml:space="preserve"> and consequences</w:t>
      </w:r>
      <w:bookmarkEnd w:id="4"/>
      <w:bookmarkEnd w:id="5"/>
      <w:r>
        <w:rPr>
          <w:rFonts w:eastAsia="仿宋_GB2312"/>
          <w:b/>
          <w:sz w:val="24"/>
        </w:rPr>
        <w:t>.</w:t>
      </w:r>
      <w:bookmarkEnd w:id="6"/>
      <w:bookmarkEnd w:id="7"/>
    </w:p>
    <w:p w14:paraId="30147006">
      <w:pPr>
        <w:snapToGrid w:val="0"/>
        <w:spacing w:before="120"/>
        <w:rPr>
          <w:rFonts w:ascii="仿宋_GB2312" w:eastAsia="仿宋_GB2312"/>
          <w:b/>
          <w:sz w:val="24"/>
        </w:rPr>
      </w:pPr>
    </w:p>
    <w:p w14:paraId="54E96E9B">
      <w:pPr>
        <w:snapToGrid w:val="0"/>
        <w:spacing w:before="120"/>
        <w:rPr>
          <w:rFonts w:eastAsia="仿宋_GB2312"/>
          <w:b/>
          <w:sz w:val="24"/>
        </w:rPr>
      </w:pPr>
      <w:r>
        <w:rPr>
          <w:rFonts w:eastAsia="仿宋_GB2312"/>
          <w:b/>
          <w:sz w:val="24"/>
        </w:rPr>
        <w:t xml:space="preserve">学生签字/Signature of Student： </w:t>
      </w:r>
      <w:permStart w:id="17" w:edGrp="everyone"/>
      <w:r>
        <w:rPr>
          <w:rFonts w:eastAsia="仿宋_GB2312"/>
          <w:b/>
          <w:sz w:val="24"/>
        </w:rPr>
        <w:t xml:space="preserve">             </w:t>
      </w:r>
      <w:permEnd w:id="17"/>
      <w:r>
        <w:rPr>
          <w:rFonts w:eastAsia="仿宋_GB2312"/>
          <w:b/>
          <w:sz w:val="24"/>
        </w:rPr>
        <w:t xml:space="preserve">             </w:t>
      </w:r>
    </w:p>
    <w:p w14:paraId="37AB8065">
      <w:pPr>
        <w:snapToGrid w:val="0"/>
        <w:spacing w:before="120"/>
        <w:rPr>
          <w:rFonts w:eastAsia="仿宋_GB2312"/>
          <w:b/>
          <w:sz w:val="24"/>
        </w:rPr>
      </w:pPr>
      <w:r>
        <w:rPr>
          <w:rFonts w:eastAsia="仿宋_GB2312"/>
          <w:b/>
          <w:sz w:val="24"/>
        </w:rPr>
        <w:t>导师签字</w:t>
      </w:r>
      <w:r>
        <w:rPr>
          <w:rFonts w:ascii="Times New Roman" w:hAnsi="Times New Roman" w:cs="Times New Roman"/>
          <w:b/>
          <w:sz w:val="24"/>
        </w:rPr>
        <w:t xml:space="preserve">/Signature of Supervisor:  </w:t>
      </w:r>
      <w:permStart w:id="18" w:edGrp="everyone"/>
      <w:r>
        <w:rPr>
          <w:rFonts w:ascii="Times New Roman" w:hAnsi="Times New Roman" w:cs="Times New Roman"/>
          <w:b/>
          <w:sz w:val="24"/>
        </w:rPr>
        <w:t xml:space="preserve">             </w:t>
      </w:r>
      <w:permEnd w:id="18"/>
      <w:r>
        <w:rPr>
          <w:rFonts w:ascii="Times New Roman" w:hAnsi="Times New Roman" w:cs="Times New Roman"/>
          <w:b/>
          <w:sz w:val="24"/>
        </w:rPr>
        <w:t xml:space="preserve">  </w:t>
      </w:r>
    </w:p>
    <w:p w14:paraId="3880217E">
      <w:pPr>
        <w:snapToGrid w:val="0"/>
        <w:spacing w:before="120"/>
        <w:rPr>
          <w:rFonts w:hint="eastAsia" w:ascii="宋体" w:hAnsi="宋体" w:eastAsia="仿宋_GB2312"/>
          <w:b/>
          <w:bCs/>
          <w:sz w:val="24"/>
          <w:lang w:val="en-US" w:eastAsia="zh-CN"/>
        </w:rPr>
      </w:pPr>
      <w:r>
        <w:rPr>
          <w:rFonts w:eastAsia="仿宋_GB2312"/>
          <w:b/>
          <w:sz w:val="24"/>
        </w:rPr>
        <w:t>日期/Date：</w:t>
      </w:r>
      <w:permStart w:id="19" w:edGrp="everyone"/>
      <w:r>
        <w:rPr>
          <w:rFonts w:eastAsia="仿宋_GB2312"/>
          <w:szCs w:val="21"/>
        </w:rPr>
        <w:t xml:space="preserve"> </w:t>
      </w:r>
      <w:r>
        <w:rPr>
          <w:rFonts w:eastAsia="仿宋_GB2312"/>
          <w:szCs w:val="21"/>
        </w:rPr>
        <w:fldChar w:fldCharType="begin"/>
      </w:r>
      <w:r>
        <w:rPr>
          <w:rFonts w:eastAsia="仿宋_GB2312"/>
          <w:szCs w:val="21"/>
        </w:rPr>
        <w:instrText xml:space="preserve"> DATE \@ "yyyy-MM-dd" </w:instrText>
      </w:r>
      <w:r>
        <w:rPr>
          <w:rFonts w:eastAsia="仿宋_GB2312"/>
          <w:szCs w:val="21"/>
        </w:rPr>
        <w:fldChar w:fldCharType="separate"/>
      </w:r>
      <w:r>
        <w:rPr>
          <w:rFonts w:eastAsia="仿宋_GB2312"/>
          <w:szCs w:val="21"/>
        </w:rPr>
        <w:t>2026-09-18</w:t>
      </w:r>
      <w:r>
        <w:rPr>
          <w:rFonts w:eastAsia="仿宋_GB2312"/>
          <w:szCs w:val="21"/>
        </w:rPr>
        <w:fldChar w:fldCharType="end"/>
      </w:r>
      <w:permEnd w:id="19"/>
    </w:p>
    <w:sectPr>
      <w:headerReference r:id="rId11" w:type="first"/>
      <w:footerReference r:id="rId12" w:type="first"/>
      <w:pgSz w:w="11907" w:h="16840"/>
      <w:pgMar w:top="1191" w:right="1134" w:bottom="851" w:left="1134" w:header="851" w:footer="567" w:gutter="0"/>
      <w:pgNumType w:start="1"/>
      <w:cols w:space="425" w:num="1"/>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仿宋_GB2312">
    <w:altName w:val="方正仿宋_GBK"/>
    <w:panose1 w:val="00000000000000000000"/>
    <w:charset w:val="86"/>
    <w:family w:val="modern"/>
    <w:pitch w:val="default"/>
    <w:sig w:usb0="00000000" w:usb1="00000000" w:usb2="0000001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华文仿宋">
    <w:panose1 w:val="02010600040101010101"/>
    <w:charset w:val="86"/>
    <w:family w:val="auto"/>
    <w:pitch w:val="default"/>
    <w:sig w:usb0="00000287" w:usb1="080F0000" w:usb2="00000000" w:usb3="00000000" w:csb0="0004009F" w:csb1="DFD70000"/>
  </w:font>
  <w:font w:name="MS Gothic">
    <w:altName w:val="Hiragino Sans"/>
    <w:panose1 w:val="020B0609070205080204"/>
    <w:charset w:val="80"/>
    <w:family w:val="modern"/>
    <w:pitch w:val="default"/>
    <w:sig w:usb0="00000000" w:usb1="00000000" w:usb2="08000012" w:usb3="00000000" w:csb0="4002009F" w:csb1="DFD70000"/>
  </w:font>
  <w:font w:name="华文楷体">
    <w:panose1 w:val="02010600040101010101"/>
    <w:charset w:val="86"/>
    <w:family w:val="auto"/>
    <w:pitch w:val="default"/>
    <w:sig w:usb0="80000287" w:usb1="280F3C52"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Arial Unicode MS">
    <w:panose1 w:val="020B0604020202020204"/>
    <w:charset w:val="86"/>
    <w:family w:val="auto"/>
    <w:pitch w:val="default"/>
    <w:sig w:usb0="FFFFFFFF" w:usb1="E9FFFFFF" w:usb2="0000003F" w:usb3="00000000" w:csb0="603F01FF" w:csb1="FFFF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F93AC">
    <w:pPr>
      <w:pStyle w:val="3"/>
      <w:jc w:val="center"/>
      <w:rPr>
        <w:b/>
        <w:sz w:val="20"/>
      </w:rPr>
    </w:pPr>
    <w:r>
      <w:rPr>
        <w:b/>
        <w:sz w:val="20"/>
      </w:rPr>
      <w:fldChar w:fldCharType="begin"/>
    </w:r>
    <w:r>
      <w:rPr>
        <w:b/>
        <w:sz w:val="20"/>
      </w:rPr>
      <w:instrText xml:space="preserve">PAGE   \* MERGEFORMAT</w:instrText>
    </w:r>
    <w:r>
      <w:rPr>
        <w:b/>
        <w:sz w:val="20"/>
      </w:rPr>
      <w:fldChar w:fldCharType="separate"/>
    </w:r>
    <w:r>
      <w:rPr>
        <w:b/>
        <w:sz w:val="20"/>
        <w:lang w:val="zh-CN"/>
      </w:rPr>
      <w:t>5</w:t>
    </w:r>
    <w:r>
      <w:rPr>
        <w:b/>
        <w:sz w:val="20"/>
      </w:rPr>
      <w:fldChar w:fldCharType="end"/>
    </w:r>
  </w:p>
  <w:p w14:paraId="7AB50F5D">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2481F">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1</w:t>
    </w:r>
    <w:r>
      <w:rPr>
        <w:rStyle w:val="8"/>
      </w:rPr>
      <w:fldChar w:fldCharType="end"/>
    </w:r>
  </w:p>
  <w:p w14:paraId="42F59FE6">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7F08A">
    <w:pPr>
      <w:pStyle w:val="3"/>
      <w:jc w:val="center"/>
    </w:pPr>
    <w:r>
      <w:rPr>
        <w:b/>
        <w:bCs/>
      </w:rPr>
      <w:fldChar w:fldCharType="begin"/>
    </w:r>
    <w:r>
      <w:rPr>
        <w:b/>
        <w:bCs/>
      </w:rPr>
      <w:instrText xml:space="preserve">PAGE  \* Arabic  \* MERGEFORMAT</w:instrText>
    </w:r>
    <w:r>
      <w:rPr>
        <w:b/>
        <w:bCs/>
      </w:rPr>
      <w:fldChar w:fldCharType="separate"/>
    </w:r>
    <w:r>
      <w:rPr>
        <w:b/>
        <w:bCs/>
        <w:lang w:val="zh-CN"/>
      </w:rPr>
      <w:t>2</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2</w:t>
    </w:r>
    <w:r>
      <w:rPr>
        <w:b/>
        <w:bCs/>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FBAD5">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end"/>
    </w:r>
  </w:p>
  <w:p w14:paraId="0A74C93D">
    <w:pPr>
      <w:pStyle w:val="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73896">
    <w:pPr>
      <w:pStyle w:val="3"/>
      <w:jc w:val="center"/>
    </w:pPr>
    <w:r>
      <w:rPr>
        <w:lang w:val="zh-CN"/>
      </w:rPr>
      <w:t xml:space="preserve"> </w:t>
    </w:r>
    <w:r>
      <w:rPr>
        <w:b/>
        <w:bCs/>
      </w:rPr>
      <w:fldChar w:fldCharType="begin"/>
    </w:r>
    <w:r>
      <w:rPr>
        <w:b/>
        <w:bCs/>
      </w:rPr>
      <w:instrText xml:space="preserve">PAGE  \* Arabic  \* MERGEFORMAT</w:instrText>
    </w:r>
    <w:r>
      <w:rPr>
        <w:b/>
        <w:bCs/>
      </w:rPr>
      <w:fldChar w:fldCharType="separate"/>
    </w:r>
    <w:r>
      <w:rPr>
        <w:b/>
        <w:bCs/>
        <w:lang w:val="zh-CN"/>
      </w:rPr>
      <w:t>0</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1</w:t>
    </w:r>
    <w:r>
      <w:rPr>
        <w:b/>
        <w:bCs/>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AB547">
    <w:pPr>
      <w:pStyle w:val="3"/>
      <w:jc w:val="center"/>
    </w:pPr>
    <w:r>
      <w:rPr>
        <w:b/>
        <w:bCs/>
      </w:rPr>
      <w:fldChar w:fldCharType="begin"/>
    </w:r>
    <w:r>
      <w:rPr>
        <w:b/>
        <w:bCs/>
      </w:rPr>
      <w:instrText xml:space="preserve">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4CA50">
    <w:pPr>
      <w:pStyle w:val="4"/>
    </w:pPr>
    <w:r>
      <w:t>上海交通大学</w:t>
    </w:r>
    <w:r>
      <w:rPr>
        <w:rFonts w:hint="eastAsia"/>
      </w:rPr>
      <w:t>硕士论文中期检查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83AED">
    <w:pPr>
      <w:pStyle w:val="4"/>
    </w:pPr>
    <w:r>
      <w:t>上海交通大学</w:t>
    </w:r>
    <w:r>
      <w:rPr>
        <w:rFonts w:hint="eastAsia"/>
      </w:rPr>
      <w:t>硕士学位论文中期检查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E81871"/>
    <w:multiLevelType w:val="multilevel"/>
    <w:tmpl w:val="5FE81871"/>
    <w:lvl w:ilvl="0" w:tentative="0">
      <w:start w:val="1"/>
      <w:numFmt w:val="decimal"/>
      <w:lvlText w:val="%1、"/>
      <w:lvlJc w:val="left"/>
      <w:pPr>
        <w:ind w:left="390" w:hanging="39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3D45FAC"/>
    <w:multiLevelType w:val="multilevel"/>
    <w:tmpl w:val="73D45F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yYzY1NmI5ZGFjNGE0YzE4MGU2Mzk2ZThlMTBmYTcifQ=="/>
  </w:docVars>
  <w:rsids>
    <w:rsidRoot w:val="00663B0B"/>
    <w:rsid w:val="0001192C"/>
    <w:rsid w:val="000203B5"/>
    <w:rsid w:val="0003575C"/>
    <w:rsid w:val="00043CC1"/>
    <w:rsid w:val="000571EB"/>
    <w:rsid w:val="000603DD"/>
    <w:rsid w:val="000679DF"/>
    <w:rsid w:val="000D3A70"/>
    <w:rsid w:val="000D41BF"/>
    <w:rsid w:val="000E3352"/>
    <w:rsid w:val="000E4A9F"/>
    <w:rsid w:val="001019D2"/>
    <w:rsid w:val="00106EC4"/>
    <w:rsid w:val="001365FC"/>
    <w:rsid w:val="0014636C"/>
    <w:rsid w:val="00152909"/>
    <w:rsid w:val="001570E3"/>
    <w:rsid w:val="00162C78"/>
    <w:rsid w:val="0017516E"/>
    <w:rsid w:val="0018161A"/>
    <w:rsid w:val="00182890"/>
    <w:rsid w:val="00194580"/>
    <w:rsid w:val="00197168"/>
    <w:rsid w:val="001B3344"/>
    <w:rsid w:val="001B4366"/>
    <w:rsid w:val="001D60D9"/>
    <w:rsid w:val="001E05FB"/>
    <w:rsid w:val="001F4254"/>
    <w:rsid w:val="0020069B"/>
    <w:rsid w:val="002052E2"/>
    <w:rsid w:val="00217625"/>
    <w:rsid w:val="00235244"/>
    <w:rsid w:val="00242693"/>
    <w:rsid w:val="00242E40"/>
    <w:rsid w:val="002608F0"/>
    <w:rsid w:val="002739B1"/>
    <w:rsid w:val="002831DA"/>
    <w:rsid w:val="00293D38"/>
    <w:rsid w:val="002951BD"/>
    <w:rsid w:val="00297020"/>
    <w:rsid w:val="002A22AF"/>
    <w:rsid w:val="002A5390"/>
    <w:rsid w:val="002A59F0"/>
    <w:rsid w:val="002B27E3"/>
    <w:rsid w:val="002B6121"/>
    <w:rsid w:val="002B6A13"/>
    <w:rsid w:val="002C4158"/>
    <w:rsid w:val="002C4F7E"/>
    <w:rsid w:val="002D5A0F"/>
    <w:rsid w:val="002E7705"/>
    <w:rsid w:val="002F1C03"/>
    <w:rsid w:val="00317C22"/>
    <w:rsid w:val="003363DC"/>
    <w:rsid w:val="00347AA1"/>
    <w:rsid w:val="00350711"/>
    <w:rsid w:val="0035363F"/>
    <w:rsid w:val="003652DD"/>
    <w:rsid w:val="00371906"/>
    <w:rsid w:val="00376FED"/>
    <w:rsid w:val="003B3C3A"/>
    <w:rsid w:val="003C71AB"/>
    <w:rsid w:val="003F7428"/>
    <w:rsid w:val="00400B0F"/>
    <w:rsid w:val="00404BC7"/>
    <w:rsid w:val="00414094"/>
    <w:rsid w:val="0043349A"/>
    <w:rsid w:val="004406C2"/>
    <w:rsid w:val="00441B50"/>
    <w:rsid w:val="00450C7C"/>
    <w:rsid w:val="00455043"/>
    <w:rsid w:val="00481028"/>
    <w:rsid w:val="00482B9A"/>
    <w:rsid w:val="0049515A"/>
    <w:rsid w:val="00496018"/>
    <w:rsid w:val="004A490D"/>
    <w:rsid w:val="004D3A28"/>
    <w:rsid w:val="004D7A87"/>
    <w:rsid w:val="004E0110"/>
    <w:rsid w:val="004E163F"/>
    <w:rsid w:val="004F0280"/>
    <w:rsid w:val="004F3BAB"/>
    <w:rsid w:val="004F7A2D"/>
    <w:rsid w:val="00503DC4"/>
    <w:rsid w:val="0051248F"/>
    <w:rsid w:val="00521512"/>
    <w:rsid w:val="005243E7"/>
    <w:rsid w:val="00542506"/>
    <w:rsid w:val="00550F98"/>
    <w:rsid w:val="0055308F"/>
    <w:rsid w:val="00572A33"/>
    <w:rsid w:val="00572AD9"/>
    <w:rsid w:val="00584765"/>
    <w:rsid w:val="00586F30"/>
    <w:rsid w:val="00587893"/>
    <w:rsid w:val="0059471B"/>
    <w:rsid w:val="00604FD7"/>
    <w:rsid w:val="006255D4"/>
    <w:rsid w:val="00632D10"/>
    <w:rsid w:val="006615F2"/>
    <w:rsid w:val="00663B0B"/>
    <w:rsid w:val="00676B9D"/>
    <w:rsid w:val="006901EB"/>
    <w:rsid w:val="006920C0"/>
    <w:rsid w:val="006B1A3F"/>
    <w:rsid w:val="006E3043"/>
    <w:rsid w:val="00706321"/>
    <w:rsid w:val="00711435"/>
    <w:rsid w:val="0071324F"/>
    <w:rsid w:val="007149B0"/>
    <w:rsid w:val="007241FD"/>
    <w:rsid w:val="00745076"/>
    <w:rsid w:val="0075311F"/>
    <w:rsid w:val="00756A92"/>
    <w:rsid w:val="00760557"/>
    <w:rsid w:val="00773B33"/>
    <w:rsid w:val="00783181"/>
    <w:rsid w:val="007A4B33"/>
    <w:rsid w:val="007A6D1A"/>
    <w:rsid w:val="007B42D8"/>
    <w:rsid w:val="007D435D"/>
    <w:rsid w:val="007F70CF"/>
    <w:rsid w:val="008478B2"/>
    <w:rsid w:val="00853C37"/>
    <w:rsid w:val="00876B8B"/>
    <w:rsid w:val="008817FE"/>
    <w:rsid w:val="00893404"/>
    <w:rsid w:val="008B12D0"/>
    <w:rsid w:val="008D172E"/>
    <w:rsid w:val="008F06BA"/>
    <w:rsid w:val="008F0E96"/>
    <w:rsid w:val="009218FC"/>
    <w:rsid w:val="009308CC"/>
    <w:rsid w:val="00961E91"/>
    <w:rsid w:val="00962726"/>
    <w:rsid w:val="0096771B"/>
    <w:rsid w:val="00994E28"/>
    <w:rsid w:val="009956C5"/>
    <w:rsid w:val="009A0FBF"/>
    <w:rsid w:val="009B1599"/>
    <w:rsid w:val="009B410F"/>
    <w:rsid w:val="009B7B1A"/>
    <w:rsid w:val="009D12E1"/>
    <w:rsid w:val="009D24E5"/>
    <w:rsid w:val="009D7810"/>
    <w:rsid w:val="009E4A05"/>
    <w:rsid w:val="009F53F9"/>
    <w:rsid w:val="009F6074"/>
    <w:rsid w:val="009F67DF"/>
    <w:rsid w:val="00A00798"/>
    <w:rsid w:val="00A03AAE"/>
    <w:rsid w:val="00A120E7"/>
    <w:rsid w:val="00A16626"/>
    <w:rsid w:val="00A16D66"/>
    <w:rsid w:val="00A266FB"/>
    <w:rsid w:val="00A3789F"/>
    <w:rsid w:val="00A645C7"/>
    <w:rsid w:val="00A65534"/>
    <w:rsid w:val="00A70232"/>
    <w:rsid w:val="00A74F8F"/>
    <w:rsid w:val="00A85ABA"/>
    <w:rsid w:val="00A93334"/>
    <w:rsid w:val="00A942E4"/>
    <w:rsid w:val="00A9699C"/>
    <w:rsid w:val="00AA7EF5"/>
    <w:rsid w:val="00AD05BD"/>
    <w:rsid w:val="00AD0698"/>
    <w:rsid w:val="00AD1850"/>
    <w:rsid w:val="00AD35A7"/>
    <w:rsid w:val="00AF2D58"/>
    <w:rsid w:val="00AF6E8F"/>
    <w:rsid w:val="00B04C76"/>
    <w:rsid w:val="00B22A90"/>
    <w:rsid w:val="00B31AC9"/>
    <w:rsid w:val="00B463C9"/>
    <w:rsid w:val="00B47A30"/>
    <w:rsid w:val="00B51238"/>
    <w:rsid w:val="00B54FEB"/>
    <w:rsid w:val="00BC4251"/>
    <w:rsid w:val="00BE00A4"/>
    <w:rsid w:val="00BE3107"/>
    <w:rsid w:val="00BE53A7"/>
    <w:rsid w:val="00BF1D27"/>
    <w:rsid w:val="00C06D37"/>
    <w:rsid w:val="00C10183"/>
    <w:rsid w:val="00C10C2A"/>
    <w:rsid w:val="00C45532"/>
    <w:rsid w:val="00C6550F"/>
    <w:rsid w:val="00C76E99"/>
    <w:rsid w:val="00C83F53"/>
    <w:rsid w:val="00CA3155"/>
    <w:rsid w:val="00CA7B6D"/>
    <w:rsid w:val="00CB4392"/>
    <w:rsid w:val="00CC0325"/>
    <w:rsid w:val="00CC1831"/>
    <w:rsid w:val="00CC7313"/>
    <w:rsid w:val="00CF2155"/>
    <w:rsid w:val="00CF68DB"/>
    <w:rsid w:val="00D04796"/>
    <w:rsid w:val="00D06F63"/>
    <w:rsid w:val="00D2570D"/>
    <w:rsid w:val="00D26C16"/>
    <w:rsid w:val="00D348B7"/>
    <w:rsid w:val="00D437B4"/>
    <w:rsid w:val="00D8329F"/>
    <w:rsid w:val="00DC00BE"/>
    <w:rsid w:val="00DD3BE5"/>
    <w:rsid w:val="00DE4503"/>
    <w:rsid w:val="00DF2D76"/>
    <w:rsid w:val="00E82765"/>
    <w:rsid w:val="00EB6D8F"/>
    <w:rsid w:val="00EB7B98"/>
    <w:rsid w:val="00EB7CDF"/>
    <w:rsid w:val="00EC6DCC"/>
    <w:rsid w:val="00F16A46"/>
    <w:rsid w:val="00F50D52"/>
    <w:rsid w:val="00F61E82"/>
    <w:rsid w:val="00F65008"/>
    <w:rsid w:val="00F75C47"/>
    <w:rsid w:val="00F8542C"/>
    <w:rsid w:val="00FA3005"/>
    <w:rsid w:val="00FB007D"/>
    <w:rsid w:val="00FB3554"/>
    <w:rsid w:val="00FB6397"/>
    <w:rsid w:val="00FB7721"/>
    <w:rsid w:val="138E4DA7"/>
    <w:rsid w:val="21725332"/>
    <w:rsid w:val="2C6216DD"/>
    <w:rsid w:val="2CA3146B"/>
    <w:rsid w:val="2F946722"/>
    <w:rsid w:val="31204797"/>
    <w:rsid w:val="34086670"/>
    <w:rsid w:val="360A0E5E"/>
    <w:rsid w:val="38CB11E8"/>
    <w:rsid w:val="39577622"/>
    <w:rsid w:val="3EB5E60F"/>
    <w:rsid w:val="4A3A17DC"/>
    <w:rsid w:val="4C1703B2"/>
    <w:rsid w:val="5A6C4CE3"/>
    <w:rsid w:val="5B1660B9"/>
    <w:rsid w:val="5D5E0913"/>
    <w:rsid w:val="704C78A9"/>
    <w:rsid w:val="77141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11"/>
    <w:qFormat/>
    <w:uiPriority w:val="0"/>
    <w:pPr>
      <w:tabs>
        <w:tab w:val="center" w:pos="4153"/>
        <w:tab w:val="right" w:pos="8306"/>
      </w:tabs>
      <w:snapToGrid w:val="0"/>
      <w:spacing w:line="240" w:lineRule="atLeast"/>
      <w:jc w:val="left"/>
    </w:pPr>
    <w:rPr>
      <w:sz w:val="18"/>
    </w:rPr>
  </w:style>
  <w:style w:type="paragraph" w:styleId="4">
    <w:name w:val="header"/>
    <w:basedOn w:val="1"/>
    <w:link w:val="12"/>
    <w:qFormat/>
    <w:uiPriority w:val="0"/>
    <w:pPr>
      <w:pBdr>
        <w:bottom w:val="single" w:color="auto" w:sz="6" w:space="1"/>
      </w:pBdr>
      <w:tabs>
        <w:tab w:val="center" w:pos="4153"/>
        <w:tab w:val="right" w:pos="8306"/>
      </w:tabs>
      <w:snapToGrid w:val="0"/>
      <w:spacing w:line="240" w:lineRule="atLeast"/>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styleId="9">
    <w:name w:val="FollowedHyperlink"/>
    <w:basedOn w:val="7"/>
    <w:uiPriority w:val="0"/>
    <w:rPr>
      <w:color w:val="800080"/>
      <w:u w:val="single"/>
    </w:rPr>
  </w:style>
  <w:style w:type="character" w:styleId="10">
    <w:name w:val="Hyperlink"/>
    <w:qFormat/>
    <w:uiPriority w:val="0"/>
    <w:rPr>
      <w:color w:val="0000FF"/>
      <w:u w:val="single"/>
    </w:rPr>
  </w:style>
  <w:style w:type="character" w:customStyle="1" w:styleId="11">
    <w:name w:val="页脚 Char"/>
    <w:link w:val="3"/>
    <w:qFormat/>
    <w:uiPriority w:val="99"/>
    <w:rPr>
      <w:sz w:val="18"/>
    </w:rPr>
  </w:style>
  <w:style w:type="character" w:customStyle="1" w:styleId="12">
    <w:name w:val="页眉 Char"/>
    <w:link w:val="4"/>
    <w:qFormat/>
    <w:uiPriority w:val="0"/>
    <w:rPr>
      <w:sz w:val="18"/>
      <w:szCs w:val="18"/>
    </w:rPr>
  </w:style>
  <w:style w:type="paragraph" w:styleId="13">
    <w:name w:val="List Paragraph"/>
    <w:basedOn w:val="1"/>
    <w:qFormat/>
    <w:uiPriority w:val="34"/>
    <w:pPr>
      <w:adjustRightInd/>
      <w:spacing w:line="240" w:lineRule="auto"/>
      <w:ind w:firstLine="420" w:firstLineChars="200"/>
      <w:textAlignment w:val="auto"/>
    </w:pPr>
    <w:rPr>
      <w:kern w:val="2"/>
      <w:szCs w:val="24"/>
    </w:rPr>
  </w:style>
  <w:style w:type="character" w:styleId="14">
    <w:name w:val="Placeholder Text"/>
    <w:basedOn w:val="7"/>
    <w:semiHidden/>
    <w:qFormat/>
    <w:uiPriority w:val="99"/>
    <w:rPr>
      <w:color w:val="808080"/>
    </w:rPr>
  </w:style>
  <w:style w:type="paragraph" w:customStyle="1" w:styleId="15">
    <w:name w:val="MidtermHeading"/>
    <w:basedOn w:val="1"/>
    <w:qFormat/>
    <w:uiPriority w:val="0"/>
    <w:pPr>
      <w:keepNext/>
      <w:widowControl/>
      <w:snapToGrid w:val="0"/>
      <w:spacing w:before="200" w:after="140" w:line="276" w:lineRule="auto"/>
      <w:ind w:firstLine="0"/>
      <w:jc w:val="left"/>
    </w:pPr>
    <w:rPr>
      <w:rFonts w:ascii="Times New Roman" w:hAnsi="Times New Roman" w:eastAsia="黑体"/>
      <w:b/>
      <w:color w:val="000000"/>
      <w:sz w:val="28"/>
    </w:rPr>
  </w:style>
  <w:style w:type="paragraph" w:customStyle="1" w:styleId="16">
    <w:name w:val="MidtermBody"/>
    <w:basedOn w:val="1"/>
    <w:uiPriority w:val="0"/>
    <w:pPr>
      <w:keepNext w:val="0"/>
      <w:widowControl/>
      <w:snapToGrid w:val="0"/>
      <w:spacing w:before="0" w:after="100" w:line="336" w:lineRule="auto"/>
      <w:ind w:firstLine="480"/>
      <w:jc w:val="both"/>
    </w:pPr>
    <w:rPr>
      <w:rFonts w:ascii="Times New Roman" w:hAnsi="Times New Roman" w:eastAsia="宋体"/>
      <w:color w:val="000000"/>
      <w:sz w:val="24"/>
    </w:rPr>
  </w:style>
  <w:style w:type="paragraph" w:customStyle="1" w:styleId="17">
    <w:name w:val="MidtermSubheading"/>
    <w:basedOn w:val="1"/>
    <w:uiPriority w:val="0"/>
    <w:pPr>
      <w:keepNext/>
      <w:widowControl/>
      <w:snapToGrid w:val="0"/>
      <w:spacing w:before="200" w:after="140" w:line="276" w:lineRule="auto"/>
      <w:ind w:firstLine="0"/>
      <w:jc w:val="left"/>
    </w:pPr>
    <w:rPr>
      <w:rFonts w:ascii="Times New Roman" w:hAnsi="Times New Roman" w:eastAsia="黑体"/>
      <w:b/>
      <w:color w:val="000000"/>
      <w:sz w:val="24"/>
    </w:rPr>
  </w:style>
  <w:style w:type="paragraph" w:customStyle="1" w:styleId="18">
    <w:name w:val="MidtermCaption"/>
    <w:basedOn w:val="1"/>
    <w:qFormat/>
    <w:uiPriority w:val="0"/>
    <w:pPr>
      <w:keepNext w:val="0"/>
      <w:widowControl/>
      <w:snapToGrid w:val="0"/>
      <w:spacing w:before="0" w:after="100" w:line="276" w:lineRule="auto"/>
      <w:ind w:firstLine="0"/>
      <w:jc w:val="center"/>
    </w:pPr>
    <w:rPr>
      <w:rFonts w:ascii="Times New Roman" w:hAnsi="Times New Roman" w:eastAsia="宋体"/>
      <w:color w:val="000000"/>
      <w:sz w:val="21"/>
    </w:rPr>
  </w:style>
  <w:style w:type="paragraph" w:customStyle="1" w:styleId="19">
    <w:name w:val="MidtermNote"/>
    <w:basedOn w:val="1"/>
    <w:uiPriority w:val="0"/>
    <w:pPr>
      <w:keepNext w:val="0"/>
      <w:widowControl/>
      <w:snapToGrid w:val="0"/>
      <w:spacing w:before="0" w:after="100" w:line="276" w:lineRule="auto"/>
      <w:ind w:firstLine="0"/>
      <w:jc w:val="left"/>
    </w:pPr>
    <w:rPr>
      <w:rFonts w:ascii="Times New Roman" w:hAnsi="Times New Roman" w:eastAsia="宋体"/>
      <w:color w:val="000000"/>
      <w:sz w:val="20"/>
    </w:rPr>
  </w:style>
  <w:style w:type="paragraph" w:customStyle="1" w:styleId="20">
    <w:name w:val="MidtermReference"/>
    <w:basedOn w:val="1"/>
    <w:qFormat/>
    <w:uiPriority w:val="0"/>
    <w:pPr>
      <w:keepNext w:val="0"/>
      <w:widowControl/>
      <w:snapToGrid w:val="0"/>
      <w:spacing w:before="0" w:after="100" w:line="276" w:lineRule="auto"/>
      <w:ind w:firstLine="0"/>
      <w:jc w:val="both"/>
    </w:pPr>
    <w:rPr>
      <w:rFonts w:ascii="Times New Roman" w:hAnsi="Times New Roman" w:eastAsia="宋体"/>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glossaryDocument" Target="glossary/document.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header" Target="header2.xml"/><Relationship Id="rId10" Type="http://schemas.openxmlformats.org/officeDocument/2006/relationships/footer" Target="footer5.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5"/>
        <w:style w:val=""/>
        <w:category>
          <w:name w:val="常规"/>
          <w:gallery w:val="placeholder"/>
        </w:category>
        <w:types>
          <w:type w:val="bbPlcHdr"/>
        </w:types>
        <w:behaviors>
          <w:behavior w:val="content"/>
        </w:behaviors>
        <w:description w:val=""/>
        <w:guid w:val="{6F50CF51-7AD7-49ED-8B19-160E61C3BFFB}"/>
      </w:docPartPr>
      <w:docPartBody>
        <w:p w14:paraId="4A0BBC70">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9C0"/>
    <w:rsid w:val="001D2797"/>
    <w:rsid w:val="001F4A3B"/>
    <w:rsid w:val="003D79C0"/>
    <w:rsid w:val="00533362"/>
    <w:rsid w:val="00567C2A"/>
    <w:rsid w:val="00823925"/>
    <w:rsid w:val="008246C4"/>
    <w:rsid w:val="00B60326"/>
    <w:rsid w:val="00E43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Manager>培养办</Manager>
  <Company>研究生院</Company>
  <Pages>16</Pages>
  <Words>850</Words>
  <Characters>2199</Characters>
  <Lines>18</Lines>
  <Paragraphs>5</Paragraphs>
  <TotalTime>25</TotalTime>
  <ScaleCrop>false</ScaleCrop>
  <LinksUpToDate>false</LinksUpToDate>
  <CharactersWithSpaces>2540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2019-08-13T16:35:00Z</dcterms:created>
  <dc:creator>朱金霞</dc:creator>
  <cp:lastModifiedBy>haharrychen</cp:lastModifiedBy>
  <cp:lastPrinted>2004-10-27T09:21:00Z</cp:lastPrinted>
  <dcterms:modified xsi:type="dcterms:W3CDTF">2026-09-18T11:00:25Z</dcterms:modified>
  <dc:subject>过程管理-中期考核登记表</dc:subject>
  <dc:title>上海交通大学硕士学位研究生中期考核登记表</dc:title>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eyJoZGlkIjoiZDQ4YjdiYTUyNWY2NDk3MzcwYjM2MTE2ODE2YmU3MWEiLCJ1c2VySWQiOiIxMTA1ODQ4NyJ9</vt:lpwstr>
  </property>
  <property fmtid="{D5CDD505-2E9C-101B-9397-08002B2CF9AE}" pid="3" name="KSOProductBuildVer">
    <vt:lpwstr>2052-12.1.24031.24031</vt:lpwstr>
  </property>
  <property fmtid="{D5CDD505-2E9C-101B-9397-08002B2CF9AE}" pid="4" name="ICV">
    <vt:lpwstr>388ABF9421094897B94367B189038000_13</vt:lpwstr>
  </property>
</Properties>
</file>