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星迹智绘</w:t>
      </w:r>
    </w:p>
    <w:p>
      <w:pPr>
        <w:pStyle w:val="Title"/>
      </w:pPr>
      <w:r>
        <w:t>1000 笔预算绘画算法</w:t>
        <w:br/>
        <w:t>原理解析与 P6 程序整合</w:t>
      </w:r>
    </w:p>
    <w:p>
      <w:r>
        <w:t>技术说明 · 可供论文方法章节改写使用</w:t>
      </w:r>
    </w:p>
    <w:p>
      <w:r>
        <w:t>采用算法：residual-capsule-2-detail</w:t>
        <w:br/>
        <w:t>默认预算：1000 笔</w:t>
        <w:br/>
        <w:t>研究渲染适配：residual-capsule-2-detail-opaque</w:t>
        <w:br/>
        <w:t>编制日期：2026 年 9 月 10 日</w:t>
      </w:r>
    </w:p>
    <w:p>
      <w:r>
        <w:t>本文依据当前项目源码、已有工程验证数据和核验过的论文来源编写。公式是对项目实现的数学表达，不冒充参考论文的原始公式。所展示图片属于算法理想渲染，不是真人手绘，也不是实验有效性证据。</w:t>
      </w:r>
    </w:p>
    <w:p>
      <w:r>
        <w:t>排版借鉴用户提供的上海交通大学写作模板与撰写要求：A4、中文宋体/黑体、英文数字 Times New Roman、分级标题与连续图表编号。本文件是技术解析，非已完成的学位论文。</w:t>
      </w:r>
    </w:p>
    <w:p>
      <w:r>
        <w:br w:type="page"/>
      </w:r>
    </w:p>
    <w:p>
      <w:pPr>
        <w:pStyle w:val="Heading1"/>
      </w:pPr>
      <w:r>
        <w:t>阅读导航与结论</w:t>
      </w:r>
    </w:p>
    <w:p>
      <w:r>
        <w:t>1 任务定义与算法定位</w:t>
      </w:r>
    </w:p>
    <w:p>
      <w:r>
        <w:t>2 文献来源及借鉴边界</w:t>
      </w:r>
    </w:p>
    <w:p>
      <w:r>
        <w:t>3 系统结构与数据流</w:t>
      </w:r>
    </w:p>
    <w:p>
      <w:r>
        <w:t>4 输入预处理、残差及边缘权重</w:t>
      </w:r>
    </w:p>
    <w:p>
      <w:r>
        <w:t>5 笔触几何、透明度与颜色求解</w:t>
      </w:r>
    </w:p>
    <w:p>
      <w:r>
        <w:t>6 候选搜索、预算和尺度调度</w:t>
      </w:r>
    </w:p>
    <w:p>
      <w:r>
        <w:t>7 完整伪代码与参数表</w:t>
      </w:r>
    </w:p>
    <w:p>
      <w:r>
        <w:t>8 渲染、指导及研究数据的连接</w:t>
      </w:r>
    </w:p>
    <w:p>
      <w:r>
        <w:t>9 工程结果、可复现性及局限</w:t>
      </w:r>
    </w:p>
    <w:p>
      <w:r>
        <w:t>10 P6 全程序整合与验收</w:t>
      </w:r>
    </w:p>
    <w:p>
      <w:r>
        <w:t>11 论文写作建议与后续实验</w:t>
      </w:r>
    </w:p>
    <w:p>
      <w:r>
        <w:t>参考文献与复核清单</w:t>
      </w:r>
    </w:p>
    <w:p>
      <w:pPr>
        <w:pStyle w:val="Heading2"/>
      </w:pPr>
      <w:r>
        <w:t>核心结论</w:t>
      </w:r>
    </w:p>
    <w:p>
      <w:r>
        <w:t>本项目采用一种有预算约束的、由当前画布残差驱动的贪心笔触参数搜索方法。它从白纸开始，每轮比较候选笔触对目标误差的改善，选择较优笔触并立即更新模拟画布；默认最多尝试 1000 轮，只保存能改善误差且路径有效的笔触。因此实际输出可能略少于 1000。</w:t>
      </w:r>
    </w:p>
    <w:p>
      <w:r>
        <w:t>没有独立轮廓阶段，不把旧算法几千笔的前 1000 笔作为结果。1000 笔版本在 256 分辨率分析图上搜索，前约 300 轮逐渐减小笔刷，余下轮次主要修整。这里的“正式采用”指软件默认算法，不表示已经批准开展正式受试者实验。</w:t>
      </w:r>
    </w:p>
    <w:p>
      <w:r>
        <w:br w:type="page"/>
      </w:r>
    </w:p>
    <w:p>
      <w:pPr>
        <w:pStyle w:val="Heading1"/>
      </w:pPr>
      <w:r>
        <w:t>1 任务定义与算法定位</w:t>
      </w:r>
    </w:p>
    <w:p>
      <w:pPr>
        <w:pStyle w:val="Heading2"/>
      </w:pPr>
      <w:r>
        <w:t>1.1 面向零基础绘画者的目标</w:t>
      </w:r>
    </w:p>
    <w:p>
      <w:r>
        <w:t>产品希望降低“不知道第一笔画哪里”和“不知道下一步怎么继续”的操作负担。算法将图片转成有序动作，每个动作给出位置、方向、宽度和颜色。用户看到一笔的起点与终点，完成后继续下一笔；系统把生成计划、亲手落笔、指导完成和主观满意度分别记录。</w:t>
      </w:r>
    </w:p>
    <w:p>
      <w:r>
        <w:t>减少动作不必然增加精致程度；用户在 200 笔预览后认为不够精细，因此选择约 1000 笔。这个选择是本项目的设计迭代，不是已被实验验证的最优笔数。</w:t>
      </w:r>
    </w:p>
    <w:p>
      <w:pPr>
        <w:pStyle w:val="Heading2"/>
      </w:pPr>
      <w:r>
        <w:t>1.2 数学问题</w:t>
      </w:r>
    </w:p>
    <w:p>
      <w:pPr>
        <w:jc w:val="center"/>
      </w:pPr>
      <w:r>
        <w:rPr>
          <w:rFonts w:ascii="Cambria Math" w:hAnsi="Cambria Math"/>
          <w:sz w:val="20"/>
        </w:rPr>
        <w:t>S = (s₁, …, sₙ),  N ≤ B = 1000    （1）</w:t>
      </w:r>
    </w:p>
    <w:p>
      <w:pPr>
        <w:jc w:val="center"/>
      </w:pPr>
      <w:r>
        <w:rPr>
          <w:rFonts w:ascii="Cambria Math" w:hAnsi="Cambria Math"/>
          <w:sz w:val="20"/>
        </w:rPr>
        <w:t>寻找 S，使 L(T, Render(S)) 尽可能小    （2）</w:t>
      </w:r>
    </w:p>
    <w:p>
      <w:r>
        <w:t>T 表示目标图；S 表示按顺序执行的笔触序列；B 表示上限。实现使用单步贪心改善，既不是全局最优求解，也不是训练好的策略网络。它只考虑当前一笔造成的误差变化，没有保证未来所有笔触的联合最优。</w:t>
      </w:r>
    </w:p>
    <w:p>
      <w:pPr>
        <w:pStyle w:val="Heading2"/>
      </w:pPr>
      <w:r>
        <w:t>1.3 与旧实现的差别</w:t>
      </w:r>
    </w:p>
    <w:p>
      <w:r>
        <w:t>旧实现受 Hertzmann 多尺度绘画思想启发，但工程缓冲只记录中心线附近像素，同一层生成完后才更新。这导致候选重复覆盖。新版对完整圆头笔触范围计算混合结果，并在接受每一笔之后立刻更新画布。旧实现仍保留为比较函数，不能把它的工程缺陷归因于 Hertzmann 原论文。</w:t>
      </w:r>
    </w:p>
    <w:p>
      <w:r>
        <w:br w:type="page"/>
      </w:r>
    </w:p>
    <w:p>
      <w:pPr>
        <w:pStyle w:val="Heading1"/>
      </w:pPr>
      <w:r>
        <w:t>2 文献来源及借鉴边界</w:t>
      </w:r>
    </w:p>
    <w:p>
      <w:pPr>
        <w:pStyle w:val="Caption"/>
      </w:pPr>
      <w:r>
        <w:t>表 1 相关研究与项目采用方式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文献</w:t>
            </w:r>
          </w:p>
        </w:tc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可借鉴思想</w:t>
            </w:r>
          </w:p>
        </w:tc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本项目未实现部分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[1] Hertzmann，1998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由大到小、根据图像差异修整的笔触式绘画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没有复现论文完整曲线/风格系统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[2] Huang 等，2019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把绘画表示为有限笔触的序列决策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没有强化学习、训练数据或神经渲染器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[3] Zou 等，2021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将图像重建视为笔触参数搜索，比较目标与渲染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没有可微渲染、最优传输损失或神经风格迁移</w:t>
            </w:r>
          </w:p>
        </w:tc>
      </w:tr>
    </w:tbl>
    <w:p>
      <w:r>
        <w:t>[1] 通过多尺度曲线笔触建立手绘外观，逐渐使用较小笔刷修补与参考图不同的区域。本项目保留“渐进修整”的思路，但当前参数搜索的几何基本单元为圆头直线段。[1]</w:t>
      </w:r>
    </w:p>
    <w:p>
      <w:r>
        <w:t>[2] 将神经渲染器用于基于模型的强化学习，学习笔触的位置、颜色及序列规划。这为有限动作表达图像提供研究背景，不能用该论文的实验结果替代本项目的实测。[2]</w:t>
      </w:r>
    </w:p>
    <w:p>
      <w:r>
        <w:t>[3] 通过神经渲染和参数优化提高输入图与绘制结果的相似度，并研究参数搜索中的梯度问题。本项目采用独立 CPU 候选搜索，并未使用其网络或训练权重。[3]</w:t>
      </w:r>
    </w:p>
    <w:p>
      <w:pPr>
        <w:pStyle w:val="Heading2"/>
      </w:pPr>
      <w:r>
        <w:t>来源与原创性表述</w:t>
      </w:r>
    </w:p>
    <w:p>
      <w:r>
        <w:t>可以写“借鉴多尺度笔触式渲染和基于重建误差的参数优化思路，实现适合交互指导的预算约束规划器”。不宜写“复现了上述神经绘画模型”或“提出经验证优于现有模型的新算法”。文献的主要作用是支撑方法选择；后文具体公式、参数、接口与截图来自本项目实现。</w:t>
      </w:r>
    </w:p>
    <w:p>
      <w:r>
        <w:br w:type="page"/>
      </w:r>
    </w:p>
    <w:p>
      <w:pPr>
        <w:pStyle w:val="Heading1"/>
      </w:pPr>
      <w:r>
        <w:t>3 系统结构与数据流</w:t>
      </w:r>
    </w:p>
    <w:p>
      <w:pPr>
        <w:pStyle w:val="Caption"/>
      </w:pPr>
      <w:r>
        <w:t>表 2 当前数据流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步骤</w:t>
            </w:r>
          </w:p>
        </w:tc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输入 → 输出</w:t>
            </w:r>
          </w:p>
        </w:tc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实现位置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选图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图库/本地文件 → 规范化 RGBA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create、ImageUploader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计算调用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图像、预算、画布尺寸 → Worker 消息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painting-client.ts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预算优化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RGBA → 有序 StrokeDrawData[]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budget-strokes.ts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体验渲染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笔触序列 → 引导线和画笔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stroke-engine、PaintCanvas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研究适配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序列 → 带版本的 StrokePlan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stroke-planner.worker.ts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研究保存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材料/计划 → 哈希、冻结配置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api/studies、repository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研究执行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真实操作 → 事件/作品/问卷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ResearchDrawing、StudyCanvas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分析导出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两条件记录 → 配对报告/JSON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study/metrics、server/service</w:t>
            </w:r>
          </w:p>
        </w:tc>
      </w:tr>
    </w:tbl>
    <w:p>
      <w:r>
        <w:t>结构链：图片 → 白底合成与缩放 → 目标/当前画布 → 残差 → 候选搜索 → 拟合颜色 → 评价改善 → 接受与更新 → 下一轮 → 顺序指导。反馈从“接受与更新”返回“残差”；不是一次性生成所有笔触再排序。</w:t>
      </w:r>
    </w:p>
    <w:p>
      <w:r>
        <w:t>计算层不读取参与者信息。体验透明度为 0.85；研究共同画布采用不透明画笔，故研究规划以 1.0 拟合并在版本号加 opaque 后缀。两者都使用同一搜索方法，但不应期望产生完全相同的序列。</w:t>
      </w:r>
    </w:p>
    <w:p>
      <w:pPr>
        <w:pStyle w:val="Heading2"/>
      </w:pPr>
      <w:r>
        <w:t>本轮配置与后台线程整合</w:t>
      </w:r>
    </w:p>
    <w:p>
      <w:r>
        <w:t>stroke-config.ts 集中定义版本、默认/最大预算、分析分辨率和渲染透明度。原绘画入口通过 painting.worker.ts 运行，约每 20 轮报告一次计算进度；取消会终止 Worker。这个百分比是已尝试优化轮次，不是手绘完成度。</w:t>
      </w:r>
    </w:p>
    <w:p>
      <w:r>
        <w:br w:type="page"/>
      </w:r>
    </w:p>
    <w:p>
      <w:pPr>
        <w:pStyle w:val="Heading1"/>
      </w:pPr>
      <w:r>
        <w:t>4 输入预处理、残差及边缘权重</w:t>
      </w:r>
    </w:p>
    <w:p>
      <w:pPr>
        <w:pStyle w:val="Heading2"/>
      </w:pPr>
      <w:r>
        <w:t>4.1 像素预处理</w:t>
      </w:r>
    </w:p>
    <w:p>
      <w:r>
        <w:t>输入为宽、高和 RGBA 像素数组。透明像素先按白底合成。预算大于 200 时分析最长边最多为 256，否则最多为 128，小图片不强制放大。每个分析像素对其整数窗口中的源像素求平均。这是窗口平均近似，并非严格面积加权或语义保边缩放。</w:t>
      </w:r>
    </w:p>
    <w:p>
      <w:pPr>
        <w:jc w:val="center"/>
      </w:pPr>
      <w:r>
        <w:rPr>
          <w:rFonts w:ascii="Cambria Math" w:hAnsi="Cambria Math"/>
          <w:sz w:val="20"/>
        </w:rPr>
        <w:t>T = αsrc · Isrc + (1 − αsrc) · 1    （3）</w:t>
      </w:r>
    </w:p>
    <w:p>
      <w:r>
        <w:t>颜色数值按 0—1 归一化 RGB 存放，不执行线性光域变换或感知色差转换。平均色差更低未必意味着人眼认为更精美。初始画布 C₀ 的三个通道均为 1，即白纸。</w:t>
      </w:r>
    </w:p>
    <w:p>
      <w:pPr>
        <w:pStyle w:val="Heading2"/>
      </w:pPr>
      <w:r>
        <w:t>4.2 误差与边缘权重</w:t>
      </w:r>
    </w:p>
    <w:p>
      <w:pPr>
        <w:jc w:val="center"/>
      </w:pPr>
      <w:r>
        <w:rPr>
          <w:rFonts w:ascii="Cambria Math" w:hAnsi="Cambria Math"/>
          <w:sz w:val="20"/>
        </w:rPr>
        <w:t>eᵢ = Σc (Tᵢ,c − Cᵢ,c)²    （4）</w:t>
      </w:r>
    </w:p>
    <w:p>
      <w:pPr>
        <w:jc w:val="center"/>
      </w:pPr>
      <w:r>
        <w:rPr>
          <w:rFonts w:ascii="Cambria Math" w:hAnsi="Cambria Math"/>
          <w:sz w:val="20"/>
        </w:rPr>
        <w:t>wᵢ = 1 + min(2, Σc(|T右,c−T左,c| + |T下,c−T上,c|))    （5）</w:t>
      </w:r>
    </w:p>
    <w:p>
      <w:pPr>
        <w:jc w:val="center"/>
      </w:pPr>
      <w:r>
        <w:rPr>
          <w:rFonts w:ascii="Cambria Math" w:hAnsi="Cambria Math"/>
          <w:sz w:val="20"/>
        </w:rPr>
        <w:t>L(T,C) = Σᵢ wᵢ eᵢ    （6）</w:t>
      </w:r>
    </w:p>
    <w:p>
      <w:r>
        <w:t>内部像素的权重由相邻像素差构造，范围为 1—3，图像边界默认权重为 1。它提高局部对比变化区域的重要性，却不识别人脸、五官、文字或“主体”。白背景误差很小时，采样自然偏向尚未匹配的内容。</w:t>
      </w:r>
    </w:p>
    <w:p>
      <w:r>
        <w:t>每轮构建加权误差的累积分布，以确定性伪随机数抽样，并用二分搜索得到候选中心位置。权重不代表心理注意力；这里只是工程上可计算的局部变化指标。</w:t>
      </w:r>
    </w:p>
    <w:p>
      <w:r>
        <w:br w:type="page"/>
      </w:r>
    </w:p>
    <w:p>
      <w:pPr>
        <w:pStyle w:val="Heading1"/>
      </w:pPr>
      <w:r>
        <w:t>5 笔触几何、透明度与颜色求解</w:t>
      </w:r>
    </w:p>
    <w:p>
      <w:pPr>
        <w:pStyle w:val="Heading2"/>
      </w:pPr>
      <w:r>
        <w:t>5.1 几何表示与模拟</w:t>
      </w:r>
    </w:p>
    <w:p>
      <w:r>
        <w:t>候选由中心 (x,y)、方向 θ、长度 ℓ、宽度 b 构成。中心两侧沿 θ 各延伸 ℓ/2 得到端点，并裁剪到画布内。笔刷为圆头线段（胶囊形覆盖区），输出两个端点；不是轮廓多边形，也不是神经生成的纹理笔刷。</w:t>
      </w:r>
    </w:p>
    <w:p>
      <w:pPr>
        <w:jc w:val="center"/>
      </w:pPr>
      <w:r>
        <w:rPr>
          <w:rFonts w:ascii="Cambria Math" w:hAnsi="Cambria Math"/>
          <w:sz w:val="20"/>
        </w:rPr>
        <w:t>aᵢ = opacity · clip(b/2 + 0.5 − dist(i, segment), 0, 1)    （7）</w:t>
      </w:r>
    </w:p>
    <w:p>
      <w:pPr>
        <w:jc w:val="center"/>
      </w:pPr>
      <w:r>
        <w:rPr>
          <w:rFonts w:ascii="Cambria Math" w:hAnsi="Cambria Math"/>
          <w:sz w:val="20"/>
        </w:rPr>
        <w:t>C′ᵢ,c = (1 − aᵢ) Cᵢ,c + aᵢ q_c    （8）</w:t>
      </w:r>
    </w:p>
    <w:p>
      <w:r>
        <w:t>dist 使用像素中心到线段的最短距离。半像素过渡近似边缘抗锯齿，与 Canvas 的实际抗锯齿不是逐像素完全相同。仅遍历笔刷包围盒中 aᵢ&gt;0 的像素，提高计算效率。</w:t>
      </w:r>
    </w:p>
    <w:p>
      <w:pPr>
        <w:pStyle w:val="Heading2"/>
      </w:pPr>
      <w:r>
        <w:t>5.2 加权最小二乘颜色</w:t>
      </w:r>
    </w:p>
    <w:p>
      <w:pPr>
        <w:jc w:val="center"/>
      </w:pPr>
      <w:r>
        <w:rPr>
          <w:rFonts w:ascii="Cambria Math" w:hAnsi="Cambria Math"/>
          <w:sz w:val="20"/>
        </w:rPr>
        <w:t>q*c = clip( Σᵢ wᵢ aᵢ[Tᵢ,c−(1−aᵢ)Cᵢ,c] / Σᵢ wᵢ aᵢ², 0, 1 )    （9）</w:t>
      </w:r>
    </w:p>
    <w:p>
      <w:r>
        <w:t>固定几何后，对式（6）代入式（8），分别对每个颜色通道 q 求导，并令一阶导为零，即得式（9）的未裁剪解。分母是加权透明度平方和，分子是扣除现有画布贡献后的目标颜色需求。由于 q 被限制在 [0,1]，逐通道裁剪给出该固定几何问题的区间约束解。</w:t>
      </w:r>
    </w:p>
    <w:p>
      <w:r>
        <w:t>举例：目标灰度 0.4、已有画布 0.8、有效透明度 0.5，则拟合颜色为 0；混合后为 0.4。若直接取原图 0.4 作为笔色，混合结果是 0.6，因此根据已有画布求色可以减少重复涂抹。这个例子仅解释单像素，不代表整笔各像素都可同时精确匹配。</w:t>
      </w:r>
    </w:p>
    <w:p>
      <w:r>
        <w:br w:type="page"/>
      </w:r>
    </w:p>
    <w:p>
      <w:pPr>
        <w:pStyle w:val="Heading1"/>
      </w:pPr>
      <w:r>
        <w:t>6 候选搜索、预算和尺度调度</w:t>
      </w:r>
    </w:p>
    <w:p>
      <w:pPr>
        <w:pStyle w:val="Heading2"/>
      </w:pPr>
      <w:r>
        <w:t>6.1 单轮候选比较</w:t>
      </w:r>
    </w:p>
    <w:p>
      <w:r>
        <w:t>每轮采样 64 个候选：中心来自残差分布，角度随机取 [0,π)，宽度在当前尺度下抽样，长度与宽度关联且受对角线比例限制。每个候选先解颜色，再计算误差改善 ΔL=L(T,C)−L(T,C′)。选择改善最大的候选，而不是选择误差最大的像素就直接落笔。</w:t>
      </w:r>
    </w:p>
    <w:p>
      <w:r>
        <w:t>随后以当前最佳候选为中心进行 36 次局部扰动，前 18 次扰动幅度为 0.5、后 18 次为 0.18。位置、角度、宽度和长度均可变化；新候选只有改善更大时才替换当前最佳。该过程是贪心局部随机搜索，不是梯度下降。</w:t>
      </w:r>
    </w:p>
    <w:p>
      <w:pPr>
        <w:pStyle w:val="Heading2"/>
      </w:pPr>
      <w:r>
        <w:t>6.2 1000 笔版的尺度</w:t>
      </w:r>
    </w:p>
    <w:p>
      <w:pPr>
        <w:jc w:val="center"/>
      </w:pPr>
      <w:r>
        <w:rPr>
          <w:rFonts w:ascii="Cambria Math" w:hAnsi="Cambria Math"/>
          <w:sz w:val="20"/>
        </w:rPr>
        <w:t>bmax(n)=max(2, min(W,H)·[0.3·max(0,1−n/300)^1.5+0.012])    （10）</w:t>
      </w:r>
    </w:p>
    <w:p>
      <w:r>
        <w:t>式（10）对应默认 1000 轮，n 从 0 开始。约第 300 轮后大尺度项为零，余下轮次主要使用细笔。一般预算用 min(B,300) 替代 300；200 笔对照采用 0.035 的细尺度常量。颗粒度影响宽度随机分布，不改变预算上限。</w:t>
      </w:r>
    </w:p>
    <w:p>
      <w:pPr>
        <w:pStyle w:val="Heading2"/>
      </w:pPr>
      <w:r>
        <w:t>6.3 接受、拒绝及停止</w:t>
      </w:r>
    </w:p>
    <w:p>
      <w:r>
        <w:t>路径端点距离不超过分析图对角线 0.006 时判为无效；初始与扰动候选中心线长度限制在对角线的 0.55 以内。最佳改善不大于 10⁻⁷ 时不添加该笔，但继续下一轮，避免粗尺度失败吞掉后续细节预算。总加权误差低于 10⁻⁶ 则提前结束。</w:t>
      </w:r>
    </w:p>
    <w:p>
      <w:r>
        <w:t>上限约束的是尝试轮数，也是输出数的上界。被拒绝的轮次不补足，因此 1000 轮可以生成 996 笔。数值阈值针对当前分析 RGB 空间，是工程参数，不具有“学会绘画”的解释。</w:t>
      </w:r>
    </w:p>
    <w:p>
      <w:r>
        <w:br w:type="page"/>
      </w:r>
    </w:p>
    <w:p>
      <w:pPr>
        <w:pStyle w:val="Heading1"/>
      </w:pPr>
      <w:r>
        <w:t>7 完整伪代码与参数表</w:t>
      </w:r>
    </w:p>
    <w:p>
      <w:r>
        <w:t>输入：源图 I，画布宽高，预算 B，颗粒度，透明度</w:t>
      </w:r>
    </w:p>
    <w:p>
      <w:r>
        <w:t>1. 校验输入；白底合成并平均缩放到分析尺寸。</w:t>
      </w:r>
    </w:p>
    <w:p>
      <w:r>
        <w:t>2. 建立目标 T、全白画布 C、边缘权重 w、固定随机种子。</w:t>
      </w:r>
    </w:p>
    <w:p>
      <w:r>
        <w:t>3. 对 n=0…B−1：</w:t>
      </w:r>
    </w:p>
    <w:p>
      <w:r>
        <w:t xml:space="preserve">   3.1 计算加权误差及其累积分布；误差足够小则停止。</w:t>
      </w:r>
    </w:p>
    <w:p>
      <w:r>
        <w:t xml:space="preserve">   3.2 根据 n 计算候选尺度；抽样并评价 64 个候选。</w:t>
      </w:r>
    </w:p>
    <w:p>
      <w:r>
        <w:t xml:space="preserve">   3.3 对当前最佳候选执行 36 次局部扰动与颜色重拟合。</w:t>
      </w:r>
    </w:p>
    <w:p>
      <w:r>
        <w:t xml:space="preserve">   3.4 若改善不足则继续下一轮；否则混合整笔覆盖区到 C。</w:t>
      </w:r>
    </w:p>
    <w:p>
      <w:r>
        <w:t xml:space="preserve">   3.5 将该笔几何缩放到输出画布，按接受顺序追加。</w:t>
      </w:r>
    </w:p>
    <w:p>
      <w:r>
        <w:t>4. 返回序列；不打乱顺序，不按轮廓/色块重排。</w:t>
      </w:r>
    </w:p>
    <w:p>
      <w:pPr>
        <w:pStyle w:val="Caption"/>
      </w:pPr>
      <w:r>
        <w:t>表 3 关键默认参数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参数</w:t>
            </w:r>
          </w:p>
        </w:tc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值</w:t>
            </w:r>
          </w:p>
        </w:tc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预算 / 大预算分析边长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1000 / 256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动作上界 / 优化粒度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候选数 / 局部扰动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64 / 36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每轮约 100 次拟合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粗尺度长度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300 轮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后续偏向细笔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体验 / 研究透明度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0.85 / 1.0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分别匹配两个渲染器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种子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74921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固定伪随机序列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最短路径 / 最长路径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0.006 / 0.55 × 对角线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排除近点动作与过长动作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进度通知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每 20 轮及结束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只反映计算进度</w:t>
            </w:r>
          </w:p>
        </w:tc>
      </w:tr>
    </w:tbl>
    <w:p>
      <w:r>
        <w:t>粗略时间复杂度 O(B·[WH+100A])，A 为平均候选包围盒中的访问像素数；大笔时成本高，后期小笔时下降。基础缓冲为 O(WH)，输出为 O(B)，候选索引数组还有额外开销。这里不报告未经基准测试的固定内存量。</w:t>
      </w:r>
    </w:p>
    <w:p>
      <w:r>
        <w:br w:type="page"/>
      </w:r>
    </w:p>
    <w:p>
      <w:pPr>
        <w:pStyle w:val="Heading1"/>
      </w:pPr>
      <w:r>
        <w:t>8 渲染、指导及研究数据的连接</w:t>
      </w:r>
    </w:p>
    <w:p>
      <w:pPr>
        <w:pStyle w:val="Heading2"/>
      </w:pPr>
      <w:r>
        <w:t>8.1 体验模式</w:t>
      </w:r>
    </w:p>
    <w:p>
      <w:r>
        <w:t>选图及上传图通过 preparePainting 进入后台线程。DecomposeOptions 可携带预算、颗粒度、调色与进度回调；函数不能直接跨线程克隆，客户端先移除回调，Worker 将进度变成消息传回。当前画面离开、用户取消或重试时终止旧 Worker，避免旧结果覆盖新选择。</w:t>
      </w:r>
    </w:p>
    <w:p>
      <w:r>
        <w:t>优化输出包含 width、RGB 三元组和 points。drawStroke 使用圆头、圆角线段及默认 0.85 透明度。进入新一笔时同步算法宽度；起点/方向提示由指导系统显示。原体验可能含辅助绘画功能，这些能力不进入正式 A/B 共同画布。</w:t>
      </w:r>
    </w:p>
    <w:p>
      <w:pPr>
        <w:pStyle w:val="Heading2"/>
      </w:pPr>
      <w:r>
        <w:t>8.2 研究模式</w:t>
      </w:r>
    </w:p>
    <w:p>
      <w:r>
        <w:t>preparePlan 使用最长边 384 的材料尺寸，再由算法分析。输出 StrokePlan 包含算法版本、顺序编号、paint 阶段、颜色、宽度和路径。研究渲染按不透明画笔拟合；被试自己画下的路径不会自动变成理想笔触。传统条件和指导条件展示同一参考图，并使用同样的基础工具。</w:t>
      </w:r>
    </w:p>
    <w:p>
      <w:r>
        <w:t>后端对材料像素和完整计划分别求哈希。入组后不原地改材料或协议；已有旧版本资料不自动迁移。研究者在无入组的批次生成新材料、核对评分规则后保存，才进入相应发布流程。</w:t>
      </w:r>
    </w:p>
    <w:p>
      <w:pPr>
        <w:pStyle w:val="Heading2"/>
      </w:pPr>
      <w:r>
        <w:t>8.3 埋点与指标边界</w:t>
      </w:r>
    </w:p>
    <w:p>
      <w:r>
        <w:t>研究事件保留时间、顺序与动作摘要；逐点轨迹不作为默认行为 JSON 输出。算法生成 1000 笔不意味着用户真实画了 1000 笔；指导推进、实际落笔、撤销/重试与双人评分完成度均须分别统计。后台下载的预试执行卡包含版本、哈希、时限和执行事项，不包含参与者姓名或密码。</w:t>
      </w:r>
    </w:p>
    <w:p>
      <w:r>
        <w:br w:type="page"/>
      </w:r>
    </w:p>
    <w:p>
      <w:pPr>
        <w:pStyle w:val="Heading1"/>
      </w:pPr>
      <w:r>
        <w:t>9 工程结果、可复现性及局限</w:t>
      </w:r>
    </w:p>
    <w:p>
      <w:pPr>
        <w:pStyle w:val="Caption"/>
      </w:pPr>
      <w:r>
        <w:t>表 4 已保存的 200/1000 笔工程对比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fill="ECEAFE"/>
          </w:tcPr>
          <w:p>
            <w:pPr>
              <w:spacing w:after="60"/>
            </w:pPr>
            <w:r>
              <w:rPr>
                <w:sz w:val="18"/>
              </w:rPr>
              <w:t>材料</w:t>
            </w:r>
          </w:p>
        </w:tc>
        <w:tc>
          <w:tcPr>
            <w:tcW w:type="dxa" w:w="2268"/>
            <w:shd w:fill="ECEAFE"/>
          </w:tcPr>
          <w:p>
            <w:pPr>
              <w:spacing w:after="60"/>
            </w:pPr>
            <w:r>
              <w:rPr>
                <w:sz w:val="18"/>
              </w:rPr>
              <w:t>新笔数</w:t>
            </w:r>
          </w:p>
        </w:tc>
        <w:tc>
          <w:tcPr>
            <w:tcW w:type="dxa" w:w="2268"/>
            <w:shd w:fill="ECEAFE"/>
          </w:tcPr>
          <w:p>
            <w:pPr>
              <w:spacing w:after="60"/>
            </w:pPr>
            <w:r>
              <w:rPr>
                <w:sz w:val="18"/>
              </w:rPr>
              <w:t>200 笔 MAE</w:t>
            </w:r>
          </w:p>
        </w:tc>
        <w:tc>
          <w:tcPr>
            <w:tcW w:type="dxa" w:w="2268"/>
            <w:shd w:fill="ECEAFE"/>
          </w:tcPr>
          <w:p>
            <w:pPr>
              <w:spacing w:after="60"/>
            </w:pPr>
            <w:r>
              <w:rPr>
                <w:sz w:val="18"/>
              </w:rPr>
              <w:t>1000 笔 MAE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</w:pPr>
            <w:r>
              <w:rPr>
                <w:sz w:val="18"/>
              </w:rPr>
              <w:t>盆栽</w:t>
            </w:r>
          </w:p>
        </w:tc>
        <w:tc>
          <w:tcPr>
            <w:tcW w:type="dxa" w:w="2268"/>
          </w:tcPr>
          <w:p>
            <w:pPr>
              <w:spacing w:after="60"/>
            </w:pPr>
            <w:r>
              <w:rPr>
                <w:sz w:val="18"/>
              </w:rPr>
              <w:t>996</w:t>
            </w:r>
          </w:p>
        </w:tc>
        <w:tc>
          <w:tcPr>
            <w:tcW w:type="dxa" w:w="2268"/>
          </w:tcPr>
          <w:p>
            <w:pPr>
              <w:spacing w:after="60"/>
            </w:pPr>
            <w:r>
              <w:rPr>
                <w:sz w:val="18"/>
              </w:rPr>
              <w:t>4.88 / 255</w:t>
            </w:r>
          </w:p>
        </w:tc>
        <w:tc>
          <w:tcPr>
            <w:tcW w:type="dxa" w:w="2268"/>
          </w:tcPr>
          <w:p>
            <w:pPr>
              <w:spacing w:after="60"/>
            </w:pPr>
            <w:r>
              <w:rPr>
                <w:sz w:val="18"/>
              </w:rPr>
              <w:t>1.74 / 255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</w:pPr>
            <w:r>
              <w:rPr>
                <w:sz w:val="18"/>
              </w:rPr>
              <w:t>日出油画</w:t>
            </w:r>
          </w:p>
        </w:tc>
        <w:tc>
          <w:tcPr>
            <w:tcW w:type="dxa" w:w="2268"/>
          </w:tcPr>
          <w:p>
            <w:pPr>
              <w:spacing w:after="60"/>
            </w:pPr>
            <w:r>
              <w:rPr>
                <w:sz w:val="18"/>
              </w:rPr>
              <w:t>1000</w:t>
            </w:r>
          </w:p>
        </w:tc>
        <w:tc>
          <w:tcPr>
            <w:tcW w:type="dxa" w:w="2268"/>
          </w:tcPr>
          <w:p>
            <w:pPr>
              <w:spacing w:after="60"/>
            </w:pPr>
            <w:r>
              <w:rPr>
                <w:sz w:val="18"/>
              </w:rPr>
              <w:t>7.18 / 255</w:t>
            </w:r>
          </w:p>
        </w:tc>
        <w:tc>
          <w:tcPr>
            <w:tcW w:type="dxa" w:w="2268"/>
          </w:tcPr>
          <w:p>
            <w:pPr>
              <w:spacing w:after="60"/>
            </w:pPr>
            <w:r>
              <w:rPr>
                <w:sz w:val="18"/>
              </w:rPr>
              <w:t>5.43 / 255</w:t>
            </w:r>
          </w:p>
        </w:tc>
      </w:tr>
    </w:tbl>
    <w:p>
      <w:r>
        <w:t>数据来自 1000笔算法验证/对比数据.json。MAE 是白底实际渲染与原图的平均 RGB 绝对差，量纲为 0—255；损失优化采用加权平方误差，报告采用 MAE，二者不是同一个量。两张样例均改善，但样本不能支持普遍优越性。</w:t>
      </w:r>
    </w:p>
    <w:p>
      <w:r>
        <w:t>200 与 1000 的比较同时改变预算、分析分辨率及细尺度调度，因此不能把差异全部归因于笔数；它是产品版本比较。若论文需要算法消融，应固定其他参数再比较预算，并用足够多的不同题材报告误差、耗时与人工评价。</w:t>
      </w:r>
    </w:p>
    <w:p>
      <w:r>
        <w:t>固定输入像素、尺寸、预算、颗粒度、透明度与算法版本时，伪随机序列固定，可重复生成。不同浏览器的图片解码、抗锯齿或尺寸规范化可能不同，正式研究必须使用已冻结的计划及哈希，而不是只凭“固定种子”推断跨设备完全一致。</w:t>
      </w:r>
    </w:p>
    <w:p>
      <w:r>
        <w:t>剩余局限：局部搜索非全局最优；直线笔触表达弯曲边缘需多笔；没有语义识别；低分辨率可能丢小文字；像素误差不能判断美感。分析缓冲模拟与高分辨率真实渲染存在差别。</w:t>
      </w:r>
    </w:p>
    <w:p>
      <w:r>
        <w:br w:type="page"/>
      </w:r>
    </w:p>
    <w:p>
      <w:pPr>
        <w:pStyle w:val="Heading1"/>
      </w:pPr>
      <w:r>
        <w:t>9.1 示例：盆栽的实际算法效果</w:t>
      </w:r>
    </w:p>
    <w:p>
      <w:r>
        <w:t>以下为算法理想渲染，并非人类参与者作品。原图为项目工程夹具。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盆栽-200笔预算效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盆栽：200 笔预算效果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盆栽-新算法完整效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盆栽：1000 轮生成 996 笔效果</w:t>
      </w:r>
    </w:p>
    <w:p>
      <w:r>
        <w:br w:type="page"/>
      </w:r>
    </w:p>
    <w:p>
      <w:pPr>
        <w:pStyle w:val="Heading1"/>
      </w:pPr>
      <w:r>
        <w:t>9.2 示例：油画的实际算法效果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8000" cy="2882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日出油画-200笔预算效果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288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日出油画：200 笔预算效果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8000" cy="2882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日出油画-新算法完整效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288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日出油画：1000 笔效果</w:t>
      </w:r>
    </w:p>
    <w:p>
      <w:r>
        <w:t>原画素材来自项目现有图库，本图用于说明重建差别，不表示算法生成了与原作一致的精细纹理。</w:t>
      </w:r>
    </w:p>
    <w:p>
      <w:r>
        <w:br w:type="page"/>
      </w:r>
    </w:p>
    <w:p>
      <w:pPr>
        <w:pStyle w:val="Heading1"/>
      </w:pPr>
      <w:r>
        <w:t>10 P6 全程序整合与验收</w:t>
      </w:r>
    </w:p>
    <w:p>
      <w:pPr>
        <w:pStyle w:val="Caption"/>
      </w:pPr>
      <w:r>
        <w:t>表 5 本轮整合内容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模块</w:t>
            </w:r>
          </w:p>
        </w:tc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具体改造</w:t>
            </w:r>
          </w:p>
        </w:tc>
        <w:tc>
          <w:tcPr>
            <w:tcW w:type="dxa" w:w="3024"/>
            <w:shd w:fill="ECEAFE"/>
          </w:tcPr>
          <w:p>
            <w:pPr>
              <w:spacing w:after="60"/>
            </w:pPr>
            <w:r>
              <w:rPr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全局配置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统一版本、预算、尺寸、透明度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体验/研究/服务端约束一致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原绘画入口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Worker、计算进度、取消、重试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取消真的停止；旧结果不覆盖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研究材料生成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后台计算进度与取消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消息不是误当最终计划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研究后台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显示保存版本与计划哈希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旧材料不隐式升级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负担核对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展示笔数/时限及每笔可用秒数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不冒充完成时间预测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预试执行卡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下载版本、哈希、规则 JSON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8"/>
              </w:rPr>
              <w:t>不包含个人信息；非研究结果</w:t>
            </w:r>
          </w:p>
        </w:tc>
      </w:tr>
    </w:tbl>
    <w:p>
      <w:r>
        <w:t>本轮按原八阶段计划推进 P6 工程联调。P0—P5 的软件闭环已有基础，不能因此把 P6 的六人真实预试视为完成。P7 的正式冻结应在预试问题修复、真实设备与存储验证后进行。</w:t>
      </w:r>
    </w:p>
    <w:p>
      <w:r>
        <w:t>原实验时限为 720 秒，1000 笔平均分配只有 0.72 秒/笔，且还要观察、换色和操作。这是负担提示，不是预测。可以在预试发现问题后选更简单材料或调整协议时限；调整必须对两条件一致，并在正式入组前版本化，而不是临时延长某个人或某种条件。</w:t>
      </w:r>
    </w:p>
    <w:p>
      <w:r>
        <w:t>验收顺序：TypeScript → ESLint → 自动测试 → 生产构建 → 桌面/390px Worker 取消重试 → 研究 AB/BA 闭环。脚本使用隔离数据库，合成测试资料不得当作真人研究数据。当前不自动发布、推送或覆盖云环境。</w:t>
      </w:r>
    </w:p>
    <w:p>
      <w:r>
        <w:br w:type="page"/>
      </w:r>
    </w:p>
    <w:p>
      <w:pPr>
        <w:pStyle w:val="Heading1"/>
      </w:pPr>
      <w:r>
        <w:t>11 论文写作建议与后续实验</w:t>
      </w:r>
    </w:p>
    <w:p>
      <w:pPr>
        <w:pStyle w:val="Heading2"/>
      </w:pPr>
      <w:r>
        <w:t>11.1 可直接改写的方法段落</w:t>
      </w:r>
    </w:p>
    <w:p>
      <w:r>
        <w:t>为将参考图像转化为可逐步执行的绘画指导，本研究在多尺度笔触式渲染与基于重建误差的参数搜索思想基础上，实现一种预算约束的残差驱动笔触规划器。规划器以白色画布为初始状态，根据目标图像与当前画布的加权残差选择候选位置，并对笔触方向、长度及宽度进行搜索。对固定几何笔触，通过透明度混合模型求解加权最小二乘颜色，并选择误差改善较大的笔触更新画布。默认预算为 1000 轮，输出接受顺序即为指导顺序，不设置独立轮廓阶段。[1–3]</w:t>
      </w:r>
    </w:p>
    <w:p>
      <w:pPr>
        <w:pStyle w:val="Heading2"/>
      </w:pPr>
      <w:r>
        <w:t>11.2 可报告与不可报告</w:t>
      </w:r>
    </w:p>
    <w:p>
      <w:r>
        <w:t>可报告：算法参数、实际计划数、图像误差、计算耗时、系统记录与导出机制，以及工程样例结果。不可在未收集数据前报告“提高绘画意愿”“提高满意度”“降低焦虑”或“验证教学效果”；也不能把自动生成图等同于被试完成的画。</w:t>
      </w:r>
    </w:p>
    <w:p>
      <w:pPr>
        <w:pStyle w:val="Heading2"/>
      </w:pPr>
      <w:r>
        <w:t>11.3 保持实验简单</w:t>
      </w:r>
    </w:p>
    <w:p>
      <w:r>
        <w:t>维持同一参与者、同一材料的 AB/BA 对比，主要观察完成度和意愿，绘画时长、暂停、撤销与满意度作为辅助结果。先用真实预试核对材料和时间负担。算法比较与用户实验分开：前者研究理想重建质量，后者研究人在界面引导下的行为与体验。</w:t>
      </w:r>
    </w:p>
    <w:p>
      <w:r>
        <w:t>完成度仍由独立评分标准衡量；未完成作品保留，不把“指导走到最后一笔”作为达标。传统条件与指导条件的顺序练习效应应在论文讨论，不因使用同图而声称所有混杂均被消除。</w:t>
      </w:r>
    </w:p>
    <w:p>
      <w:r>
        <w:br w:type="page"/>
      </w:r>
    </w:p>
    <w:p>
      <w:pPr>
        <w:pStyle w:val="Heading1"/>
      </w:pPr>
      <w:r>
        <w:t>参考文献与复核清单</w:t>
      </w:r>
    </w:p>
    <w:p>
      <w:r>
        <w:t>[1] HERTZMANN A. Painterly rendering with curved brush strokes of multiple sizes[C]//Proceedings of SIGGRAPH 1998. 1998: 453–460. DOI: 10.1145/280814.280951. 作者项目页：https://mrl.cs.nyu.edu/publications/painterly98/ （访问日期：2026-09-10）.</w:t>
      </w:r>
    </w:p>
    <w:p>
      <w:r>
        <w:t>[2] HUANG Z, HENG W, ZHOU S. Learning to Paint With Model-Based Deep Reinforcement Learning[C]//Proceedings of the IEEE/CVF International Conference on Computer Vision. 2019: 8709–8718. arXiv:1903.04411. https://arxiv.org/abs/1903.04411 （访问日期：2026-09-10）.</w:t>
      </w:r>
    </w:p>
    <w:p>
      <w:r>
        <w:t>[3] ZOU Z, SHI T, QIU S, et al. Stylized Neural Painting[C]//Proceedings of the IEEE/CVF Conference on Computer Vision and Pattern Recognition. 2021: 15689–15698. arXiv:2011.08114. https://arxiv.org/abs/2011.08114 （访问日期：2026-09-10）.</w:t>
      </w:r>
    </w:p>
    <w:p>
      <w:r>
        <w:t>来源核验说明：Hertzmann 作者主页及 arXiv 作者/摘要页已读取；CVF 搜索索引可核验会议信息，直接打开部分 CVF 页面返回 403，因此同时提供可访问的 arXiv 来源。本文没有引用论文中的图像、长段原文或未经复核的定量结果。</w:t>
      </w:r>
    </w:p>
    <w:p>
      <w:pPr>
        <w:pStyle w:val="Heading2"/>
      </w:pPr>
      <w:r>
        <w:t>代码与材料复核</w:t>
      </w:r>
    </w:p>
    <w:p>
      <w:r>
        <w:t>src/lib/budget-strokes.ts</w:t>
        <w:br/>
        <w:t>SHA-256：c932be70bab0a672942b700d0d2a787d9124127b72c696c4ae3fb5a81db58591</w:t>
      </w:r>
    </w:p>
    <w:p>
      <w:r>
        <w:t>src/lib/stroke-config.ts</w:t>
        <w:br/>
        <w:t>SHA-256：49e107776c13ea85022307cf188197838f4521d98723b5ffed829d0321dcb6e3</w:t>
      </w:r>
    </w:p>
    <w:p>
      <w:r>
        <w:t>src/lib/stroke-engine.ts</w:t>
        <w:br/>
        <w:t>SHA-256：019b264c7ea6ae2dccffdf9930f5968e9200a9baac0ff6abbd4e075398fc4906</w:t>
      </w:r>
    </w:p>
    <w:p>
      <w:r>
        <w:t>src/lib/painting-client.ts</w:t>
        <w:br/>
        <w:t>SHA-256：04c8c16cf61e3b8925468512c6d43dfb53cfb1f6918c0d5198937fcebb131c52</w:t>
      </w:r>
    </w:p>
    <w:p>
      <w:r>
        <w:t>src/workers/painting.worker.ts</w:t>
        <w:br/>
        <w:t>SHA-256：49ac9df31840645503a05b7492ea1e44c50b48a3ea104523f1f17685cdf94850</w:t>
      </w:r>
    </w:p>
    <w:p>
      <w:r>
        <w:t>src/workers/stroke-planner.worker.ts</w:t>
        <w:br/>
        <w:t>SHA-256：97cb4dc66aae1d5410b3ab007edab5761b35b3d4f2f232cad14eebbd5308550c</w:t>
      </w:r>
    </w:p>
    <w:p>
      <w:r>
        <w:t>历史工程对比：论文/1000笔算法验证/对比数据.json、12张材料检查.json。脚本：tests/study/paint-budget.mjs、tests/study/browser.mjs。本说明生成后若代码参数变化，应同步修订版本、文件哈希与论文描述。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1417" w:bottom="2268" w:left="141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星迹智绘  |  算法技术解析与程序整合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723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723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23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Times New Roman" w:hAnsi="Times New Roman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4" w:lineRule="auto" w:after="120"/>
    </w:pPr>
    <w:rPr>
      <w:rFonts w:ascii="Times New Roman" w:hAnsi="Times New Roman" w:eastAsia="宋体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星迹智绘1000笔算法原理解析与P6程序整合</dc:title>
  <dc:subject>残差驱动预算笔触规划</dc:subject>
  <dc:creator>星迹智绘项目</dc:creator>
  <cp:keywords>笔触规划;残差;最小二乘;1000笔;P6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