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0"/>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3"/>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0"/>
          <w:rFonts w:eastAsia="仿宋_GB2312"/>
          <w:sz w:val="24"/>
        </w:rPr>
        <w:t>My SJTU</w:t>
      </w:r>
      <w:r>
        <w:rPr>
          <w:rStyle w:val="10"/>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permStart w:id="15" w:edGrp="everyone"/>
      <w:r>
        <w:rPr>
          <w:rFonts w:ascii="Times New Roman" w:hAnsi="Times New Roman" w:cs="Times New Roman"/>
          <w:b/>
          <w:sz w:val="24"/>
          <w:highlight w:val="yellow"/>
        </w:rPr>
        <w:t>本人承诺，中期检查报告正文中文字数</w:t>
      </w:r>
      <w:r>
        <w:rPr>
          <w:rFonts w:ascii="Times New Roman" w:hAnsi="Times New Roman" w:cs="Times New Roman"/>
          <w:sz w:val="24"/>
          <w:u w:val="single"/>
        </w:rPr>
        <w:t xml:space="preserve"> </w:t>
      </w:r>
      <w:r>
        <w:rPr>
          <w:rFonts w:ascii="Times New Roman" w:hAnsi="Times New Roman" w:cs="Times New Roman"/>
          <w:b/>
          <w:sz w:val="24"/>
          <w:u w:val="single"/>
        </w:rPr>
        <w:t xml:space="preserve">  </w:t>
      </w:r>
      <w:r>
        <w:rPr>
          <w:rFonts w:ascii="Times New Roman" w:hAnsi="Times New Roman" w:cs="Times New Roman"/>
          <w:sz w:val="24"/>
          <w:u w:val="single"/>
        </w:rPr>
        <w:t xml:space="preserve"> </w:t>
      </w:r>
      <w:r>
        <w:rPr>
          <w:rFonts w:ascii="Times New Roman" w:hAnsi="Times New Roman" w:cs="Times New Roman"/>
          <w:b/>
          <w:sz w:val="24"/>
          <w:highlight w:val="yellow"/>
        </w:rPr>
        <w:t xml:space="preserve">，英文字数 </w:t>
      </w:r>
      <w:r>
        <w:rPr>
          <w:rFonts w:ascii="Times New Roman" w:hAnsi="Times New Roman" w:cs="Times New Roman"/>
          <w:sz w:val="24"/>
          <w:highlight w:val="yellow"/>
          <w:u w:val="single"/>
        </w:rPr>
        <w:t xml:space="preserve"> </w:t>
      </w:r>
      <w:r>
        <w:rPr>
          <w:rFonts w:ascii="Times New Roman" w:hAnsi="Times New Roman" w:cs="Times New Roman"/>
          <w:b/>
          <w:sz w:val="24"/>
          <w:highlight w:val="yellow"/>
          <w:u w:val="single"/>
        </w:rPr>
        <w:t xml:space="preserve">   </w:t>
      </w:r>
      <w:r>
        <w:rPr>
          <w:rFonts w:ascii="Times New Roman" w:hAnsi="Times New Roman" w:cs="Times New Roman"/>
          <w:b/>
          <w:sz w:val="24"/>
          <w:highlight w:val="yellow"/>
        </w:rPr>
        <w:t>。若与事实不符，本人愿承担相应后果。</w:t>
      </w:r>
    </w:p>
    <w:p w14:paraId="2EA6B715">
      <w:pPr>
        <w:snapToGrid w:val="0"/>
        <w:ind w:firstLine="480" w:firstLineChars="200"/>
        <w:jc w:val="left"/>
        <w:rPr>
          <w:rFonts w:eastAsia="华文楷体"/>
          <w:sz w:val="24"/>
        </w:rPr>
      </w:pPr>
    </w:p>
    <w:p w14:paraId="1B3F6530">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一、研究目标与中期工作概况</w:t>
      </w:r>
    </w:p>
    <w:p w14:paraId="463FB7B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本课题围绕</w:t>
      </w:r>
      <w:r>
        <w:rPr>
          <w:rFonts w:hint="eastAsia" w:asciiTheme="minorEastAsia" w:hAnsiTheme="minorEastAsia" w:eastAsiaTheme="minorEastAsia" w:cstheme="minorEastAsia"/>
          <w:lang w:val="en-US" w:eastAsia="zh-CN"/>
        </w:rPr>
        <w:t>绘画初学者</w:t>
      </w:r>
      <w:r>
        <w:rPr>
          <w:rFonts w:hint="eastAsia" w:asciiTheme="minorEastAsia" w:hAnsiTheme="minorEastAsia" w:eastAsiaTheme="minorEastAsia" w:cstheme="minorEastAsia"/>
        </w:rPr>
        <w:t>的数字绘画体验展开，研究如何</w:t>
      </w:r>
      <w:r>
        <w:rPr>
          <w:rFonts w:hint="eastAsia" w:asciiTheme="minorEastAsia" w:hAnsiTheme="minorEastAsia" w:eastAsiaTheme="minorEastAsia" w:cstheme="minorEastAsia"/>
          <w:lang w:val="en-US" w:eastAsia="zh-CN"/>
        </w:rPr>
        <w:t>通过设计一款绘画交互系统，</w:t>
      </w:r>
      <w:r>
        <w:rPr>
          <w:rFonts w:hint="eastAsia" w:asciiTheme="minorEastAsia" w:hAnsiTheme="minorEastAsia" w:eastAsiaTheme="minorEastAsia" w:cstheme="minorEastAsia"/>
        </w:rPr>
        <w:t>将</w:t>
      </w:r>
      <w:r>
        <w:rPr>
          <w:rFonts w:hint="eastAsia" w:asciiTheme="minorEastAsia" w:hAnsiTheme="minorEastAsia" w:eastAsiaTheme="minorEastAsia" w:cstheme="minorEastAsia"/>
          <w:lang w:val="en-US" w:eastAsia="zh-CN"/>
        </w:rPr>
        <w:t>传统的已有图像</w:t>
      </w:r>
      <w:r>
        <w:rPr>
          <w:rFonts w:hint="eastAsia" w:asciiTheme="minorEastAsia" w:hAnsiTheme="minorEastAsia" w:eastAsiaTheme="minorEastAsia" w:cstheme="minorEastAsia"/>
        </w:rPr>
        <w:t>笔触</w:t>
      </w:r>
      <w:r>
        <w:rPr>
          <w:rFonts w:hint="eastAsia" w:asciiTheme="minorEastAsia" w:hAnsiTheme="minorEastAsia" w:eastAsiaTheme="minorEastAsia" w:cstheme="minorEastAsia"/>
          <w:lang w:val="en-US" w:eastAsia="zh-CN"/>
        </w:rPr>
        <w:t>拆解计算</w:t>
      </w:r>
      <w:r>
        <w:rPr>
          <w:rFonts w:hint="eastAsia" w:asciiTheme="minorEastAsia" w:hAnsiTheme="minorEastAsia" w:eastAsiaTheme="minorEastAsia" w:cstheme="minorEastAsia"/>
        </w:rPr>
        <w:t>表达转化为可理解、可执行的操作引导，帮助使用者开始绘画、持续推进并获得创作满足感。</w:t>
      </w:r>
    </w:p>
    <w:p w14:paraId="1D6C7057">
      <w:pPr>
        <w:pStyle w:val="16"/>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论文题目为“基于笔触拆解算法的数字绘画辅助系统交互设计研究——以‘星迹智绘’为例”。研究关注</w:t>
      </w:r>
      <w:r>
        <w:rPr>
          <w:rFonts w:hint="eastAsia" w:asciiTheme="minorEastAsia" w:hAnsiTheme="minorEastAsia" w:eastAsiaTheme="minorEastAsia" w:cstheme="minorEastAsia"/>
          <w:lang w:val="en-US" w:eastAsia="zh-CN"/>
        </w:rPr>
        <w:t>于绘画初学者进行电子绘画时的</w:t>
      </w:r>
      <w:r>
        <w:rPr>
          <w:rFonts w:hint="eastAsia" w:asciiTheme="minorEastAsia" w:hAnsiTheme="minorEastAsia" w:eastAsiaTheme="minorEastAsia" w:cstheme="minorEastAsia"/>
        </w:rPr>
        <w:t>“不会画、不想画、怕画不好”</w:t>
      </w:r>
      <w:r>
        <w:rPr>
          <w:rFonts w:hint="eastAsia" w:asciiTheme="minorEastAsia" w:hAnsiTheme="minorEastAsia" w:eastAsiaTheme="minorEastAsia" w:cstheme="minorEastAsia"/>
          <w:lang w:val="en-US" w:eastAsia="zh-CN"/>
        </w:rPr>
        <w:t>多种绘画难点于抵触点</w:t>
      </w:r>
      <w:r>
        <w:rPr>
          <w:rFonts w:hint="eastAsia" w:asciiTheme="minorEastAsia" w:hAnsiTheme="minorEastAsia" w:eastAsiaTheme="minorEastAsia" w:cstheme="minorEastAsia"/>
        </w:rPr>
        <w:t>，分别对应操作方法不明确、行动意愿不足以及对结果的不确定感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通过设计此绘画</w:t>
      </w:r>
      <w:r>
        <w:rPr>
          <w:rFonts w:hint="eastAsia" w:asciiTheme="minorEastAsia" w:hAnsiTheme="minorEastAsia" w:eastAsiaTheme="minorEastAsia" w:cstheme="minorEastAsia"/>
        </w:rPr>
        <w:t>系统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希望通过清晰的下一</w:t>
      </w:r>
      <w:r>
        <w:rPr>
          <w:rFonts w:hint="eastAsia" w:asciiTheme="minorEastAsia" w:hAnsiTheme="minorEastAsia" w:eastAsiaTheme="minorEastAsia" w:cstheme="minorEastAsia"/>
          <w:lang w:val="en-US" w:eastAsia="zh-CN"/>
        </w:rPr>
        <w:t>笔触交互</w:t>
      </w:r>
      <w:r>
        <w:rPr>
          <w:rFonts w:hint="eastAsia" w:asciiTheme="minorEastAsia" w:hAnsiTheme="minorEastAsia" w:eastAsiaTheme="minorEastAsia" w:cstheme="minorEastAsia"/>
        </w:rPr>
        <w:t>提示</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降低这些障碍</w:t>
      </w:r>
      <w:r>
        <w:rPr>
          <w:rFonts w:hint="eastAsia" w:asciiTheme="minorEastAsia" w:hAnsiTheme="minorEastAsia" w:eastAsiaTheme="minorEastAsia" w:cstheme="minorEastAsia"/>
          <w:lang w:eastAsia="zh-CN"/>
        </w:rPr>
        <w:t>。</w:t>
      </w:r>
    </w:p>
    <w:p w14:paraId="245068BA">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开题阶段</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本项目初步</w:t>
      </w:r>
      <w:r>
        <w:rPr>
          <w:rFonts w:hint="eastAsia" w:asciiTheme="minorEastAsia" w:hAnsiTheme="minorEastAsia" w:eastAsiaTheme="minorEastAsia" w:cstheme="minorEastAsia"/>
        </w:rPr>
        <w:t>确定了</w:t>
      </w:r>
      <w:r>
        <w:rPr>
          <w:rFonts w:hint="eastAsia" w:asciiTheme="minorEastAsia" w:hAnsiTheme="minorEastAsia" w:eastAsiaTheme="minorEastAsia" w:cstheme="minorEastAsia"/>
          <w:lang w:val="en-US" w:eastAsia="zh-CN"/>
        </w:rPr>
        <w:t>大致的</w:t>
      </w:r>
      <w:r>
        <w:rPr>
          <w:rFonts w:hint="eastAsia" w:asciiTheme="minorEastAsia" w:hAnsiTheme="minorEastAsia" w:eastAsiaTheme="minorEastAsia" w:cstheme="minorEastAsia"/>
        </w:rPr>
        <w:t>研究方向、问题意识和产品构想，尚未形成可运行的系统。</w:t>
      </w:r>
      <w:r>
        <w:rPr>
          <w:rFonts w:hint="eastAsia" w:asciiTheme="minorEastAsia" w:hAnsiTheme="minorEastAsia" w:eastAsiaTheme="minorEastAsia" w:cstheme="minorEastAsia"/>
          <w:lang w:val="en-US" w:eastAsia="zh-CN"/>
        </w:rPr>
        <w:t>后续</w:t>
      </w:r>
      <w:r>
        <w:rPr>
          <w:rFonts w:hint="eastAsia" w:asciiTheme="minorEastAsia" w:hAnsiTheme="minorEastAsia" w:eastAsiaTheme="minorEastAsia" w:cstheme="minorEastAsia"/>
        </w:rPr>
        <w:t>阶段工作主要集中于四个方面：</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搜集与梳理</w:t>
      </w:r>
      <w:r>
        <w:rPr>
          <w:rFonts w:hint="eastAsia" w:asciiTheme="minorEastAsia" w:hAnsiTheme="minorEastAsia" w:eastAsiaTheme="minorEastAsia" w:cstheme="minorEastAsia"/>
          <w:lang w:val="en-US" w:eastAsia="zh-CN"/>
        </w:rPr>
        <w:t>传统的</w:t>
      </w:r>
      <w:r>
        <w:rPr>
          <w:rFonts w:hint="eastAsia" w:asciiTheme="minorEastAsia" w:hAnsiTheme="minorEastAsia" w:eastAsiaTheme="minorEastAsia" w:cstheme="minorEastAsia"/>
        </w:rPr>
        <w:t>笔触式渲染及神经绘画相关算法；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融合方法思想并完成适合浏览器交互的笔触规划实现；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搭建选图、绘画、反馈和作品保存的交互流程及视觉界面；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开发支持对比实验的数据采集、研究管理和分析展示模块。目前已形成可操作、可演示的</w:t>
      </w:r>
      <w:r>
        <w:rPr>
          <w:rFonts w:hint="eastAsia" w:asciiTheme="minorEastAsia" w:hAnsiTheme="minorEastAsia" w:eastAsiaTheme="minorEastAsia" w:cstheme="minorEastAsia"/>
          <w:lang w:val="en-US" w:eastAsia="zh-CN"/>
        </w:rPr>
        <w:t>自研</w:t>
      </w:r>
      <w:r>
        <w:rPr>
          <w:rFonts w:hint="eastAsia" w:asciiTheme="minorEastAsia" w:hAnsiTheme="minorEastAsia" w:eastAsiaTheme="minorEastAsia" w:cstheme="minorEastAsia"/>
        </w:rPr>
        <w:t>“星迹智绘”网页原型，研究进入以真实使用检验设计的准备阶段。</w:t>
      </w:r>
    </w:p>
    <w:p w14:paraId="2E54F99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本研究将</w:t>
      </w:r>
      <w:r>
        <w:rPr>
          <w:rFonts w:hint="eastAsia" w:asciiTheme="minorEastAsia" w:hAnsiTheme="minorEastAsia" w:eastAsiaTheme="minorEastAsia" w:cstheme="minorEastAsia"/>
          <w:lang w:val="en-US" w:eastAsia="zh-CN"/>
        </w:rPr>
        <w:t>传统</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的前端应用化设计</w:t>
      </w:r>
      <w:r>
        <w:rPr>
          <w:rFonts w:hint="eastAsia" w:asciiTheme="minorEastAsia" w:hAnsiTheme="minorEastAsia" w:eastAsiaTheme="minorEastAsia" w:cstheme="minorEastAsia"/>
        </w:rPr>
        <w:t>、交互</w:t>
      </w:r>
      <w:r>
        <w:rPr>
          <w:rFonts w:hint="eastAsia" w:asciiTheme="minorEastAsia" w:hAnsiTheme="minorEastAsia" w:eastAsiaTheme="minorEastAsia" w:cstheme="minorEastAsia"/>
          <w:lang w:val="en-US" w:eastAsia="zh-CN"/>
        </w:rPr>
        <w:t>设计</w:t>
      </w:r>
      <w:r>
        <w:rPr>
          <w:rFonts w:hint="eastAsia" w:asciiTheme="minorEastAsia" w:hAnsiTheme="minorEastAsia" w:eastAsiaTheme="minorEastAsia" w:cstheme="minorEastAsia"/>
        </w:rPr>
        <w:t>和评价放在同一条研究主线上。算法提供有序的绘画动作</w:t>
      </w:r>
      <w:r>
        <w:rPr>
          <w:rFonts w:hint="eastAsia" w:asciiTheme="minorEastAsia" w:hAnsiTheme="minorEastAsia" w:eastAsiaTheme="minorEastAsia" w:cstheme="minorEastAsia"/>
          <w:lang w:val="en-US" w:eastAsia="zh-CN"/>
        </w:rPr>
        <w:t>规则与参数</w:t>
      </w:r>
      <w:r>
        <w:rPr>
          <w:rFonts w:hint="eastAsia" w:asciiTheme="minorEastAsia" w:hAnsiTheme="minorEastAsia" w:eastAsiaTheme="minorEastAsia" w:cstheme="minorEastAsia"/>
        </w:rPr>
        <w:t>，交互设计将位置、方向、颜色、宽度和进度转译为易于理解的提示，系统记录实际操作与主观反馈，后续实验再评价这种帮助是否有效。</w:t>
      </w:r>
    </w:p>
    <w:p w14:paraId="6A13FFE0">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该作品项目已完成云部署：</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"https://startrace-306119-11-1416317231.sh.run.tcloudbase.com/" </w:instrText>
      </w:r>
      <w:r>
        <w:rPr>
          <w:rFonts w:hint="eastAsia" w:asciiTheme="minorEastAsia" w:hAnsiTheme="minorEastAsia" w:eastAsiaTheme="minorEastAsia" w:cstheme="minorEastAsia"/>
        </w:rPr>
        <w:fldChar w:fldCharType="separate"/>
      </w:r>
      <w:r>
        <w:rPr>
          <w:rStyle w:val="10"/>
          <w:rFonts w:hint="eastAsia" w:asciiTheme="minorEastAsia" w:hAnsiTheme="minorEastAsia" w:eastAsiaTheme="minorEastAsia" w:cstheme="minorEastAsia"/>
        </w:rPr>
        <w:t>https://startrace-306119-11-1416317231.sh.run.tcloudbase.com/</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可在线体验。</w:t>
      </w:r>
    </w:p>
    <w:p w14:paraId="6C078ED0">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二、相关算法的搜集、理解与方法整合</w:t>
      </w:r>
    </w:p>
    <w:p w14:paraId="052264A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2.1 笔触式渲染的基础原理</w:t>
      </w:r>
    </w:p>
    <w:p w14:paraId="5A3F53D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Hertzmann提出的多尺度曲线笔触方法是本课题的重要基础文献</w:t>
      </w:r>
      <w:r>
        <w:rPr>
          <w:rFonts w:hint="eastAsia" w:asciiTheme="minorEastAsia" w:hAnsiTheme="minorEastAsia" w:eastAsiaTheme="minorEastAsia" w:cstheme="minorEastAsia"/>
          <w:lang w:val="en-US" w:eastAsia="zh-CN"/>
        </w:rPr>
        <w:t>与笔触序列拆解算法来源</w:t>
      </w:r>
      <w:r>
        <w:rPr>
          <w:rFonts w:hint="eastAsia" w:asciiTheme="minorEastAsia" w:hAnsiTheme="minorEastAsia" w:eastAsiaTheme="minorEastAsia" w:cstheme="minorEastAsia"/>
        </w:rPr>
        <w:t>[1]。该方法用较大的笔刷建立画面，再用逐渐缩小的笔刷修整与相应模糊参考图存在差异的区域；曲线沿图像梯度的垂直方向延伸，形成具有绘画感的笔迹。论文还把笔刷尺寸、曲率及颜色变化等组织为可调风格参数，为“将图像表示为动作序列”和“通过参数形成不同笔触外观”提供了方法参照。</w:t>
      </w:r>
    </w:p>
    <w:p w14:paraId="64A7ED6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在交互设计中，我重点区分了图像重建与人的绘画任务。自动渲染主要关心生成图像，逐笔指导还需要考虑笔数、寻找起点的难度、位置跳转与动作顺序。因而本项目以多尺度表达为基础，将有限动作预算、可预测的空间顺序以及每一步可显示的笔触参数纳入实现目标。</w:t>
      </w:r>
      <w:r>
        <w:rPr>
          <w:rFonts w:hint="eastAsia" w:asciiTheme="minorEastAsia" w:hAnsiTheme="minorEastAsia" w:eastAsiaTheme="minorEastAsia" w:cstheme="minorEastAsia"/>
          <w:lang w:val="en-US" w:eastAsia="zh-CN"/>
        </w:rPr>
        <w:t>参考</w:t>
      </w:r>
      <w:r>
        <w:rPr>
          <w:rFonts w:hint="eastAsia" w:asciiTheme="minorEastAsia" w:hAnsiTheme="minorEastAsia" w:eastAsiaTheme="minorEastAsia" w:cstheme="minorEastAsia"/>
        </w:rPr>
        <w:t>文献提供方法思想，具体的预算分配、扫描规则和界面提示则由本项目结合应用场景设计。</w:t>
      </w:r>
    </w:p>
    <w:p w14:paraId="7EAA298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2.2 神经绘画研究的参照价值</w:t>
      </w:r>
    </w:p>
    <w:p w14:paraId="47665C37">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1998年，</w:t>
      </w:r>
      <w:r>
        <w:rPr>
          <w:rFonts w:hint="eastAsia" w:asciiTheme="minorEastAsia" w:hAnsiTheme="minorEastAsia" w:eastAsiaTheme="minorEastAsia" w:cstheme="minorEastAsia"/>
        </w:rPr>
        <w:t>Huang等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将绘画描述为连续笔触决策，通过神经渲染器和基于模型的强化学习生成笔触序列[2]；</w:t>
      </w:r>
      <w:r>
        <w:rPr>
          <w:rFonts w:hint="eastAsia" w:asciiTheme="minorEastAsia" w:hAnsiTheme="minorEastAsia" w:eastAsiaTheme="minorEastAsia" w:cstheme="minorEastAsia"/>
          <w:lang w:val="en-US" w:eastAsia="zh-CN"/>
        </w:rPr>
        <w:t>2021年，</w:t>
      </w:r>
      <w:r>
        <w:rPr>
          <w:rFonts w:hint="eastAsia" w:asciiTheme="minorEastAsia" w:hAnsiTheme="minorEastAsia" w:eastAsiaTheme="minorEastAsia" w:cstheme="minorEastAsia"/>
        </w:rPr>
        <w:t>Zou</w:t>
      </w:r>
      <w:r>
        <w:rPr>
          <w:rFonts w:hint="eastAsia" w:asciiTheme="minorEastAsia" w:hAnsiTheme="minorEastAsia" w:eastAsiaTheme="minorEastAsia" w:cstheme="minorEastAsia"/>
          <w:lang w:val="en-US" w:eastAsia="zh-CN"/>
        </w:rPr>
        <w:t>Z</w:t>
      </w:r>
      <w:r>
        <w:rPr>
          <w:rFonts w:hint="eastAsia" w:asciiTheme="minorEastAsia" w:hAnsiTheme="minorEastAsia" w:eastAsiaTheme="minorEastAsia" w:cstheme="minorEastAsia"/>
        </w:rPr>
        <w: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将参数化笔触渲染与图像相似度优化相结合，讨论神经渲染及参数搜索问题[3]；</w:t>
      </w:r>
      <w:r>
        <w:rPr>
          <w:rFonts w:hint="eastAsia" w:asciiTheme="minorEastAsia" w:hAnsiTheme="minorEastAsia" w:eastAsiaTheme="minorEastAsia" w:cstheme="minorEastAsia"/>
          <w:lang w:val="en-US" w:eastAsia="zh-CN"/>
        </w:rPr>
        <w:t>2023年，</w:t>
      </w:r>
      <w:r>
        <w:rPr>
          <w:rFonts w:hint="eastAsia" w:asciiTheme="minorEastAsia" w:hAnsiTheme="minorEastAsia" w:eastAsiaTheme="minorEastAsia" w:cstheme="minorEastAsia"/>
        </w:rPr>
        <w:t>HU 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进一步区分“在哪里画”和“画什么”，通过动态预测绘画区域组织重建过程[4]。这三类研究帮助本课题理解有限笔触表达、参数优化反馈以及绘画区域组织之间的联系。</w:t>
      </w:r>
    </w:p>
    <w:p w14:paraId="2BBEC94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本课题的工作定位是</w:t>
      </w:r>
      <w:r>
        <w:rPr>
          <w:rFonts w:hint="eastAsia" w:asciiTheme="minorEastAsia" w:hAnsiTheme="minorEastAsia" w:eastAsiaTheme="minorEastAsia" w:cstheme="minorEastAsia"/>
          <w:b/>
          <w:bCs/>
        </w:rPr>
        <w:t>面向交互需求的算法适配与系统设计</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项目对</w:t>
      </w:r>
      <w:r>
        <w:rPr>
          <w:rFonts w:hint="eastAsia" w:asciiTheme="minorEastAsia" w:hAnsiTheme="minorEastAsia" w:eastAsiaTheme="minorEastAsia" w:cstheme="minorEastAsia"/>
          <w:lang w:val="en-US" w:eastAsia="zh-CN"/>
        </w:rPr>
        <w:t>上述</w:t>
      </w:r>
      <w:r>
        <w:rPr>
          <w:rFonts w:hint="eastAsia" w:asciiTheme="minorEastAsia" w:hAnsiTheme="minorEastAsia" w:eastAsiaTheme="minorEastAsia" w:cstheme="minorEastAsia"/>
        </w:rPr>
        <w:t>研究采用方法层面</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综合参照：保留可回放的参数化动作、以重建误差评价候选笔触，并明确组织区域访问顺序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采用显式搜索和解析颜色拟合。</w:t>
      </w:r>
    </w:p>
    <w:p w14:paraId="4A5129A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2.3 方法选择与系统结构</w:t>
      </w:r>
    </w:p>
    <w:p w14:paraId="3EBD1B0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此项目已</w:t>
      </w:r>
      <w:r>
        <w:rPr>
          <w:rFonts w:hint="eastAsia" w:asciiTheme="minorEastAsia" w:hAnsiTheme="minorEastAsia" w:eastAsiaTheme="minorEastAsia" w:cstheme="minorEastAsia"/>
        </w:rPr>
        <w:t>在浏览器</w:t>
      </w:r>
      <w:r>
        <w:rPr>
          <w:rFonts w:hint="eastAsia" w:asciiTheme="minorEastAsia" w:hAnsiTheme="minorEastAsia" w:eastAsiaTheme="minorEastAsia" w:cstheme="minorEastAsia"/>
          <w:lang w:val="en-US" w:eastAsia="zh-CN"/>
        </w:rPr>
        <w:t>web端</w:t>
      </w:r>
      <w:r>
        <w:rPr>
          <w:rFonts w:hint="eastAsia" w:asciiTheme="minorEastAsia" w:hAnsiTheme="minorEastAsia" w:eastAsiaTheme="minorEastAsia" w:cstheme="minorEastAsia"/>
        </w:rPr>
        <w:t>中完成规划</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可以让用户选图后直接获得绘画引导，也便于将取消、进度反馈和重新尝试纳入交互。当前</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方法</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rPr>
        <w:t xml:space="preserve">把输入图像转成一组包含起止点、宽度、颜色及遍次信息的笔触，由画布模块按顺序显示和绘制。计算过程放在Web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后台线程中，避免主要交互长时间被计算阻塞；研究模块则保存经过审核的参考图和计划，使同一批次的参与者使用一致材料。图1展示了从</w:t>
      </w:r>
      <w:r>
        <w:rPr>
          <w:rFonts w:hint="eastAsia" w:asciiTheme="minorEastAsia" w:hAnsiTheme="minorEastAsia" w:eastAsiaTheme="minorEastAsia" w:cstheme="minorEastAsia"/>
          <w:lang w:val="en-US" w:eastAsia="zh-CN"/>
        </w:rPr>
        <w:t>参考图像</w:t>
      </w:r>
      <w:r>
        <w:rPr>
          <w:rFonts w:hint="eastAsia" w:asciiTheme="minorEastAsia" w:hAnsiTheme="minorEastAsia" w:eastAsiaTheme="minorEastAsia" w:cstheme="minorEastAsia"/>
        </w:rPr>
        <w:t>输入到绘画指导、再到研究记录的结构。</w:t>
      </w:r>
    </w:p>
    <w:p w14:paraId="1BC08927">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  图像输入、笔触规划、绘画交互与研究记录的系统结构</w:t>
      </w:r>
    </w:p>
    <w:p w14:paraId="448D8CFA">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三、</w:t>
      </w:r>
      <w:r>
        <w:rPr>
          <w:rFonts w:hint="eastAsia" w:asciiTheme="minorEastAsia" w:hAnsiTheme="minorEastAsia" w:eastAsiaTheme="minorEastAsia" w:cstheme="minorEastAsia"/>
          <w:lang w:val="en-US" w:eastAsia="zh-CN"/>
        </w:rPr>
        <w:t>笔触拆解序列</w:t>
      </w:r>
      <w:r>
        <w:rPr>
          <w:rFonts w:hint="eastAsia" w:asciiTheme="minorEastAsia" w:hAnsiTheme="minorEastAsia" w:eastAsiaTheme="minorEastAsia" w:cstheme="minorEastAsia"/>
        </w:rPr>
        <w:t>有序规划算法实现</w:t>
      </w:r>
    </w:p>
    <w:p w14:paraId="1672065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3.1 有限预算与五遍尺度组织</w:t>
      </w:r>
    </w:p>
    <w:p w14:paraId="5DE2AE2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当前默认规划器从白色画布开始重新组织整幅图像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系统每次只接受能够改善目标误差且路径有效的笔触，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asciiTheme="minorEastAsia" w:hAnsiTheme="minorEastAsia" w:eastAsiaTheme="minorEastAsia" w:cstheme="minorEastAsia"/>
          <w:lang w:val="en-US" w:eastAsia="zh-CN"/>
        </w:rPr>
        <w:t>尽量</w:t>
      </w:r>
      <w:r>
        <w:rPr>
          <w:rFonts w:hint="eastAsia" w:asciiTheme="minorEastAsia" w:hAnsiTheme="minorEastAsia" w:eastAsiaTheme="minorEastAsia" w:cstheme="minorEastAsia"/>
        </w:rPr>
        <w:t>沿一条对角线排列。笔触可以跨越网格边界，其颜色拟合与误差评价始终基于同一张共享画布，</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避免把各块分别绘制后再硬性拼接。</w:t>
      </w:r>
    </w:p>
    <w:p w14:paraId="08C4AAD3">
      <w:pPr>
        <w:pStyle w:val="18"/>
        <w:keepNext/>
        <w:jc w:val="both"/>
        <w:rPr>
          <w:rFonts w:hint="eastAsia" w:asciiTheme="minorEastAsia" w:hAnsiTheme="minorEastAsia" w:eastAsiaTheme="minorEastAsia" w:cstheme="minorEastAsia"/>
        </w:rPr>
      </w:pPr>
    </w:p>
    <w:p w14:paraId="755AC699">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五遍规划的尺度与预算设置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遍次 / 用途</w:t>
            </w:r>
          </w:p>
        </w:tc>
        <w:tc>
          <w:tcPr>
            <w:tcW w:w="1871" w:type="dxa"/>
            <w:shd w:val="clear" w:color="auto" w:fill="ECEAFE"/>
          </w:tcPr>
          <w:p w14:paraId="3754CD27">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基准宽度</w:t>
            </w:r>
          </w:p>
        </w:tc>
        <w:tc>
          <w:tcPr>
            <w:tcW w:w="1871" w:type="dxa"/>
            <w:shd w:val="clear" w:color="auto" w:fill="ECEAFE"/>
          </w:tcPr>
          <w:p w14:paraId="7FE2455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网格</w:t>
            </w:r>
          </w:p>
        </w:tc>
        <w:tc>
          <w:tcPr>
            <w:tcW w:w="2891" w:type="dxa"/>
            <w:shd w:val="clear" w:color="auto" w:fill="ECEAFE"/>
          </w:tcPr>
          <w:p w14:paraId="5D95464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1000预算下尝试次数</w:t>
            </w:r>
          </w:p>
        </w:tc>
      </w:tr>
      <w:tr w14:paraId="4A2FA376">
        <w:trPr>
          <w:cantSplit/>
          <w:jc w:val="center"/>
        </w:trPr>
        <w:tc>
          <w:tcPr>
            <w:tcW w:w="2721" w:type="dxa"/>
          </w:tcPr>
          <w:p w14:paraId="71BDA4A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大色块</w:t>
            </w:r>
          </w:p>
        </w:tc>
        <w:tc>
          <w:tcPr>
            <w:tcW w:w="1871" w:type="dxa"/>
          </w:tcPr>
          <w:p w14:paraId="312A473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30</w:t>
            </w:r>
          </w:p>
        </w:tc>
        <w:tc>
          <w:tcPr>
            <w:tcW w:w="1871" w:type="dxa"/>
          </w:tcPr>
          <w:p w14:paraId="5FA5271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3</w:t>
            </w:r>
          </w:p>
        </w:tc>
        <w:tc>
          <w:tcPr>
            <w:tcW w:w="2891" w:type="dxa"/>
          </w:tcPr>
          <w:p w14:paraId="27289B3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60</w:t>
            </w:r>
          </w:p>
        </w:tc>
      </w:tr>
      <w:tr w14:paraId="16ED3115">
        <w:trPr>
          <w:cantSplit/>
          <w:jc w:val="center"/>
        </w:trPr>
        <w:tc>
          <w:tcPr>
            <w:tcW w:w="2721" w:type="dxa"/>
          </w:tcPr>
          <w:p w14:paraId="0FD0269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中色块</w:t>
            </w:r>
          </w:p>
        </w:tc>
        <w:tc>
          <w:tcPr>
            <w:tcW w:w="1871" w:type="dxa"/>
          </w:tcPr>
          <w:p w14:paraId="65F250B2">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16</w:t>
            </w:r>
          </w:p>
        </w:tc>
        <w:tc>
          <w:tcPr>
            <w:tcW w:w="1871" w:type="dxa"/>
          </w:tcPr>
          <w:p w14:paraId="6EEF1D8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4</w:t>
            </w:r>
          </w:p>
        </w:tc>
        <w:tc>
          <w:tcPr>
            <w:tcW w:w="2891" w:type="dxa"/>
          </w:tcPr>
          <w:p w14:paraId="6D13F771">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120</w:t>
            </w:r>
          </w:p>
        </w:tc>
      </w:tr>
      <w:tr w14:paraId="5FC7D6EA">
        <w:trPr>
          <w:cantSplit/>
          <w:jc w:val="center"/>
        </w:trPr>
        <w:tc>
          <w:tcPr>
            <w:tcW w:w="2721" w:type="dxa"/>
          </w:tcPr>
          <w:p w14:paraId="45AEC61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形体</w:t>
            </w:r>
          </w:p>
        </w:tc>
        <w:tc>
          <w:tcPr>
            <w:tcW w:w="1871" w:type="dxa"/>
          </w:tcPr>
          <w:p w14:paraId="5B2A328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8</w:t>
            </w:r>
          </w:p>
        </w:tc>
        <w:tc>
          <w:tcPr>
            <w:tcW w:w="1871" w:type="dxa"/>
          </w:tcPr>
          <w:p w14:paraId="302E2C4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5</w:t>
            </w:r>
          </w:p>
        </w:tc>
        <w:tc>
          <w:tcPr>
            <w:tcW w:w="2891" w:type="dxa"/>
          </w:tcPr>
          <w:p w14:paraId="2DF6BD0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220</w:t>
            </w:r>
          </w:p>
        </w:tc>
      </w:tr>
      <w:tr w14:paraId="450A0326">
        <w:trPr>
          <w:cantSplit/>
          <w:jc w:val="center"/>
        </w:trPr>
        <w:tc>
          <w:tcPr>
            <w:tcW w:w="2721" w:type="dxa"/>
          </w:tcPr>
          <w:p w14:paraId="6AE430A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小笔触</w:t>
            </w:r>
          </w:p>
        </w:tc>
        <w:tc>
          <w:tcPr>
            <w:tcW w:w="1871" w:type="dxa"/>
          </w:tcPr>
          <w:p w14:paraId="066FEE32">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w:t>
            </w:r>
          </w:p>
        </w:tc>
        <w:tc>
          <w:tcPr>
            <w:tcW w:w="1871" w:type="dxa"/>
          </w:tcPr>
          <w:p w14:paraId="6FDA934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5452BBBA">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280</w:t>
            </w:r>
          </w:p>
        </w:tc>
      </w:tr>
      <w:tr w14:paraId="111DC1B3">
        <w:trPr>
          <w:cantSplit/>
          <w:jc w:val="center"/>
        </w:trPr>
        <w:tc>
          <w:tcPr>
            <w:tcW w:w="2721" w:type="dxa"/>
          </w:tcPr>
          <w:p w14:paraId="04006E9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细节</w:t>
            </w:r>
          </w:p>
        </w:tc>
        <w:tc>
          <w:tcPr>
            <w:tcW w:w="1871" w:type="dxa"/>
          </w:tcPr>
          <w:p w14:paraId="39CB142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w:t>
            </w:r>
          </w:p>
        </w:tc>
        <w:tc>
          <w:tcPr>
            <w:tcW w:w="1871" w:type="dxa"/>
          </w:tcPr>
          <w:p w14:paraId="01E55E8D">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07D38AF5">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320</w:t>
            </w:r>
          </w:p>
        </w:tc>
      </w:tr>
    </w:tbl>
    <w:p w14:paraId="32C6C101">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注：宽度按分析图短边200像素换算；无收益候选跳过，尝试次数不等于最终接受笔数。</w:t>
      </w:r>
    </w:p>
    <w:p w14:paraId="1D26A7FD">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表1的宽度以分析图短边200像素为基准，再按实际尺寸换算。每遍的尝试次数按预算比例分配，区域内部则按当前加权残差分配数量：尚未表达充分的区域获得更多机会，已接近参考图的区域减少重复覆盖。图2用莫奈《日出·印象》的同一份规划结果展示五遍的累积重建，便于观察整体色彩、形体和细节逐渐形成的过程。</w:t>
      </w:r>
    </w:p>
    <w:p w14:paraId="7AA4DD5F">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719320" cy="3898900"/>
            <wp:effectExtent l="0" t="0" r="5080" b="12700"/>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719320" cy="3898900"/>
                    </a:xfrm>
                    <a:prstGeom prst="rect">
                      <a:avLst/>
                    </a:prstGeom>
                  </pic:spPr>
                </pic:pic>
              </a:graphicData>
            </a:graphic>
          </wp:inline>
        </w:drawing>
      </w:r>
    </w:p>
    <w:p w14:paraId="52AE4DFB">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图2  莫奈《日出·印象》的五遍累积重建效果</w:t>
      </w:r>
    </w:p>
    <w:p w14:paraId="51F67626">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四、交互流程与UI设计建设</w:t>
      </w:r>
    </w:p>
    <w:p w14:paraId="1BB7152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4.1 信息架构与创作入口</w:t>
      </w:r>
    </w:p>
    <w:p w14:paraId="590D47C2">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程序</w:t>
      </w:r>
      <w:r>
        <w:rPr>
          <w:rFonts w:hint="eastAsia" w:asciiTheme="minorEastAsia" w:hAnsiTheme="minorEastAsia" w:eastAsiaTheme="minorEastAsia" w:cstheme="minorEastAsia"/>
        </w:rPr>
        <w:t>已经建立首页、选图、绘画、作品查看、产品介绍及研究测试等主要页面。普通体验路径围绕“选择想画的图—获得有序笔触—亲手绘画—保存作品”组织；用户测试通过独立入口进入统一任务。首页突出“开始我的第一幅画”的主操作，将较长介绍默认折叠，减少初次进入时需要阅读的信息。产品介绍页面则承担完整功能说明、算法原理和文献来源展示，避免把技术细节集中放入绘画任务界面。</w:t>
      </w:r>
    </w:p>
    <w:p w14:paraId="247E5C85">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图3  星迹智绘首页与主要创作入口</w:t>
      </w:r>
    </w:p>
    <w:p w14:paraId="32D8287C">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注：当前程序截图；首页的长介绍默认收起。</w:t>
      </w:r>
    </w:p>
    <w:p w14:paraId="35D44C0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图既可以来自作品库，也可以由用户本地选择或拖拽上传。当前支持20MB以下的JPG、PNG等浏览器可解码图像，并提供文件检查、预览和加载反馈。用户可以先检查拆解后的预期效果，再决定是否进入绘画。对于参考图过于复杂或细节不足的情况，这一步能使目标更明确。自由画布允许直接绘画，不要求先挑选主题；它为不想跟随固定参考图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使用者保留</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自主表达</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空间。</w:t>
      </w:r>
    </w:p>
    <w:p w14:paraId="05A64562">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图4  图片上传</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精选临摹、自由画布</w:t>
      </w:r>
      <w:r>
        <w:rPr>
          <w:rFonts w:hint="eastAsia" w:asciiTheme="minorEastAsia" w:hAnsiTheme="minorEastAsia" w:eastAsiaTheme="minorEastAsia" w:cstheme="minorEastAsia"/>
        </w:rPr>
        <w:t>选择界面</w:t>
      </w:r>
    </w:p>
    <w:p w14:paraId="7C366F43">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注：当前程序截图；支持点击选图、拖拽上传和进入自由画布。</w:t>
      </w:r>
    </w:p>
    <w:p w14:paraId="6D65378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4.2 绘画中的提示、控制与反馈</w:t>
      </w:r>
    </w:p>
    <w:p w14:paraId="5A24367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与整幅画的形成过程建立联系。</w:t>
      </w:r>
    </w:p>
    <w:p w14:paraId="7B6EC9E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参考原图置于</w:t>
      </w:r>
      <w:r>
        <w:rPr>
          <w:rFonts w:hint="eastAsia" w:asciiTheme="minorEastAsia" w:hAnsiTheme="minorEastAsia" w:eastAsiaTheme="minorEastAsia" w:cstheme="minorEastAsia"/>
          <w:lang w:val="en-US" w:eastAsia="zh-CN"/>
        </w:rPr>
        <w:t>提示</w:t>
      </w:r>
      <w:r>
        <w:rPr>
          <w:rFonts w:hint="eastAsia" w:asciiTheme="minorEastAsia" w:hAnsiTheme="minorEastAsia" w:eastAsiaTheme="minorEastAsia" w:cstheme="minorEastAsia"/>
        </w:rPr>
        <w:t>面板中，按容器适配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图5  沿星迹绘画、参考原图与可移动提示面板</w:t>
      </w:r>
    </w:p>
    <w:p w14:paraId="7D0AE18A">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注：当前程序截图；图中画布为绘画起始状态，紫色区域表示待执行笔触。</w:t>
      </w:r>
    </w:p>
    <w:p w14:paraId="5560224C">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五、程序与实验平台的开发建设</w:t>
      </w:r>
    </w:p>
    <w:p w14:paraId="6FFC6E9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5.1 前后端与数据流程</w:t>
      </w:r>
    </w:p>
    <w:p w14:paraId="24A813E7">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程序以Next.js、React和TypeScript搭建页面与状态管理，浏览器Canvas承载参考图、引导和实际笔迹，Web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与研究任务采用不同的使用边界。普通体验允许自行选图、切换风格与观察自动续画；研究任务由研究者统一设置材料、工具能力和时限。同一研究码关联同一人的两轮任务，重复研究码会被提示，不作为进入任意已有记录的凭证。研究者工作台集中查看测试记录、材料状态和配对结果，参与者无需选择后台批次。实际测试是否开放由材料审核和批次发布状态控制，软件功能完成不等于某个研究批次已经开始招募。</w:t>
      </w:r>
    </w:p>
    <w:p w14:paraId="41F3FAF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5.2 已搭建的五步用户测试流程</w:t>
      </w:r>
    </w:p>
    <w:p w14:paraId="54E0056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与者侧的流程组织为“进入—熟悉工具—第一轮—第二轮—完成对比”。进入时说明用途、预计时间、保存内容与退出方式，并确认研究同意及参与条件。练习图自动准备，参与者主动开始90秒练习；每轮绘画前填写两道自评题，然后直接开始任务，避免在准备页面之间反复跳转。两轮之间安排休息，第二轮结束后显示配对结果，口头访谈由研究者在后台记录。图7概括了该流程与两种实验条件。</w:t>
      </w:r>
    </w:p>
    <w:p w14:paraId="2162D571">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575810" cy="3322320"/>
            <wp:effectExtent l="0" t="0" r="11430" b="0"/>
            <wp:docPr id="8" name="Picture 8" descr="图7 五步参与流程与两条件对比结构。依据当前程序绘制；展示的是研究方案与已实现流程，非已完成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7 五步参与流程与两条件对比结构。依据当前程序绘制；展示的是研究方案与已实现流程，非已完成实验。"/>
                    <pic:cNvPicPr>
                      <a:picLocks noChangeAspect="1"/>
                    </pic:cNvPicPr>
                  </pic:nvPicPr>
                  <pic:blipFill>
                    <a:blip r:embed="rId26"/>
                    <a:stretch>
                      <a:fillRect/>
                    </a:stretch>
                  </pic:blipFill>
                  <pic:spPr>
                    <a:xfrm>
                      <a:off x="0" y="0"/>
                      <a:ext cx="4575810" cy="3322320"/>
                    </a:xfrm>
                    <a:prstGeom prst="rect">
                      <a:avLst/>
                    </a:prstGeom>
                  </pic:spPr>
                </pic:pic>
              </a:graphicData>
            </a:graphic>
          </wp:inline>
        </w:drawing>
      </w:r>
    </w:p>
    <w:p w14:paraId="7AD50C6C">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6</w:t>
      </w:r>
      <w:r>
        <w:rPr>
          <w:rFonts w:hint="eastAsia" w:asciiTheme="minorEastAsia" w:hAnsiTheme="minorEastAsia" w:eastAsiaTheme="minorEastAsia" w:cstheme="minorEastAsia"/>
        </w:rPr>
        <w:t xml:space="preserve">  五步参与流程与两条件对比结构</w:t>
      </w:r>
    </w:p>
    <w:p w14:paraId="2CF95D5F">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354195" cy="3023870"/>
            <wp:effectExtent l="0" t="0" r="4445" b="8890"/>
            <wp:docPr id="9" name="Picture 9" descr="图8 研究参与说明、研究码与同意入口。截图来自隔离演示环境，不表示实际研究批次已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8 研究参与说明、研究码与同意入口。截图来自隔离演示环境，不表示实际研究批次已经发布。"/>
                    <pic:cNvPicPr>
                      <a:picLocks noChangeAspect="1"/>
                    </pic:cNvPicPr>
                  </pic:nvPicPr>
                  <pic:blipFill>
                    <a:blip r:embed="rId27"/>
                    <a:stretch>
                      <a:fillRect/>
                    </a:stretch>
                  </pic:blipFill>
                  <pic:spPr>
                    <a:xfrm>
                      <a:off x="0" y="0"/>
                      <a:ext cx="4354195" cy="3023870"/>
                    </a:xfrm>
                    <a:prstGeom prst="rect">
                      <a:avLst/>
                    </a:prstGeom>
                  </pic:spPr>
                </pic:pic>
              </a:graphicData>
            </a:graphic>
          </wp:inline>
        </w:drawing>
      </w:r>
    </w:p>
    <w:p w14:paraId="35D1F17E">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7</w:t>
      </w:r>
      <w:r>
        <w:rPr>
          <w:rFonts w:hint="eastAsia" w:asciiTheme="minorEastAsia" w:hAnsiTheme="minorEastAsia" w:eastAsiaTheme="minorEastAsia" w:cstheme="minorEastAsia"/>
        </w:rPr>
        <w:t xml:space="preserve">  研究参与说明、研究码与同意入口</w:t>
      </w:r>
    </w:p>
    <w:p w14:paraId="4F78268F">
      <w:pPr>
        <w:pStyle w:val="16"/>
        <w:rPr>
          <w:rFonts w:hint="eastAsia" w:asciiTheme="minorEastAsia" w:hAnsiTheme="minorEastAsia" w:eastAsiaTheme="minorEastAsia" w:cstheme="minorEastAsia"/>
        </w:rPr>
      </w:pPr>
    </w:p>
    <w:p w14:paraId="14BEBBF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采用同一参与者、同一参考图的两条件比较。A条件为参照图片进行普通数字绘画；B条件在相同基础画布上提供笔触序列与引导信息。系统分配AB或BA顺序，以平衡先后影响；两条件共用画笔、橡皮、撤销重做和图层等基础工具，均禁用自动续画与标准笔触替代。B条件包含位置、方向及参数建议，因此实验评价的是整套笔触引导交互，不单独归因于一根路径线。</w:t>
      </w:r>
    </w:p>
    <w:p w14:paraId="50771E28">
      <w:pPr>
        <w:pStyle w:val="16"/>
        <w:ind w:left="0" w:leftChars="0" w:firstLine="0" w:firstLineChars="0"/>
        <w:rPr>
          <w:rFonts w:hint="eastAsia" w:asciiTheme="minorEastAsia" w:hAnsiTheme="minorEastAsia" w:eastAsiaTheme="minorEastAsia" w:cstheme="minorEastAsia"/>
        </w:rPr>
      </w:pPr>
    </w:p>
    <w:p w14:paraId="68DC4558">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42205" cy="3432175"/>
            <wp:effectExtent l="0" t="0" r="10795" b="12065"/>
            <wp:docPr id="10" name="Picture 10" descr="图9 笔触引导条件下的研究任务界面。隔离演示环境截图；参与者实际作品与引导计划分别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9 笔触引导条件下的研究任务界面。隔离演示环境截图；参与者实际作品与引导计划分别记录。"/>
                    <pic:cNvPicPr>
                      <a:picLocks noChangeAspect="1"/>
                    </pic:cNvPicPr>
                  </pic:nvPicPr>
                  <pic:blipFill>
                    <a:blip r:embed="rId28"/>
                    <a:stretch>
                      <a:fillRect/>
                    </a:stretch>
                  </pic:blipFill>
                  <pic:spPr>
                    <a:xfrm>
                      <a:off x="0" y="0"/>
                      <a:ext cx="4942205" cy="3432175"/>
                    </a:xfrm>
                    <a:prstGeom prst="rect">
                      <a:avLst/>
                    </a:prstGeom>
                  </pic:spPr>
                </pic:pic>
              </a:graphicData>
            </a:graphic>
          </wp:inline>
        </w:drawing>
      </w:r>
    </w:p>
    <w:p w14:paraId="24ED32D0">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8</w:t>
      </w:r>
      <w:r>
        <w:rPr>
          <w:rFonts w:hint="eastAsia" w:asciiTheme="minorEastAsia" w:hAnsiTheme="minorEastAsia" w:eastAsiaTheme="minorEastAsia" w:cstheme="minorEastAsia"/>
        </w:rPr>
        <w:t xml:space="preserve">  笔触引导条件下的研究任务界面</w:t>
      </w:r>
    </w:p>
    <w:p w14:paraId="1FDBD6B3">
      <w:pPr>
        <w:pStyle w:val="16"/>
        <w:rPr>
          <w:rFonts w:hint="eastAsia" w:asciiTheme="minorEastAsia" w:hAnsiTheme="minorEastAsia" w:eastAsiaTheme="minorEastAsia" w:cstheme="minorEastAsia"/>
        </w:rPr>
      </w:pPr>
    </w:p>
    <w:p w14:paraId="6788733F">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每轮设置12分钟上限，轮间休息2分钟，两轮前后均采集简短感受。前测关注再次绘画意愿和担心画不好，后测再加入体验满足感及完成类似任务的信心，采用七级回答并允许不回答。题目是围绕本项目目标编写的简短自评，尚不能视为已验证的标准心理量表。正式采集前还需通过预试检查语言是否容易理解、任务是否过长以及参与者是否把引导当作必须全部完成的考核。</w:t>
      </w:r>
    </w:p>
    <w:p w14:paraId="10DA067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5.3 数据埋点、评分与可视化</w:t>
      </w:r>
    </w:p>
    <w:p w14:paraId="0550814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系统已建立任务开始与结束、落笔、撤销、引导推进、休息、页面切换和系统阻塞等事件记录，并将行为摘要、作品和问卷关联到同一轮次。记录支持服务端保存、失败重试及导出；后台可逐份查看测试，进行配对分析、独立作品评分和问题复盘。</w:t>
      </w:r>
    </w:p>
    <w:p w14:paraId="3804ED12">
      <w:pPr>
        <w:pStyle w:val="18"/>
        <w:keepNext/>
        <w:spacing w:before="120"/>
        <w:rPr>
          <w:rFonts w:hint="eastAsia" w:asciiTheme="minorEastAsia" w:hAnsiTheme="minorEastAsia" w:eastAsiaTheme="minorEastAsia" w:cstheme="minorEastAsia"/>
        </w:rPr>
      </w:pPr>
    </w:p>
    <w:p w14:paraId="7A9CAEF4">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34585" cy="3427095"/>
            <wp:effectExtent l="0" t="0" r="3175" b="1905"/>
            <wp:docPr id="11" name="Picture 11" descr="图10 研究者工作台、测试记录与材料配置。页面中的一份记录为合成演示；不是真人预试人数或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10 研究者工作台、测试记录与材料配置。页面中的一份记录为合成演示；不是真人预试人数或实验结果。"/>
                    <pic:cNvPicPr>
                      <a:picLocks noChangeAspect="1"/>
                    </pic:cNvPicPr>
                  </pic:nvPicPr>
                  <pic:blipFill>
                    <a:blip r:embed="rId29"/>
                    <a:stretch>
                      <a:fillRect/>
                    </a:stretch>
                  </pic:blipFill>
                  <pic:spPr>
                    <a:xfrm>
                      <a:off x="0" y="0"/>
                      <a:ext cx="4934585" cy="3427095"/>
                    </a:xfrm>
                    <a:prstGeom prst="rect">
                      <a:avLst/>
                    </a:prstGeom>
                  </pic:spPr>
                </pic:pic>
              </a:graphicData>
            </a:graphic>
          </wp:inline>
        </w:drawing>
      </w:r>
    </w:p>
    <w:p w14:paraId="198736C0">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9</w:t>
      </w:r>
      <w:r>
        <w:rPr>
          <w:rFonts w:hint="eastAsia" w:asciiTheme="minorEastAsia" w:hAnsiTheme="minorEastAsia" w:eastAsiaTheme="minorEastAsia" w:cstheme="minorEastAsia"/>
        </w:rPr>
        <w:t xml:space="preserve">  研究者工作台、测试记录与材料配置</w:t>
      </w:r>
    </w:p>
    <w:p w14:paraId="2A217E8B">
      <w:pPr>
        <w:pStyle w:val="18"/>
        <w:keepNext/>
        <w:rPr>
          <w:rFonts w:hint="eastAsia" w:asciiTheme="minorEastAsia" w:hAnsiTheme="minorEastAsia" w:eastAsiaTheme="minorEastAsia" w:cstheme="minorEastAsia"/>
        </w:rPr>
      </w:pPr>
    </w:p>
    <w:p w14:paraId="55881072">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表3  研究目标与已实现测量口径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1CDD4259">
        <w:trPr>
          <w:cantSplit/>
          <w:tblHeader/>
          <w:jc w:val="center"/>
        </w:trPr>
        <w:tc>
          <w:tcPr>
            <w:tcW w:w="1757" w:type="dxa"/>
            <w:shd w:val="clear" w:color="auto" w:fill="ECEAFE"/>
          </w:tcPr>
          <w:p w14:paraId="1720FEB0">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研究目标</w:t>
            </w:r>
          </w:p>
        </w:tc>
        <w:tc>
          <w:tcPr>
            <w:tcW w:w="2948" w:type="dxa"/>
            <w:shd w:val="clear" w:color="auto" w:fill="ECEAFE"/>
          </w:tcPr>
          <w:p w14:paraId="70B8A905">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主要记录</w:t>
            </w:r>
          </w:p>
        </w:tc>
        <w:tc>
          <w:tcPr>
            <w:tcW w:w="4649" w:type="dxa"/>
            <w:shd w:val="clear" w:color="auto" w:fill="ECEAFE"/>
          </w:tcPr>
          <w:p w14:paraId="6FF98098">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解释与限制</w:t>
            </w:r>
          </w:p>
        </w:tc>
      </w:tr>
      <w:tr w14:paraId="6D589AA8">
        <w:trPr>
          <w:cantSplit/>
          <w:jc w:val="center"/>
        </w:trPr>
        <w:tc>
          <w:tcPr>
            <w:tcW w:w="1757" w:type="dxa"/>
          </w:tcPr>
          <w:p w14:paraId="27738D4D">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愿意开始与再次绘画</w:t>
            </w:r>
          </w:p>
        </w:tc>
        <w:tc>
          <w:tcPr>
            <w:tcW w:w="2948" w:type="dxa"/>
          </w:tcPr>
          <w:p w14:paraId="2595A41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首次有效落笔等待；每轮前后意愿自评</w:t>
            </w:r>
          </w:p>
        </w:tc>
        <w:tc>
          <w:tcPr>
            <w:tcW w:w="4649" w:type="dxa"/>
          </w:tcPr>
          <w:p w14:paraId="7F325BE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等待是启动行为指标；意愿不是长期实际练习频次。</w:t>
            </w:r>
          </w:p>
        </w:tc>
      </w:tr>
      <w:tr w14:paraId="0FFEEEBC">
        <w:trPr>
          <w:cantSplit/>
          <w:jc w:val="center"/>
        </w:trPr>
        <w:tc>
          <w:tcPr>
            <w:tcW w:w="1757" w:type="dxa"/>
          </w:tcPr>
          <w:p w14:paraId="14A0146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绘画推进与速度</w:t>
            </w:r>
          </w:p>
        </w:tc>
        <w:tc>
          <w:tcPr>
            <w:tcW w:w="2948" w:type="dxa"/>
          </w:tcPr>
          <w:p w14:paraId="7D7743A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开始/结束时间；有效绘画时长；结束原因</w:t>
            </w:r>
          </w:p>
        </w:tc>
        <w:tc>
          <w:tcPr>
            <w:tcW w:w="4649" w:type="dxa"/>
          </w:tcPr>
          <w:p w14:paraId="6C205C3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耗时必须结合完成度；超时、主动结束与技术退出分别解释。</w:t>
            </w:r>
          </w:p>
        </w:tc>
      </w:tr>
      <w:tr w14:paraId="71883034">
        <w:trPr>
          <w:cantSplit/>
          <w:jc w:val="center"/>
        </w:trPr>
        <w:tc>
          <w:tcPr>
            <w:tcW w:w="1757" w:type="dxa"/>
          </w:tcPr>
          <w:p w14:paraId="62BB62E0">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过程中的停顿</w:t>
            </w:r>
          </w:p>
        </w:tc>
        <w:tc>
          <w:tcPr>
            <w:tcW w:w="2948" w:type="dxa"/>
          </w:tcPr>
          <w:p w14:paraId="33D927E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有效落笔间≥5秒停顿；休息/隐藏/阻塞</w:t>
            </w:r>
          </w:p>
        </w:tc>
        <w:tc>
          <w:tcPr>
            <w:tcW w:w="4649" w:type="dxa"/>
          </w:tcPr>
          <w:p w14:paraId="133981B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停顿不等于困难；首次等待与末次落笔后间隔另计。</w:t>
            </w:r>
          </w:p>
        </w:tc>
      </w:tr>
      <w:tr w14:paraId="05450BA3">
        <w:trPr>
          <w:cantSplit/>
          <w:jc w:val="center"/>
        </w:trPr>
        <w:tc>
          <w:tcPr>
            <w:tcW w:w="1757" w:type="dxa"/>
          </w:tcPr>
          <w:p w14:paraId="39C7186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作品完成情况</w:t>
            </w:r>
          </w:p>
        </w:tc>
        <w:tc>
          <w:tcPr>
            <w:tcW w:w="2948" w:type="dxa"/>
          </w:tcPr>
          <w:p w14:paraId="3485B6A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共同十项清单；两位评分者独立评分</w:t>
            </w:r>
          </w:p>
        </w:tc>
        <w:tc>
          <w:tcPr>
            <w:tcW w:w="4649" w:type="dxa"/>
          </w:tcPr>
          <w:p w14:paraId="3EFBA25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每项0/1/2分，换算百分制后平均；与引导进度分离。</w:t>
            </w:r>
          </w:p>
        </w:tc>
      </w:tr>
      <w:tr w14:paraId="5BE3EDAC">
        <w:trPr>
          <w:cantSplit/>
          <w:jc w:val="center"/>
        </w:trPr>
        <w:tc>
          <w:tcPr>
            <w:tcW w:w="1757" w:type="dxa"/>
          </w:tcPr>
          <w:p w14:paraId="4857C31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担忧、满足与信心</w:t>
            </w:r>
          </w:p>
        </w:tc>
        <w:tc>
          <w:tcPr>
            <w:tcW w:w="2948" w:type="dxa"/>
          </w:tcPr>
          <w:p w14:paraId="2983D9C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两题前测、四题后测；七级自评</w:t>
            </w:r>
          </w:p>
        </w:tc>
        <w:tc>
          <w:tcPr>
            <w:tcW w:w="4649" w:type="dxa"/>
          </w:tcPr>
          <w:p w14:paraId="0EA9D2C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项目自编题目；可不回答，不作为已验证心理量表。</w:t>
            </w:r>
          </w:p>
        </w:tc>
      </w:tr>
      <w:tr w14:paraId="6B9DA2D6">
        <w:trPr>
          <w:cantSplit/>
          <w:jc w:val="center"/>
        </w:trPr>
        <w:tc>
          <w:tcPr>
            <w:tcW w:w="1757" w:type="dxa"/>
          </w:tcPr>
          <w:p w14:paraId="76568997">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过程解释与数据完整性</w:t>
            </w:r>
          </w:p>
        </w:tc>
        <w:tc>
          <w:tcPr>
            <w:tcW w:w="2948" w:type="dxa"/>
          </w:tcPr>
          <w:p w14:paraId="1FDAE83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落笔、撤销、推进、问卷、作品、访谈</w:t>
            </w:r>
          </w:p>
        </w:tc>
        <w:tc>
          <w:tcPr>
            <w:tcW w:w="4649" w:type="dxa"/>
          </w:tcPr>
          <w:p w14:paraId="55ECE20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研究者录入口头访谈；JSON与后端记录支持核对。</w:t>
            </w:r>
          </w:p>
        </w:tc>
      </w:tr>
    </w:tbl>
    <w:p w14:paraId="0B665942">
      <w:pPr>
        <w:pStyle w:val="16"/>
        <w:rPr>
          <w:rFonts w:hint="eastAsia" w:asciiTheme="minorEastAsia" w:hAnsiTheme="minorEastAsia" w:eastAsiaTheme="minorEastAsia" w:cstheme="minorEastAsia"/>
        </w:rPr>
      </w:pPr>
    </w:p>
    <w:p w14:paraId="0593C8F4">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停顿在当前程序中有明确口径：相邻两次有效非橡皮落笔之间的间隔达到5秒，且不与页面隐藏、主动休息或系统阻塞重叠，才计入停顿。首次落笔前的等待和结束前的尾段另行记录，不能混在同一种停顿指标里。这样可以区分观察思考、主动暂停与技术等待，但仍不能仅凭日志推断参与者的心理原因，需要结合口头访谈解释。</w:t>
      </w:r>
    </w:p>
    <w:p w14:paraId="7227824B">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作品完成度依据共同的十项内容清单，由两位评分者独立按0、1、2分评分，并换算为百分制平均值；关键主体项目另设基本要求。它与引导进度、匹配数量及算法覆盖率分别保存。研究者可以配置与参考图对应的评分清单，正式实验前应固定评分规则并检查一致性。导出的结构化JSON与后端保存记录可用于追溯，报告中的缺失值保留为空，不用零分替代未完成的评分。</w:t>
      </w:r>
    </w:p>
    <w:p w14:paraId="2981E730">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657215" cy="3660775"/>
            <wp:effectExtent l="0" t="0" r="12065" b="12065"/>
            <wp:docPr id="12" name="Picture 12" descr="图11 两轮绘画的指标对比与过程时间线。仅为隔离环境的合成记录展示，计时经过加速且作品未评分；不用于任何效果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11 两轮绘画的指标对比与过程时间线。仅为隔离环境的合成记录展示，计时经过加速且作品未评分；不用于任何效果结论。"/>
                    <pic:cNvPicPr>
                      <a:picLocks noChangeAspect="1"/>
                    </pic:cNvPicPr>
                  </pic:nvPicPr>
                  <pic:blipFill>
                    <a:blip r:embed="rId30"/>
                    <a:stretch>
                      <a:fillRect/>
                    </a:stretch>
                  </pic:blipFill>
                  <pic:spPr>
                    <a:xfrm>
                      <a:off x="0" y="0"/>
                      <a:ext cx="5657215" cy="3660775"/>
                    </a:xfrm>
                    <a:prstGeom prst="rect">
                      <a:avLst/>
                    </a:prstGeom>
                  </pic:spPr>
                </pic:pic>
              </a:graphicData>
            </a:graphic>
          </wp:inline>
        </w:drawing>
      </w:r>
    </w:p>
    <w:p w14:paraId="18A9A22B">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w:t>
      </w:r>
      <w:r>
        <w:rPr>
          <w:rFonts w:hint="eastAsia" w:asciiTheme="minorEastAsia" w:hAnsiTheme="minorEastAsia" w:eastAsiaTheme="minorEastAsia" w:cstheme="minorEastAsia"/>
          <w:lang w:val="en-US" w:eastAsia="zh-CN"/>
        </w:rPr>
        <w:t>0</w:t>
      </w:r>
      <w:r>
        <w:rPr>
          <w:rFonts w:hint="eastAsia" w:asciiTheme="minorEastAsia" w:hAnsiTheme="minorEastAsia" w:eastAsiaTheme="minorEastAsia" w:cstheme="minorEastAsia"/>
        </w:rPr>
        <w:t xml:space="preserve">  两轮绘画的指标对比与过程时间线</w:t>
      </w:r>
    </w:p>
    <w:p w14:paraId="78D68E99">
      <w:pPr>
        <w:pStyle w:val="16"/>
        <w:rPr>
          <w:rFonts w:hint="eastAsia" w:asciiTheme="minorEastAsia" w:hAnsiTheme="minorEastAsia" w:eastAsiaTheme="minorEastAsia" w:cstheme="minorEastAsia"/>
        </w:rPr>
      </w:pPr>
    </w:p>
    <w:p w14:paraId="5AF16E3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验证已覆盖材料准备、两种顺序的任务执行、问卷提交、离线后重试保存、后台访谈、评分、权限与移动端布局。现有检查说明这些流程可以在隔离环境中运行，但真实设备和真实参与者仍可能出现不同问题。本阶段的结果是实验执行工具已搭建，而不是对产品效果完成了验证。研究保留退出与撤回入口，按既定期限私有保存研究作品，不公开参与者身份信息或完整触点轨迹。</w:t>
      </w:r>
    </w:p>
    <w:p w14:paraId="4FD58A41">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六、阶段性成果与待验证问题</w:t>
      </w:r>
    </w:p>
    <w:p w14:paraId="7C6EC4E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解释同样需要明确边界。同图重复绘画会产生记忆和熟悉效应，AB与BA平衡只能缓解，不能完全消除；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七、下一阶段</w:t>
      </w:r>
      <w:r>
        <w:rPr>
          <w:rFonts w:hint="eastAsia" w:asciiTheme="minorEastAsia" w:hAnsiTheme="minorEastAsia" w:eastAsiaTheme="minorEastAsia" w:cstheme="minorEastAsia"/>
          <w:lang w:val="en-US" w:eastAsia="zh-CN"/>
        </w:rPr>
        <w:t>用户测试</w:t>
      </w:r>
      <w:r>
        <w:rPr>
          <w:rFonts w:hint="eastAsia" w:asciiTheme="minorEastAsia" w:hAnsiTheme="minorEastAsia" w:eastAsiaTheme="minorEastAsia" w:cstheme="minorEastAsia"/>
        </w:rPr>
        <w:t>计划</w:t>
      </w:r>
    </w:p>
    <w:p w14:paraId="49F593A1">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表4  下一阶段执行安排与阶段交付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顺序</w:t>
            </w:r>
          </w:p>
        </w:tc>
        <w:tc>
          <w:tcPr>
            <w:tcW w:w="2948" w:type="dxa"/>
            <w:shd w:val="clear" w:color="auto" w:fill="ECEAFE"/>
          </w:tcPr>
          <w:p w14:paraId="02F97A6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主要工作</w:t>
            </w:r>
          </w:p>
        </w:tc>
        <w:tc>
          <w:tcPr>
            <w:tcW w:w="4649" w:type="dxa"/>
            <w:shd w:val="clear" w:color="auto" w:fill="ECEAFE"/>
          </w:tcPr>
          <w:p w14:paraId="7AB7408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完成标志</w:t>
            </w:r>
          </w:p>
        </w:tc>
      </w:tr>
      <w:tr w14:paraId="304F4E81">
        <w:trPr>
          <w:cantSplit/>
          <w:jc w:val="center"/>
        </w:trPr>
        <w:tc>
          <w:tcPr>
            <w:tcW w:w="1757" w:type="dxa"/>
          </w:tcPr>
          <w:p w14:paraId="3CAAAFA3">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预试准备</w:t>
            </w:r>
          </w:p>
        </w:tc>
        <w:tc>
          <w:tcPr>
            <w:tcW w:w="2948" w:type="dxa"/>
          </w:tcPr>
          <w:p w14:paraId="6FA6473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核对研究说明、候选材料、设备与评分清单</w:t>
            </w:r>
          </w:p>
        </w:tc>
        <w:tc>
          <w:tcPr>
            <w:tcW w:w="4649" w:type="dxa"/>
          </w:tcPr>
          <w:p w14:paraId="386F55DE">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形成可执行的统一说明与材料包。</w:t>
            </w:r>
          </w:p>
        </w:tc>
      </w:tr>
      <w:tr w14:paraId="329A978B">
        <w:trPr>
          <w:cantSplit/>
          <w:jc w:val="center"/>
        </w:trPr>
        <w:tc>
          <w:tcPr>
            <w:tcW w:w="1757" w:type="dxa"/>
          </w:tcPr>
          <w:p w14:paraId="31DDE0B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六人预试</w:t>
            </w:r>
          </w:p>
        </w:tc>
        <w:tc>
          <w:tcPr>
            <w:tcW w:w="2948" w:type="dxa"/>
          </w:tcPr>
          <w:p w14:paraId="3657E88B">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观察五步流程、任务负担与数据完整性</w:t>
            </w:r>
          </w:p>
        </w:tc>
        <w:tc>
          <w:tcPr>
            <w:tcW w:w="4649" w:type="dxa"/>
          </w:tcPr>
          <w:p w14:paraId="7178B7E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记录问题、访谈及每项修正依据。</w:t>
            </w:r>
          </w:p>
        </w:tc>
      </w:tr>
      <w:tr w14:paraId="0977C2EB">
        <w:trPr>
          <w:cantSplit/>
          <w:jc w:val="center"/>
        </w:trPr>
        <w:tc>
          <w:tcPr>
            <w:tcW w:w="1757" w:type="dxa"/>
          </w:tcPr>
          <w:p w14:paraId="7FE055B1">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交互优化与复验</w:t>
            </w:r>
          </w:p>
        </w:tc>
        <w:tc>
          <w:tcPr>
            <w:tcW w:w="2948" w:type="dxa"/>
          </w:tcPr>
          <w:p w14:paraId="58F941C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优化提示、遮挡、按钮语义与任务节奏</w:t>
            </w:r>
          </w:p>
        </w:tc>
        <w:tc>
          <w:tcPr>
            <w:tcW w:w="4649" w:type="dxa"/>
          </w:tcPr>
          <w:p w14:paraId="0EC3262B">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复验通过，固定正式版本与协议。</w:t>
            </w:r>
          </w:p>
        </w:tc>
      </w:tr>
      <w:tr w14:paraId="707C5A99">
        <w:trPr>
          <w:cantSplit/>
          <w:jc w:val="center"/>
        </w:trPr>
        <w:tc>
          <w:tcPr>
            <w:tcW w:w="1757" w:type="dxa"/>
          </w:tcPr>
          <w:p w14:paraId="5603D341">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正式对比实验</w:t>
            </w:r>
          </w:p>
        </w:tc>
        <w:tc>
          <w:tcPr>
            <w:tcW w:w="2948" w:type="dxa"/>
          </w:tcPr>
          <w:p w14:paraId="5F4C83F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按AB/BA获取拟定24份有效配对记录</w:t>
            </w:r>
          </w:p>
        </w:tc>
        <w:tc>
          <w:tcPr>
            <w:tcW w:w="4649" w:type="dxa"/>
          </w:tcPr>
          <w:p w14:paraId="4021468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完成两轮作品、问卷与双人评分核对。</w:t>
            </w:r>
          </w:p>
        </w:tc>
      </w:tr>
      <w:tr w14:paraId="7F48B69A">
        <w:trPr>
          <w:cantSplit/>
          <w:jc w:val="center"/>
        </w:trPr>
        <w:tc>
          <w:tcPr>
            <w:tcW w:w="1757" w:type="dxa"/>
          </w:tcPr>
          <w:p w14:paraId="44220A94">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分析和论文完善</w:t>
            </w:r>
          </w:p>
        </w:tc>
        <w:tc>
          <w:tcPr>
            <w:tcW w:w="2948" w:type="dxa"/>
          </w:tcPr>
          <w:p w14:paraId="4A6CB505">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配对分析、访谈解释、设计总结</w:t>
            </w:r>
          </w:p>
        </w:tc>
        <w:tc>
          <w:tcPr>
            <w:tcW w:w="4649" w:type="dxa"/>
          </w:tcPr>
          <w:p w14:paraId="7E68D95A">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完成结果与讨论，报告局限和适用范围。</w:t>
            </w:r>
          </w:p>
        </w:tc>
      </w:tr>
    </w:tbl>
    <w:p w14:paraId="175CA99E">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注：采用相对阶段安排；具体日程在预试组织与导师确认后确定。</w:t>
      </w:r>
    </w:p>
    <w:p w14:paraId="2A17A23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7.1 开展预试并优化交互</w:t>
      </w:r>
    </w:p>
    <w:p w14:paraId="277BEA6C">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阶段首先执行6名零基础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14:paraId="1341A624">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不预设名画级复杂材料必须在12分钟内完成1000笔。优化后进行复验，再冻结正式材料、算法计划、界面、问卷和评分规则，使条件之间保持可比。</w:t>
      </w:r>
    </w:p>
    <w:p w14:paraId="17DDF58B">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7.2 执行正式对比实验与结果分析</w:t>
      </w:r>
    </w:p>
    <w:p w14:paraId="4343FB5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正式研究</w:t>
      </w:r>
      <w:bookmarkStart w:id="8" w:name="_GoBack"/>
      <w:bookmarkEnd w:id="8"/>
      <w:r>
        <w:rPr>
          <w:rFonts w:hint="eastAsia" w:asciiTheme="minorEastAsia" w:hAnsiTheme="minorEastAsia" w:eastAsiaTheme="minorEastAsia" w:cstheme="minorEastAsia"/>
        </w:rPr>
        <w:t>拟取得24名参与者的有效配对记录，招募数量和纳入条件结合预试及导师意见最终确定。参与者使用统一设备和输入方式，对同一图完成A、B两条件，遵循平衡顺序与一致时限。研究者按照统一说明执行，不在某一条件额外提供绘画帮助；口头访谈重点询问哪种方式更容易开始、何时最想停止，以及哪幅作品更有“自己画出来”的感受。</w:t>
      </w:r>
    </w:p>
    <w:p w14:paraId="63E0329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7.3 完成论文写作与设计总结</w:t>
      </w:r>
    </w:p>
    <w:p w14:paraId="4ED07AE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论文写作与实验执行并行推进。现阶段可以完成研究背景、相关方法、算法</w:t>
      </w:r>
      <w:r>
        <w:rPr>
          <w:rFonts w:hint="eastAsia" w:asciiTheme="minorEastAsia" w:hAnsiTheme="minorEastAsia" w:eastAsiaTheme="minorEastAsia" w:cstheme="minorEastAsia"/>
          <w:lang w:val="en-US" w:eastAsia="zh-CN"/>
        </w:rPr>
        <w:t>应用</w:t>
      </w:r>
      <w:r>
        <w:rPr>
          <w:rFonts w:hint="eastAsia" w:asciiTheme="minorEastAsia" w:hAnsiTheme="minorEastAsia" w:eastAsiaTheme="minorEastAsia" w:cstheme="minorEastAsia"/>
        </w:rPr>
        <w:t>、交互设计与系统建设章节；实验结束后补充用户表现、访谈、讨论和设计建议。最终论证围绕“有序笔触引导怎样帮助</w:t>
      </w:r>
      <w:r>
        <w:rPr>
          <w:rFonts w:hint="eastAsia" w:asciiTheme="minorEastAsia" w:hAnsiTheme="minorEastAsia" w:eastAsiaTheme="minorEastAsia" w:cstheme="minorEastAsia"/>
          <w:lang w:val="en-US" w:eastAsia="zh-CN"/>
        </w:rPr>
        <w:t>绘画初学者用户</w:t>
      </w:r>
      <w:r>
        <w:rPr>
          <w:rFonts w:hint="eastAsia" w:asciiTheme="minorEastAsia" w:hAnsiTheme="minorEastAsia" w:eastAsiaTheme="minorEastAsia" w:cstheme="minorEastAsia"/>
        </w:rPr>
        <w:t>开始并推进绘画”展开，将软件功能、过程证据和主观体验联系起来，研究将据此总结适用情境、局限和后续改进方向。</w:t>
      </w:r>
    </w:p>
    <w:p w14:paraId="2DE2FCDA">
      <w:pPr>
        <w:pStyle w:val="15"/>
        <w:pageBreakBefore/>
      </w:pPr>
      <w:r>
        <w:t>参考文献</w:t>
      </w:r>
    </w:p>
    <w:p w14:paraId="291D4D8A">
      <w:pPr>
        <w:pStyle w:val="20"/>
        <w:keepNext/>
      </w:pPr>
      <w:r>
        <w:t>[1] HERTZMANN A. Painterly Rendering with Curved Brush Strokes of Multiple Sizes[C]//Proceedings of SIGGRAPH 1998. 1998: 453–460. DOI: 10.1145/280814.280951.</w:t>
      </w:r>
    </w:p>
    <w:p w14:paraId="5E9EA052">
      <w:pPr>
        <w:pStyle w:val="19"/>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0"/>
        <w:keepNext/>
      </w:pPr>
      <w:r>
        <w:t>[2] HUANG Z, HENG W, ZHOU S. Learning to Paint With Model-Based Deep Reinforcement Learning[C]//Proceedings of ICCV. 2019: 8709–8718. DOI: 10.1109/ICCV.2019.00880.</w:t>
      </w:r>
    </w:p>
    <w:p w14:paraId="00022CC9">
      <w:pPr>
        <w:pStyle w:val="19"/>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0"/>
        <w:keepNext/>
      </w:pPr>
      <w:r>
        <w:t>[3] ZOU Z, SHI T, QIU S, et al. Stylized Neural Painting[C]//Proceedings of CVPR. 2021: 15689–15698. DOI: 10.1109/CVPR46437.2021.01543.</w:t>
      </w:r>
    </w:p>
    <w:p w14:paraId="69FB4843">
      <w:pPr>
        <w:pStyle w:val="19"/>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0"/>
        <w:keepNext/>
      </w:pPr>
      <w:r>
        <w:t>[4] HU T, YI R, ZHU H, et al. Stroke-based Neural Painting and Stylization with Dynamically Predicted Painting Region[C]//Proceedings of ACM Multimedia. 2023. DOI: 10.1145/3581783.3611766.</w:t>
      </w:r>
    </w:p>
    <w:p w14:paraId="58DF1F52">
      <w:pPr>
        <w:pStyle w:val="19"/>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0"/>
        <w:keepNext/>
      </w:pPr>
      <w:r>
        <w:t>[5] NATIONAL GALLERY. Claude Monet: The Water-Lily Pond[EB/OL]. [2026-09-16].</w:t>
      </w:r>
    </w:p>
    <w:p w14:paraId="5BB419CE">
      <w:pPr>
        <w:pStyle w:val="19"/>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0"/>
        <w:keepNext/>
      </w:pPr>
      <w:r>
        <w:t>[6] VAN GOGH MUSEUM. Unravel Van Gogh: Thick Brushstrokes[EB/OL]. [2026-09-16].</w:t>
      </w:r>
    </w:p>
    <w:p w14:paraId="626EE684">
      <w:pPr>
        <w:pStyle w:val="19"/>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0"/>
        <w:keepNext/>
      </w:pPr>
      <w:r>
        <w:t>[7] NATIONAL GALLERY. Paul Gauguin: Harvest, Le Pouldu[EB/OL]. [2026-09-16].</w:t>
      </w:r>
    </w:p>
    <w:p w14:paraId="55B05B0C">
      <w:pPr>
        <w:pStyle w:val="19"/>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0"/>
        <w:keepNext/>
      </w:pPr>
      <w:r>
        <w:t>[8] NATIONAL GALLERY. Rembrandt: The Late Works—A Resource for Science Teachers, What Is Paint?[EB/OL]. [2026-09-16].</w:t>
      </w:r>
    </w:p>
    <w:p w14:paraId="2914008D">
      <w:pPr>
        <w:pStyle w:val="19"/>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0"/>
        <w:keepNext/>
      </w:pPr>
      <w:r>
        <w:t>[9] THE METROPOLITAN MUSEUM OF ART. Pablo Picasso (1881–1973)[EB/OL]. [2026-09-16].</w:t>
      </w:r>
    </w:p>
    <w:p w14:paraId="545B98BC">
      <w:pPr>
        <w:pStyle w:val="19"/>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0"/>
        <w:keepNext/>
      </w:pPr>
      <w:r>
        <w:t>[10] CENTENO S A, MAHON D. A Technical Study of John Singer Sargent’s Portrait of Madame Pierre Gautreau[J]. Metropolitan Museum Journal, 2005, 40: 121–129.</w:t>
      </w:r>
    </w:p>
    <w:p w14:paraId="3919C601">
      <w:pPr>
        <w:pStyle w:val="19"/>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7A733383">
      <w:pPr>
        <w:snapToGrid w:val="0"/>
        <w:ind w:firstLine="480" w:firstLineChars="200"/>
        <w:jc w:val="left"/>
        <w:rPr>
          <w:rFonts w:eastAsia="华文楷体"/>
          <w:sz w:val="24"/>
        </w:rPr>
      </w:pPr>
    </w:p>
    <w:p w14:paraId="08DC5DC3">
      <w:pPr>
        <w:snapToGrid w:val="0"/>
        <w:ind w:firstLine="480" w:firstLineChars="200"/>
        <w:jc w:val="left"/>
        <w:rPr>
          <w:rFonts w:eastAsia="华文楷体"/>
          <w:sz w:val="24"/>
        </w:rPr>
      </w:pP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ermEnd w:id="15"/>
    <w:p w14:paraId="5784AE0A">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30CD988F">
      <w:pPr>
        <w:snapToGrid w:val="0"/>
        <w:ind w:firstLine="480" w:firstLineChars="200"/>
        <w:jc w:val="left"/>
        <w:rPr>
          <w:rFonts w:hint="default" w:eastAsia="华文楷体"/>
          <w:sz w:val="24"/>
          <w:lang w:val="en-US" w:eastAsia="zh-CN"/>
        </w:rPr>
      </w:pPr>
      <w:permStart w:id="16"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"https://startrace-306119-11-1416317231.sh.run.tcloudbase.com/" </w:instrText>
      </w:r>
      <w:r>
        <w:rPr>
          <w:rFonts w:hint="eastAsia" w:eastAsia="华文楷体"/>
          <w:sz w:val="24"/>
          <w:lang w:val="en-US" w:eastAsia="zh-CN"/>
        </w:rPr>
        <w:fldChar w:fldCharType="separate"/>
      </w:r>
      <w:r>
        <w:rPr>
          <w:rStyle w:val="9"/>
          <w:rFonts w:hint="eastAsia" w:eastAsia="华文楷体"/>
          <w:sz w:val="24"/>
          <w:lang w:val="en-US" w:eastAsia="zh-CN"/>
        </w:rPr>
        <w:t>https://startrace-306119-11-1416317231.sh.run.tcloudbase.com/</w:t>
      </w:r>
      <w:r>
        <w:rPr>
          <w:rFonts w:hint="eastAsia" w:eastAsia="华文楷体"/>
          <w:sz w:val="24"/>
          <w:lang w:val="en-US" w:eastAsia="zh-CN"/>
        </w:rPr>
        <w:fldChar w:fldCharType="end"/>
      </w:r>
    </w:p>
    <w:p w14:paraId="6CBD119C">
      <w:pPr>
        <w:snapToGrid w:val="0"/>
        <w:ind w:firstLine="480" w:firstLineChars="200"/>
        <w:jc w:val="left"/>
        <w:rPr>
          <w:rFonts w:eastAsia="华文楷体"/>
          <w:sz w:val="24"/>
        </w:rPr>
      </w:pP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6"/>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9"/>
      <w:bookmarkStart w:id="5" w:name="OLE_LINK18"/>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7" w:edGrp="everyone"/>
      <w:r>
        <w:rPr>
          <w:rFonts w:eastAsia="仿宋_GB2312"/>
          <w:b/>
          <w:sz w:val="24"/>
        </w:rPr>
        <w:t xml:space="preserve">             </w:t>
      </w:r>
      <w:permEnd w:id="17"/>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8" w:edGrp="everyone"/>
      <w:r>
        <w:rPr>
          <w:rFonts w:ascii="Times New Roman" w:hAnsi="Times New Roman" w:cs="Times New Roman"/>
          <w:b/>
          <w:sz w:val="24"/>
        </w:rPr>
        <w:t xml:space="preserve">             </w:t>
      </w:r>
      <w:permEnd w:id="18"/>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9"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2026-09-18</w:t>
      </w:r>
      <w:r>
        <w:rPr>
          <w:rFonts w:eastAsia="仿宋_GB2312"/>
          <w:szCs w:val="21"/>
        </w:rPr>
        <w:fldChar w:fldCharType="end"/>
      </w:r>
      <w:permEnd w:id="19"/>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138E4DA7"/>
    <w:rsid w:val="21725332"/>
    <w:rsid w:val="2C6216DD"/>
    <w:rsid w:val="2CA3146B"/>
    <w:rsid w:val="2F946722"/>
    <w:rsid w:val="31204797"/>
    <w:rsid w:val="34086670"/>
    <w:rsid w:val="360A0E5E"/>
    <w:rsid w:val="37B37A77"/>
    <w:rsid w:val="38CB11E8"/>
    <w:rsid w:val="39577622"/>
    <w:rsid w:val="3EB5E60F"/>
    <w:rsid w:val="4A3A17DC"/>
    <w:rsid w:val="4C1703B2"/>
    <w:rsid w:val="5A6C4CE3"/>
    <w:rsid w:val="5B1660B9"/>
    <w:rsid w:val="5D5E0913"/>
    <w:rsid w:val="704C78A9"/>
    <w:rsid w:val="77141D8A"/>
    <w:rsid w:val="BF5F0058"/>
    <w:rsid w:val="F7DF7AF2"/>
    <w:rsid w:val="F7FF5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1"/>
    <w:qFormat/>
    <w:uiPriority w:val="0"/>
    <w:pPr>
      <w:tabs>
        <w:tab w:val="center" w:pos="4153"/>
        <w:tab w:val="right" w:pos="8306"/>
      </w:tabs>
      <w:snapToGrid w:val="0"/>
      <w:spacing w:line="240" w:lineRule="atLeast"/>
      <w:jc w:val="left"/>
    </w:pPr>
    <w:rPr>
      <w:sz w:val="18"/>
    </w:rPr>
  </w:style>
  <w:style w:type="paragraph" w:styleId="4">
    <w:name w:val="header"/>
    <w:basedOn w:val="1"/>
    <w:link w:val="12"/>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FollowedHyperlink"/>
    <w:basedOn w:val="7"/>
    <w:uiPriority w:val="0"/>
    <w:rPr>
      <w:color w:val="800080"/>
      <w:u w:val="single"/>
    </w:rPr>
  </w:style>
  <w:style w:type="character" w:styleId="10">
    <w:name w:val="Hyperlink"/>
    <w:qFormat/>
    <w:uiPriority w:val="0"/>
    <w:rPr>
      <w:color w:val="0000FF"/>
      <w:u w:val="single"/>
    </w:rPr>
  </w:style>
  <w:style w:type="character" w:customStyle="1" w:styleId="11">
    <w:name w:val="页脚 Char"/>
    <w:link w:val="3"/>
    <w:qFormat/>
    <w:uiPriority w:val="99"/>
    <w:rPr>
      <w:sz w:val="18"/>
    </w:rPr>
  </w:style>
  <w:style w:type="character" w:customStyle="1" w:styleId="12">
    <w:name w:val="页眉 Char"/>
    <w:link w:val="4"/>
    <w:qFormat/>
    <w:uiPriority w:val="0"/>
    <w:rPr>
      <w:sz w:val="18"/>
      <w:szCs w:val="18"/>
    </w:rPr>
  </w:style>
  <w:style w:type="paragraph" w:styleId="13">
    <w:name w:val="List Paragraph"/>
    <w:basedOn w:val="1"/>
    <w:qFormat/>
    <w:uiPriority w:val="34"/>
    <w:pPr>
      <w:adjustRightInd/>
      <w:spacing w:line="240" w:lineRule="auto"/>
      <w:ind w:firstLine="420" w:firstLineChars="200"/>
      <w:textAlignment w:val="auto"/>
    </w:pPr>
    <w:rPr>
      <w:kern w:val="2"/>
      <w:szCs w:val="24"/>
    </w:rPr>
  </w:style>
  <w:style w:type="character" w:styleId="14">
    <w:name w:val="Placeholder Text"/>
    <w:basedOn w:val="7"/>
    <w:semiHidden/>
    <w:qFormat/>
    <w:uiPriority w:val="99"/>
    <w:rPr>
      <w:color w:val="808080"/>
    </w:rPr>
  </w:style>
  <w:style w:type="paragraph" w:customStyle="1" w:styleId="15">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6">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7">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8">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19">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0">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glossaryDocument" Target="glossary/document.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16</Pages>
  <Words>7607</Words>
  <Characters>10996</Characters>
  <Lines>18</Lines>
  <Paragraphs>5</Paragraphs>
  <TotalTime>8</TotalTime>
  <ScaleCrop>false</ScaleCrop>
  <LinksUpToDate>false</LinksUpToDate>
  <CharactersWithSpaces>11603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2019-08-13T16:35:00Z</dcterms:created>
  <dc:creator>朱金霞</dc:creator>
  <cp:lastModifiedBy>haharrychen</cp:lastModifiedBy>
  <cp:lastPrinted>2004-10-27T09:21:00Z</cp:lastPrinted>
  <dcterms:modified xsi:type="dcterms:W3CDTF">2026-09-18T11:43:17Z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388ABF9421094897B94367B189038000_13</vt:lpwstr>
  </property>
</Properties>
</file>