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89543E">
      <w:pPr>
        <w:jc w:val="center"/>
        <w:rPr>
          <w:rFonts w:ascii="宋体" w:hAnsi="宋体"/>
          <w:b/>
          <w:sz w:val="52"/>
          <w:szCs w:val="52"/>
        </w:rPr>
      </w:pPr>
      <w:r>
        <w:rPr>
          <w:rFonts w:ascii="宋体" w:hAnsi="宋体"/>
          <w:b/>
          <w:sz w:val="52"/>
          <w:szCs w:val="52"/>
        </w:rPr>
        <w:drawing>
          <wp:inline distT="0" distB="0" distL="0" distR="0">
            <wp:extent cx="3597275" cy="2519045"/>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597275" cy="2519045"/>
                    </a:xfrm>
                    <a:prstGeom prst="rect">
                      <a:avLst/>
                    </a:prstGeom>
                    <a:noFill/>
                    <a:ln>
                      <a:noFill/>
                    </a:ln>
                  </pic:spPr>
                </pic:pic>
              </a:graphicData>
            </a:graphic>
          </wp:inline>
        </w:drawing>
      </w:r>
    </w:p>
    <w:p w14:paraId="4C5FEAAA">
      <w:pPr>
        <w:jc w:val="center"/>
        <w:rPr>
          <w:rFonts w:ascii="宋体" w:hAnsi="宋体"/>
          <w:b/>
          <w:sz w:val="52"/>
          <w:szCs w:val="52"/>
        </w:rPr>
      </w:pPr>
    </w:p>
    <w:p w14:paraId="295CE040">
      <w:pPr>
        <w:jc w:val="center"/>
        <w:rPr>
          <w:rFonts w:ascii="宋体" w:hAnsi="宋体"/>
          <w:b/>
          <w:sz w:val="52"/>
          <w:szCs w:val="52"/>
        </w:rPr>
      </w:pPr>
      <w:r>
        <w:rPr>
          <w:rFonts w:hint="eastAsia" w:ascii="宋体" w:hAnsi="宋体"/>
          <w:b/>
          <w:sz w:val="52"/>
          <w:szCs w:val="52"/>
        </w:rPr>
        <w:t>硕士研究生学位论文中期检查报告</w:t>
      </w:r>
    </w:p>
    <w:p w14:paraId="24434B4E">
      <w:pPr>
        <w:jc w:val="center"/>
        <w:rPr>
          <w:sz w:val="24"/>
        </w:rPr>
      </w:pPr>
      <w:r>
        <w:rPr>
          <w:b/>
          <w:sz w:val="30"/>
          <w:szCs w:val="30"/>
        </w:rPr>
        <w:t>Mid-term Examination Report for SJTU Master Student</w:t>
      </w:r>
    </w:p>
    <w:p w14:paraId="3A96C0E3">
      <w:pPr>
        <w:rPr>
          <w:sz w:val="24"/>
        </w:rPr>
      </w:pPr>
    </w:p>
    <w:p w14:paraId="2281F4A7">
      <w:pPr>
        <w:rPr>
          <w:sz w:val="24"/>
        </w:rPr>
      </w:pPr>
    </w:p>
    <w:tbl>
      <w:tblPr>
        <w:tblStyle w:val="5"/>
        <w:tblW w:w="7147" w:type="dxa"/>
        <w:jc w:val="center"/>
        <w:tblLayout w:type="autofit"/>
        <w:tblCellMar>
          <w:top w:w="0" w:type="dxa"/>
          <w:left w:w="108" w:type="dxa"/>
          <w:bottom w:w="0" w:type="dxa"/>
          <w:right w:w="108" w:type="dxa"/>
        </w:tblCellMar>
      </w:tblPr>
      <w:tblGrid>
        <w:gridCol w:w="2298"/>
        <w:gridCol w:w="4849"/>
      </w:tblGrid>
      <w:tr w14:paraId="548058BD">
        <w:trPr>
          <w:jc w:val="center"/>
        </w:trPr>
        <w:tc>
          <w:tcPr>
            <w:tcW w:w="2298" w:type="dxa"/>
            <w:shd w:val="clear" w:color="auto" w:fill="auto"/>
            <w:vAlign w:val="bottom"/>
          </w:tcPr>
          <w:p w14:paraId="1922F9EC">
            <w:pPr>
              <w:spacing w:before="120" w:beforeLines="50" w:after="120" w:afterLines="50" w:line="240" w:lineRule="auto"/>
              <w:rPr>
                <w:rFonts w:ascii="楷体_GB2312" w:eastAsia="楷体_GB2312"/>
                <w:b/>
                <w:sz w:val="28"/>
                <w:szCs w:val="28"/>
              </w:rPr>
            </w:pPr>
            <w:permStart w:id="0" w:edGrp="everyone" w:colFirst="1" w:colLast="1"/>
            <w:r>
              <w:rPr>
                <w:rFonts w:hint="eastAsia" w:ascii="楷体_GB2312" w:eastAsia="楷体_GB2312"/>
                <w:b/>
                <w:sz w:val="28"/>
                <w:szCs w:val="28"/>
              </w:rPr>
              <w:t>学号</w:t>
            </w:r>
            <w:r>
              <w:rPr>
                <w:rFonts w:eastAsia="楷体_GB2312"/>
                <w:b/>
                <w:sz w:val="28"/>
                <w:szCs w:val="28"/>
              </w:rPr>
              <w:t xml:space="preserve"> </w:t>
            </w:r>
            <w:r>
              <w:rPr>
                <w:rFonts w:hint="eastAsia" w:eastAsia="楷体_GB2312"/>
                <w:b/>
                <w:sz w:val="24"/>
                <w:szCs w:val="24"/>
              </w:rPr>
              <w:t xml:space="preserve">Student </w:t>
            </w:r>
            <w:r>
              <w:rPr>
                <w:rFonts w:eastAsia="楷体_GB2312"/>
                <w:b/>
                <w:sz w:val="24"/>
                <w:szCs w:val="24"/>
              </w:rPr>
              <w:t>ID</w:t>
            </w:r>
          </w:p>
        </w:tc>
        <w:tc>
          <w:tcPr>
            <w:tcW w:w="4849" w:type="dxa"/>
            <w:tcBorders>
              <w:bottom w:val="single" w:color="auto" w:sz="4" w:space="0"/>
            </w:tcBorders>
            <w:shd w:val="clear" w:color="auto" w:fill="auto"/>
            <w:vAlign w:val="bottom"/>
          </w:tcPr>
          <w:p w14:paraId="0F1B22CA">
            <w:pPr>
              <w:spacing w:line="320" w:lineRule="exact"/>
              <w:rPr>
                <w:rFonts w:ascii="楷体_GB2312" w:eastAsia="楷体_GB2312"/>
                <w:sz w:val="28"/>
                <w:szCs w:val="28"/>
              </w:rPr>
            </w:pPr>
            <w:r>
              <w:rPr>
                <w:rFonts w:hint="eastAsia" w:ascii="楷体_GB2312" w:eastAsia="楷体_GB2312"/>
                <w:sz w:val="28"/>
                <w:szCs w:val="28"/>
              </w:rPr>
              <w:t>124270910044</w:t>
            </w:r>
          </w:p>
        </w:tc>
      </w:tr>
      <w:permEnd w:id="0"/>
      <w:tr w14:paraId="7C126A85">
        <w:trPr>
          <w:jc w:val="center"/>
        </w:trPr>
        <w:tc>
          <w:tcPr>
            <w:tcW w:w="2298" w:type="dxa"/>
            <w:shd w:val="clear" w:color="auto" w:fill="auto"/>
            <w:vAlign w:val="bottom"/>
          </w:tcPr>
          <w:p w14:paraId="3CF3FC2B">
            <w:pPr>
              <w:spacing w:before="120" w:beforeLines="50" w:after="120" w:afterLines="50" w:line="240" w:lineRule="auto"/>
              <w:rPr>
                <w:rFonts w:ascii="楷体_GB2312" w:eastAsia="楷体_GB2312"/>
                <w:b/>
                <w:sz w:val="28"/>
                <w:szCs w:val="28"/>
              </w:rPr>
            </w:pPr>
            <w:permStart w:id="1" w:edGrp="everyone" w:colFirst="1" w:colLast="1"/>
            <w:r>
              <w:rPr>
                <w:rFonts w:hint="eastAsia" w:ascii="楷体_GB2312" w:eastAsia="楷体_GB2312"/>
                <w:b/>
                <w:sz w:val="28"/>
                <w:szCs w:val="28"/>
              </w:rPr>
              <w:t>姓名</w:t>
            </w:r>
            <w:r>
              <w:rPr>
                <w:rFonts w:eastAsia="楷体_GB2312"/>
                <w:b/>
                <w:sz w:val="24"/>
                <w:szCs w:val="24"/>
              </w:rPr>
              <w:t xml:space="preserve"> Name</w:t>
            </w:r>
          </w:p>
        </w:tc>
        <w:tc>
          <w:tcPr>
            <w:tcW w:w="4849" w:type="dxa"/>
            <w:tcBorders>
              <w:top w:val="single" w:color="auto" w:sz="4" w:space="0"/>
              <w:bottom w:val="single" w:color="auto" w:sz="4" w:space="0"/>
            </w:tcBorders>
            <w:shd w:val="clear" w:color="auto" w:fill="auto"/>
            <w:vAlign w:val="bottom"/>
          </w:tcPr>
          <w:p w14:paraId="181BB46B">
            <w:pPr>
              <w:spacing w:line="320" w:lineRule="exact"/>
              <w:rPr>
                <w:rFonts w:hint="default" w:ascii="楷体_GB2312" w:eastAsia="楷体_GB2312"/>
                <w:sz w:val="28"/>
                <w:szCs w:val="28"/>
                <w:lang w:val="en-US" w:eastAsia="zh-CN"/>
              </w:rPr>
            </w:pPr>
            <w:r>
              <w:rPr>
                <w:rFonts w:hint="eastAsia" w:ascii="楷体_GB2312" w:eastAsia="楷体_GB2312"/>
                <w:sz w:val="28"/>
                <w:szCs w:val="28"/>
                <w:lang w:val="en-US" w:eastAsia="zh-CN"/>
              </w:rPr>
              <w:t>陈皓宇</w:t>
            </w:r>
          </w:p>
        </w:tc>
      </w:tr>
      <w:permEnd w:id="1"/>
      <w:tr w14:paraId="2E3D46FB">
        <w:trPr>
          <w:trHeight w:val="654" w:hRule="atLeast"/>
          <w:jc w:val="center"/>
        </w:trPr>
        <w:tc>
          <w:tcPr>
            <w:tcW w:w="2298" w:type="dxa"/>
            <w:shd w:val="clear" w:color="auto" w:fill="auto"/>
            <w:vAlign w:val="center"/>
          </w:tcPr>
          <w:p w14:paraId="24B9D949">
            <w:pPr>
              <w:spacing w:before="120" w:beforeLines="50" w:after="120" w:afterLines="50" w:line="240" w:lineRule="auto"/>
              <w:jc w:val="left"/>
              <w:rPr>
                <w:rFonts w:eastAsia="楷体_GB2312"/>
                <w:b/>
                <w:sz w:val="28"/>
                <w:szCs w:val="28"/>
              </w:rPr>
            </w:pPr>
            <w:r>
              <w:rPr>
                <w:rFonts w:hint="eastAsia" w:eastAsia="楷体_GB2312"/>
                <w:b/>
                <w:sz w:val="28"/>
                <w:szCs w:val="28"/>
              </w:rPr>
              <w:t>学生类别</w:t>
            </w:r>
            <w:r>
              <w:rPr>
                <w:rFonts w:eastAsia="楷体_GB2312"/>
                <w:b/>
                <w:sz w:val="28"/>
                <w:szCs w:val="28"/>
              </w:rPr>
              <w:br w:type="textWrapping"/>
            </w:r>
            <w:r>
              <w:rPr>
                <w:rFonts w:eastAsia="楷体_GB2312"/>
                <w:b/>
                <w:sz w:val="24"/>
                <w:szCs w:val="24"/>
              </w:rPr>
              <w:t>Degree Program</w:t>
            </w:r>
          </w:p>
        </w:tc>
        <w:tc>
          <w:tcPr>
            <w:tcW w:w="4849" w:type="dxa"/>
            <w:tcBorders>
              <w:top w:val="single" w:color="auto" w:sz="4" w:space="0"/>
              <w:bottom w:val="single" w:color="auto" w:sz="4" w:space="0"/>
            </w:tcBorders>
            <w:shd w:val="clear" w:color="auto" w:fill="auto"/>
            <w:vAlign w:val="center"/>
          </w:tcPr>
          <w:p w14:paraId="2C276C17">
            <w:pPr>
              <w:spacing w:before="120" w:after="120"/>
              <w:jc w:val="left"/>
              <w:rPr>
                <w:sz w:val="28"/>
                <w:szCs w:val="28"/>
                <w:u w:val="single"/>
              </w:rPr>
            </w:pPr>
            <w:sdt>
              <w:sdtPr>
                <w:rPr>
                  <w:sz w:val="28"/>
                  <w:szCs w:val="28"/>
                </w:rPr>
                <w:id w:val="-1"/>
                <w:lock w:val="sdtLocked"/>
                <w:placeholder>
                  <w:docPart w:val="DefaultPlaceholder_1081868575"/>
                </w:placeholder>
                <w:dropDownList>
                  <w:listItem w:value="选择一项。"/>
                  <w:listItem w:displayText="学术型硕士生 Academic Master" w:value="1"/>
                  <w:listItem w:displayText="专业型硕士生 Professional Master" w:value="2"/>
                </w:dropDownList>
              </w:sdtPr>
              <w:sdtEndPr>
                <w:rPr>
                  <w:sz w:val="28"/>
                  <w:szCs w:val="28"/>
                </w:rPr>
              </w:sdtEndPr>
              <w:sdtContent>
                <w:permStart w:id="2" w:edGrp="everyone"/>
                <w:r>
                  <w:rPr>
                    <w:rFonts w:ascii="Times New Roman" w:hAnsi="Times New Roman" w:eastAsia="宋体" w:cs="Times New Roman"/>
                    <w:sz w:val="28"/>
                    <w:szCs w:val="28"/>
                    <w:lang w:val="en-US" w:eastAsia="zh-CN" w:bidi="ar-SA"/>
                  </w:rPr>
                  <w:t>专业型硕士生 Professional Master</w:t>
                </w:r>
                <w:permEnd w:id="2"/>
              </w:sdtContent>
            </w:sdt>
          </w:p>
        </w:tc>
      </w:tr>
      <w:tr w14:paraId="26F65578">
        <w:trPr>
          <w:trHeight w:val="654" w:hRule="atLeast"/>
          <w:jc w:val="center"/>
        </w:trPr>
        <w:tc>
          <w:tcPr>
            <w:tcW w:w="2298" w:type="dxa"/>
            <w:shd w:val="clear" w:color="auto" w:fill="auto"/>
            <w:vAlign w:val="center"/>
          </w:tcPr>
          <w:p w14:paraId="1949027A">
            <w:pPr>
              <w:spacing w:before="120" w:beforeLines="50" w:after="120" w:afterLines="50" w:line="240" w:lineRule="auto"/>
              <w:jc w:val="left"/>
              <w:rPr>
                <w:rFonts w:eastAsia="楷体_GB2312"/>
                <w:b/>
                <w:sz w:val="28"/>
                <w:szCs w:val="28"/>
              </w:rPr>
            </w:pPr>
            <w:r>
              <w:rPr>
                <w:rFonts w:hint="eastAsia" w:eastAsia="楷体_GB2312"/>
                <w:b/>
                <w:sz w:val="28"/>
                <w:szCs w:val="28"/>
              </w:rPr>
              <w:t>学习形式</w:t>
            </w:r>
            <w:r>
              <w:rPr>
                <w:rFonts w:eastAsia="楷体_GB2312"/>
                <w:b/>
                <w:sz w:val="28"/>
                <w:szCs w:val="28"/>
              </w:rPr>
              <w:br w:type="textWrapping"/>
            </w:r>
            <w:r>
              <w:rPr>
                <w:rFonts w:eastAsia="楷体_GB2312"/>
                <w:b/>
                <w:sz w:val="24"/>
                <w:szCs w:val="24"/>
              </w:rPr>
              <w:t>Study Mode</w:t>
            </w:r>
          </w:p>
        </w:tc>
        <w:tc>
          <w:tcPr>
            <w:tcW w:w="4849" w:type="dxa"/>
            <w:tcBorders>
              <w:top w:val="single" w:color="auto" w:sz="4" w:space="0"/>
              <w:bottom w:val="single" w:color="auto" w:sz="4" w:space="0"/>
            </w:tcBorders>
            <w:shd w:val="clear" w:color="auto" w:fill="auto"/>
            <w:vAlign w:val="center"/>
          </w:tcPr>
          <w:p w14:paraId="7A19E6A2">
            <w:pPr>
              <w:spacing w:before="120" w:after="120"/>
              <w:jc w:val="left"/>
              <w:rPr>
                <w:sz w:val="28"/>
                <w:szCs w:val="28"/>
              </w:rPr>
            </w:pPr>
            <w:sdt>
              <w:sdtPr>
                <w:rPr>
                  <w:rFonts w:hint="eastAsia" w:ascii="宋体" w:hAnsi="宋体"/>
                  <w:sz w:val="28"/>
                  <w:szCs w:val="28"/>
                </w:rPr>
                <w:id w:val="920292009"/>
                <w:lock w:val="sdtLocked"/>
                <w:placeholder>
                  <w:docPart w:val="DefaultPlaceholder_1081868575"/>
                </w:placeholder>
                <w:dropDownList>
                  <w:listItem w:value="选择一项。"/>
                  <w:listItem w:displayText="全日制 Full-time" w:value="1"/>
                  <w:listItem w:displayText="非全日制 Part-time" w:value="2"/>
                </w:dropDownList>
              </w:sdtPr>
              <w:sdtEndPr>
                <w:rPr>
                  <w:rFonts w:hint="eastAsia" w:ascii="宋体" w:hAnsi="宋体"/>
                  <w:sz w:val="28"/>
                  <w:szCs w:val="28"/>
                </w:rPr>
              </w:sdtEndPr>
              <w:sdtContent>
                <w:permStart w:id="3" w:edGrp="everyone"/>
                <w:r>
                  <w:rPr>
                    <w:rFonts w:hint="eastAsia" w:ascii="宋体" w:hAnsi="宋体" w:eastAsia="宋体" w:cs="Times New Roman"/>
                    <w:sz w:val="28"/>
                    <w:szCs w:val="28"/>
                    <w:lang w:val="en-US" w:eastAsia="zh-CN" w:bidi="ar-SA"/>
                  </w:rPr>
                  <w:t>全日制 Full-time</w:t>
                </w:r>
                <w:permEnd w:id="3"/>
              </w:sdtContent>
            </w:sdt>
          </w:p>
        </w:tc>
      </w:tr>
      <w:tr w14:paraId="574EF4B2">
        <w:trPr>
          <w:trHeight w:val="536" w:hRule="atLeast"/>
          <w:jc w:val="center"/>
        </w:trPr>
        <w:tc>
          <w:tcPr>
            <w:tcW w:w="2298" w:type="dxa"/>
            <w:shd w:val="clear" w:color="auto" w:fill="auto"/>
            <w:vAlign w:val="bottom"/>
          </w:tcPr>
          <w:p w14:paraId="05C92EDC">
            <w:pPr>
              <w:spacing w:before="120" w:beforeLines="50" w:after="120" w:afterLines="50" w:line="240" w:lineRule="auto"/>
              <w:rPr>
                <w:rFonts w:ascii="楷体_GB2312" w:eastAsia="楷体_GB2312"/>
                <w:b/>
                <w:sz w:val="28"/>
                <w:szCs w:val="28"/>
              </w:rPr>
            </w:pPr>
            <w:permStart w:id="4" w:edGrp="everyone" w:colFirst="1" w:colLast="1"/>
            <w:r>
              <w:rPr>
                <w:rFonts w:hint="eastAsia" w:ascii="楷体_GB2312" w:eastAsia="楷体_GB2312"/>
                <w:b/>
                <w:sz w:val="28"/>
                <w:szCs w:val="28"/>
              </w:rPr>
              <w:t>导师</w:t>
            </w:r>
            <w:r>
              <w:rPr>
                <w:rFonts w:hint="eastAsia" w:eastAsia="楷体_GB2312"/>
                <w:b/>
                <w:sz w:val="28"/>
                <w:szCs w:val="28"/>
              </w:rPr>
              <w:t xml:space="preserve"> </w:t>
            </w:r>
            <w:r>
              <w:rPr>
                <w:rFonts w:eastAsia="楷体_GB2312"/>
                <w:b/>
                <w:sz w:val="24"/>
                <w:szCs w:val="24"/>
              </w:rPr>
              <w:t>Supervisor(s)</w:t>
            </w:r>
          </w:p>
        </w:tc>
        <w:tc>
          <w:tcPr>
            <w:tcW w:w="4849" w:type="dxa"/>
            <w:tcBorders>
              <w:top w:val="single" w:color="auto" w:sz="4" w:space="0"/>
              <w:bottom w:val="single" w:color="auto" w:sz="4" w:space="0"/>
            </w:tcBorders>
            <w:shd w:val="clear" w:color="auto" w:fill="auto"/>
            <w:vAlign w:val="bottom"/>
          </w:tcPr>
          <w:p w14:paraId="33769E51">
            <w:pPr>
              <w:spacing w:line="320" w:lineRule="exact"/>
              <w:rPr>
                <w:rFonts w:ascii="楷体_GB2312" w:eastAsia="楷体_GB2312"/>
                <w:sz w:val="28"/>
                <w:szCs w:val="28"/>
              </w:rPr>
            </w:pPr>
            <w:r>
              <w:rPr>
                <w:rFonts w:hint="eastAsia" w:ascii="楷体_GB2312" w:eastAsia="楷体_GB2312"/>
                <w:sz w:val="28"/>
                <w:szCs w:val="28"/>
              </w:rPr>
              <w:t>倪冰冰</w:t>
            </w:r>
          </w:p>
        </w:tc>
      </w:tr>
      <w:permEnd w:id="4"/>
      <w:tr w14:paraId="6DDC2848">
        <w:trPr>
          <w:jc w:val="center"/>
        </w:trPr>
        <w:tc>
          <w:tcPr>
            <w:tcW w:w="2298" w:type="dxa"/>
            <w:shd w:val="clear" w:color="auto" w:fill="auto"/>
            <w:vAlign w:val="bottom"/>
          </w:tcPr>
          <w:p w14:paraId="15C0E78C">
            <w:pPr>
              <w:spacing w:before="120" w:beforeLines="50" w:after="120" w:afterLines="50" w:line="240" w:lineRule="auto"/>
              <w:rPr>
                <w:rFonts w:ascii="楷体_GB2312" w:eastAsia="楷体_GB2312"/>
                <w:b/>
                <w:sz w:val="28"/>
                <w:szCs w:val="28"/>
              </w:rPr>
            </w:pPr>
            <w:permStart w:id="5" w:edGrp="everyone" w:colFirst="1" w:colLast="1"/>
            <w:r>
              <w:rPr>
                <w:rFonts w:hint="eastAsia" w:eastAsia="楷体_GB2312"/>
                <w:b/>
                <w:sz w:val="28"/>
                <w:szCs w:val="28"/>
              </w:rPr>
              <w:t xml:space="preserve">专业 </w:t>
            </w:r>
            <w:r>
              <w:rPr>
                <w:rFonts w:eastAsia="楷体_GB2312"/>
                <w:b/>
                <w:sz w:val="24"/>
                <w:szCs w:val="24"/>
              </w:rPr>
              <w:t>Major</w:t>
            </w:r>
          </w:p>
        </w:tc>
        <w:tc>
          <w:tcPr>
            <w:tcW w:w="4849" w:type="dxa"/>
            <w:tcBorders>
              <w:top w:val="single" w:color="auto" w:sz="4" w:space="0"/>
              <w:bottom w:val="single" w:color="auto" w:sz="4" w:space="0"/>
            </w:tcBorders>
            <w:shd w:val="clear" w:color="auto" w:fill="auto"/>
            <w:vAlign w:val="bottom"/>
          </w:tcPr>
          <w:p w14:paraId="45861AE1">
            <w:pPr>
              <w:spacing w:line="320" w:lineRule="exact"/>
              <w:rPr>
                <w:rFonts w:hint="eastAsia" w:ascii="楷体_GB2312" w:eastAsia="楷体_GB2312"/>
                <w:sz w:val="28"/>
                <w:szCs w:val="28"/>
                <w:lang w:val="en-US" w:eastAsia="zh-CN"/>
              </w:rPr>
            </w:pPr>
            <w:r>
              <w:rPr>
                <w:rFonts w:hint="eastAsia" w:ascii="楷体_GB2312" w:eastAsia="楷体_GB2312"/>
                <w:sz w:val="28"/>
                <w:szCs w:val="28"/>
                <w:lang w:val="en-US" w:eastAsia="zh-CN"/>
              </w:rPr>
              <w:t>数字文创与管理</w:t>
            </w:r>
          </w:p>
        </w:tc>
      </w:tr>
      <w:permEnd w:id="5"/>
      <w:tr w14:paraId="53948466">
        <w:trPr>
          <w:jc w:val="center"/>
        </w:trPr>
        <w:tc>
          <w:tcPr>
            <w:tcW w:w="2298" w:type="dxa"/>
            <w:shd w:val="clear" w:color="auto" w:fill="auto"/>
            <w:vAlign w:val="bottom"/>
          </w:tcPr>
          <w:p w14:paraId="32643F0C">
            <w:pPr>
              <w:spacing w:before="120" w:beforeLines="50" w:after="120" w:afterLines="50" w:line="240" w:lineRule="auto"/>
              <w:rPr>
                <w:rFonts w:ascii="楷体_GB2312" w:eastAsia="楷体_GB2312"/>
                <w:b/>
                <w:sz w:val="28"/>
                <w:szCs w:val="28"/>
              </w:rPr>
            </w:pPr>
            <w:permStart w:id="6" w:edGrp="everyone" w:colFirst="1" w:colLast="1"/>
            <w:r>
              <w:rPr>
                <w:rFonts w:hint="eastAsia" w:eastAsia="楷体_GB2312"/>
                <w:b/>
                <w:sz w:val="28"/>
                <w:szCs w:val="28"/>
              </w:rPr>
              <w:t>学院</w:t>
            </w:r>
            <w:r>
              <w:rPr>
                <w:rFonts w:eastAsia="楷体_GB2312"/>
                <w:b/>
                <w:sz w:val="28"/>
                <w:szCs w:val="28"/>
              </w:rPr>
              <w:t xml:space="preserve"> </w:t>
            </w:r>
            <w:r>
              <w:rPr>
                <w:rFonts w:eastAsia="楷体_GB2312"/>
                <w:b/>
                <w:sz w:val="24"/>
                <w:szCs w:val="24"/>
              </w:rPr>
              <w:t>School</w:t>
            </w:r>
          </w:p>
        </w:tc>
        <w:tc>
          <w:tcPr>
            <w:tcW w:w="4849" w:type="dxa"/>
            <w:tcBorders>
              <w:top w:val="single" w:color="auto" w:sz="4" w:space="0"/>
              <w:bottom w:val="single" w:color="auto" w:sz="4" w:space="0"/>
            </w:tcBorders>
            <w:shd w:val="clear" w:color="auto" w:fill="auto"/>
            <w:vAlign w:val="bottom"/>
          </w:tcPr>
          <w:p w14:paraId="135DA2D2">
            <w:pPr>
              <w:spacing w:line="320" w:lineRule="exact"/>
              <w:rPr>
                <w:rFonts w:ascii="楷体_GB2312" w:eastAsia="楷体_GB2312"/>
                <w:sz w:val="28"/>
                <w:szCs w:val="28"/>
              </w:rPr>
            </w:pPr>
            <w:r>
              <w:rPr>
                <w:rFonts w:hint="eastAsia" w:ascii="楷体_GB2312" w:eastAsia="楷体_GB2312"/>
                <w:sz w:val="28"/>
                <w:szCs w:val="28"/>
              </w:rPr>
              <w:t>上海交大-南加州大学文化创意产业学院</w:t>
            </w:r>
          </w:p>
        </w:tc>
      </w:tr>
      <w:permEnd w:id="6"/>
      <w:tr w14:paraId="58ACB3D8">
        <w:trPr>
          <w:jc w:val="center"/>
        </w:trPr>
        <w:tc>
          <w:tcPr>
            <w:tcW w:w="2298" w:type="dxa"/>
            <w:shd w:val="clear" w:color="auto" w:fill="auto"/>
            <w:vAlign w:val="bottom"/>
          </w:tcPr>
          <w:p w14:paraId="657DD1D4">
            <w:pPr>
              <w:spacing w:before="120" w:beforeLines="50" w:after="120" w:afterLines="50" w:line="240" w:lineRule="auto"/>
              <w:rPr>
                <w:rFonts w:ascii="楷体_GB2312" w:eastAsia="楷体_GB2312"/>
                <w:b/>
                <w:sz w:val="28"/>
                <w:szCs w:val="28"/>
              </w:rPr>
            </w:pPr>
            <w:permStart w:id="7" w:edGrp="everyone" w:colFirst="1" w:colLast="1"/>
            <w:r>
              <w:rPr>
                <w:rFonts w:hint="eastAsia" w:ascii="楷体_GB2312" w:eastAsia="楷体_GB2312"/>
                <w:b/>
                <w:sz w:val="28"/>
                <w:szCs w:val="28"/>
              </w:rPr>
              <w:t>考核日期</w:t>
            </w:r>
            <w:r>
              <w:rPr>
                <w:rFonts w:eastAsia="楷体_GB2312"/>
                <w:b/>
                <w:sz w:val="28"/>
                <w:szCs w:val="28"/>
              </w:rPr>
              <w:t xml:space="preserve"> </w:t>
            </w:r>
            <w:r>
              <w:rPr>
                <w:rFonts w:eastAsia="楷体_GB2312"/>
                <w:b/>
                <w:sz w:val="24"/>
                <w:szCs w:val="24"/>
              </w:rPr>
              <w:t>Date</w:t>
            </w:r>
          </w:p>
        </w:tc>
        <w:tc>
          <w:tcPr>
            <w:tcW w:w="4849" w:type="dxa"/>
            <w:tcBorders>
              <w:top w:val="single" w:color="auto" w:sz="4" w:space="0"/>
              <w:bottom w:val="single" w:color="auto" w:sz="4" w:space="0"/>
            </w:tcBorders>
            <w:shd w:val="clear" w:color="auto" w:fill="auto"/>
            <w:vAlign w:val="bottom"/>
          </w:tcPr>
          <w:p w14:paraId="696DC991">
            <w:pPr>
              <w:spacing w:line="320" w:lineRule="exact"/>
              <w:rPr>
                <w:rFonts w:hint="default" w:ascii="楷体_GB2312" w:eastAsia="楷体_GB2312"/>
                <w:sz w:val="28"/>
                <w:szCs w:val="28"/>
                <w:lang w:val="en-US" w:eastAsia="zh-CN"/>
              </w:rPr>
            </w:pPr>
            <w:r>
              <w:rPr>
                <w:rFonts w:hint="eastAsia" w:ascii="楷体_GB2312" w:eastAsia="楷体_GB2312"/>
                <w:sz w:val="28"/>
                <w:szCs w:val="28"/>
                <w:lang w:val="en-US" w:eastAsia="zh-CN"/>
              </w:rPr>
              <w:t>2026年9月23日</w:t>
            </w:r>
          </w:p>
        </w:tc>
      </w:tr>
      <w:permEnd w:id="7"/>
    </w:tbl>
    <w:p w14:paraId="62CA0984">
      <w:pPr>
        <w:rPr>
          <w:sz w:val="24"/>
        </w:rPr>
        <w:sectPr>
          <w:headerReference r:id="rId5" w:type="default"/>
          <w:footerReference r:id="rId6" w:type="default"/>
          <w:footerReference r:id="rId7" w:type="even"/>
          <w:pgSz w:w="11907" w:h="16840"/>
          <w:pgMar w:top="1191" w:right="1134" w:bottom="851" w:left="1134" w:header="851" w:footer="992" w:gutter="0"/>
          <w:pgNumType w:start="0"/>
          <w:cols w:space="425" w:num="1"/>
          <w:titlePg/>
          <w:docGrid w:linePitch="286" w:charSpace="0"/>
        </w:sectPr>
      </w:pPr>
    </w:p>
    <w:p w14:paraId="04B97241">
      <w:pPr>
        <w:jc w:val="center"/>
        <w:rPr>
          <w:rFonts w:eastAsia="黑体"/>
          <w:sz w:val="30"/>
        </w:rPr>
      </w:pPr>
      <w:r>
        <w:rPr>
          <w:rFonts w:hint="eastAsia" w:eastAsia="黑体"/>
          <w:sz w:val="30"/>
        </w:rPr>
        <w:t xml:space="preserve">填报说明 </w:t>
      </w:r>
      <w:r>
        <w:rPr>
          <w:rFonts w:eastAsia="黑体"/>
          <w:b/>
          <w:sz w:val="30"/>
        </w:rPr>
        <w:t>Instruction</w:t>
      </w:r>
    </w:p>
    <w:p w14:paraId="0CFB37F2">
      <w:pPr>
        <w:pStyle w:val="13"/>
        <w:numPr>
          <w:ilvl w:val="0"/>
          <w:numId w:val="1"/>
        </w:numPr>
        <w:spacing w:before="156" w:beforeLines="50" w:line="300" w:lineRule="auto"/>
        <w:ind w:firstLineChars="0"/>
        <w:rPr>
          <w:rFonts w:eastAsia="仿宋_GB2312"/>
          <w:color w:val="000000" w:themeColor="text1"/>
          <w:sz w:val="24"/>
          <w14:textFill>
            <w14:solidFill>
              <w14:schemeClr w14:val="tx1"/>
            </w14:solidFill>
          </w14:textFill>
        </w:rPr>
      </w:pPr>
      <w:r>
        <w:rPr>
          <w:rFonts w:hint="eastAsia" w:eastAsia="仿宋_GB2312"/>
          <w:color w:val="000000" w:themeColor="text1"/>
          <w:sz w:val="24"/>
          <w14:textFill>
            <w14:solidFill>
              <w14:schemeClr w14:val="tx1"/>
            </w14:solidFill>
          </w14:textFill>
        </w:rPr>
        <w:t>硕士</w:t>
      </w:r>
      <w:r>
        <w:rPr>
          <w:rFonts w:eastAsia="仿宋_GB2312"/>
          <w:color w:val="000000" w:themeColor="text1"/>
          <w:sz w:val="24"/>
          <w14:textFill>
            <w14:solidFill>
              <w14:schemeClr w14:val="tx1"/>
            </w14:solidFill>
          </w14:textFill>
        </w:rPr>
        <w:t>研究生学位论文中期检查应通过</w:t>
      </w:r>
      <w:r>
        <w:fldChar w:fldCharType="begin"/>
      </w:r>
      <w:r>
        <w:instrText xml:space="preserve"> HYPERLINK "http://my.sjtu.edu.cn/" </w:instrText>
      </w:r>
      <w:r>
        <w:fldChar w:fldCharType="separate"/>
      </w:r>
      <w:r>
        <w:rPr>
          <w:rStyle w:val="10"/>
          <w:rFonts w:eastAsia="仿宋_GB2312"/>
          <w:sz w:val="24"/>
        </w:rPr>
        <w:t>数字交大</w:t>
      </w:r>
      <w:r>
        <w:rPr>
          <w:rStyle w:val="10"/>
          <w:rFonts w:eastAsia="仿宋_GB2312"/>
          <w:sz w:val="24"/>
        </w:rPr>
        <w:fldChar w:fldCharType="end"/>
      </w:r>
      <w:r>
        <w:rPr>
          <w:rFonts w:eastAsia="仿宋_GB2312"/>
          <w:color w:val="000000" w:themeColor="text1"/>
          <w:sz w:val="24"/>
          <w14:textFill>
            <w14:solidFill>
              <w14:schemeClr w14:val="tx1"/>
            </w14:solidFill>
          </w14:textFill>
        </w:rPr>
        <w:t>在线提交申请</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填写本表并上传系统。特殊情况下经研究生院事先同意</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可不上传系统</w:t>
      </w:r>
      <w:r>
        <w:rPr>
          <w:rFonts w:hint="eastAsia" w:eastAsia="仿宋_GB2312"/>
          <w:color w:val="000000" w:themeColor="text1"/>
          <w:sz w:val="24"/>
          <w14:textFill>
            <w14:solidFill>
              <w14:schemeClr w14:val="tx1"/>
            </w14:solidFill>
          </w14:textFill>
        </w:rPr>
        <w:t>，</w:t>
      </w:r>
      <w:r>
        <w:rPr>
          <w:rFonts w:eastAsia="仿宋_GB2312"/>
          <w:color w:val="000000" w:themeColor="text1"/>
          <w:sz w:val="24"/>
          <w14:textFill>
            <w14:solidFill>
              <w14:schemeClr w14:val="tx1"/>
            </w14:solidFill>
          </w14:textFill>
        </w:rPr>
        <w:t>并使用</w:t>
      </w:r>
      <w:r>
        <w:rPr>
          <w:rFonts w:hint="eastAsia" w:eastAsia="仿宋_GB2312"/>
          <w:color w:val="000000" w:themeColor="text1"/>
          <w:sz w:val="24"/>
          <w14:textFill>
            <w14:solidFill>
              <w14:schemeClr w14:val="tx1"/>
            </w14:solidFill>
          </w14:textFill>
        </w:rPr>
        <w:t>《上海交通大学硕士论文中期检查评审表》完成</w:t>
      </w:r>
      <w:r>
        <w:rPr>
          <w:rFonts w:eastAsia="仿宋_GB2312"/>
          <w:color w:val="000000" w:themeColor="text1"/>
          <w:sz w:val="24"/>
          <w14:textFill>
            <w14:solidFill>
              <w14:schemeClr w14:val="tx1"/>
            </w14:solidFill>
          </w14:textFill>
        </w:rPr>
        <w:t>评审</w:t>
      </w:r>
      <w:r>
        <w:rPr>
          <w:rFonts w:hint="eastAsia" w:eastAsia="仿宋_GB2312"/>
          <w:color w:val="000000" w:themeColor="text1"/>
          <w:sz w:val="24"/>
          <w14:textFill>
            <w14:solidFill>
              <w14:schemeClr w14:val="tx1"/>
            </w14:solidFill>
          </w14:textFill>
        </w:rPr>
        <w:t>。</w:t>
      </w:r>
    </w:p>
    <w:p w14:paraId="3E05E823">
      <w:pPr>
        <w:pStyle w:val="13"/>
        <w:spacing w:before="156" w:beforeLines="50" w:line="300" w:lineRule="auto"/>
        <w:ind w:left="420" w:firstLine="0" w:firstLineChars="0"/>
        <w:rPr>
          <w:rFonts w:eastAsia="仿宋_GB2312"/>
          <w:color w:val="000000" w:themeColor="text1"/>
          <w:sz w:val="24"/>
          <w14:textFill>
            <w14:solidFill>
              <w14:schemeClr w14:val="tx1"/>
            </w14:solidFill>
          </w14:textFill>
        </w:rPr>
      </w:pPr>
      <w:r>
        <w:rPr>
          <w:rFonts w:eastAsia="仿宋_GB2312"/>
          <w:color w:val="000000" w:themeColor="text1"/>
          <w:sz w:val="24"/>
          <w14:textFill>
            <w14:solidFill>
              <w14:schemeClr w14:val="tx1"/>
            </w14:solidFill>
          </w14:textFill>
        </w:rPr>
        <w:t xml:space="preserve">The application for thesis mid-term examination should be submitted online through </w:t>
      </w:r>
      <w:r>
        <w:fldChar w:fldCharType="begin"/>
      </w:r>
      <w:r>
        <w:instrText xml:space="preserve"> HYPERLINK "http://my.sjtu.edu.cn/" </w:instrText>
      </w:r>
      <w:r>
        <w:fldChar w:fldCharType="separate"/>
      </w:r>
      <w:r>
        <w:rPr>
          <w:rStyle w:val="10"/>
          <w:rFonts w:eastAsia="仿宋_GB2312"/>
          <w:sz w:val="24"/>
        </w:rPr>
        <w:t>My SJTU</w:t>
      </w:r>
      <w:r>
        <w:rPr>
          <w:rStyle w:val="10"/>
          <w:rFonts w:eastAsia="仿宋_GB2312"/>
          <w:sz w:val="24"/>
        </w:rPr>
        <w:fldChar w:fldCharType="end"/>
      </w:r>
      <w:r>
        <w:rPr>
          <w:rFonts w:eastAsia="仿宋_GB2312"/>
          <w:color w:val="000000" w:themeColor="text1"/>
          <w:sz w:val="24"/>
          <w14:textFill>
            <w14:solidFill>
              <w14:schemeClr w14:val="tx1"/>
            </w14:solidFill>
          </w14:textFill>
        </w:rPr>
        <w:t>. The student shall filled this form and upload it in the system. Under special circumstance, this form does not need to be uploaded and the review can be proceeded with the review form with prior consent from the graduate school.</w:t>
      </w:r>
    </w:p>
    <w:p w14:paraId="0C023F0A">
      <w:pPr>
        <w:pStyle w:val="13"/>
        <w:numPr>
          <w:ilvl w:val="0"/>
          <w:numId w:val="1"/>
        </w:numPr>
        <w:spacing w:before="156" w:beforeLines="50" w:line="300" w:lineRule="auto"/>
        <w:ind w:firstLineChars="0"/>
        <w:rPr>
          <w:rFonts w:eastAsia="仿宋_GB2312"/>
          <w:color w:val="000000" w:themeColor="text1"/>
          <w:sz w:val="24"/>
          <w14:textFill>
            <w14:solidFill>
              <w14:schemeClr w14:val="tx1"/>
            </w14:solidFill>
          </w14:textFill>
        </w:rPr>
      </w:pPr>
      <w:r>
        <w:rPr>
          <w:rFonts w:hint="eastAsia" w:ascii="仿宋_GB2312" w:eastAsia="仿宋_GB2312"/>
          <w:sz w:val="24"/>
        </w:rPr>
        <w:t>本报告请用</w:t>
      </w:r>
      <w:r>
        <w:rPr>
          <w:rFonts w:ascii="仿宋_GB2312" w:eastAsia="仿宋_GB2312"/>
          <w:sz w:val="24"/>
        </w:rPr>
        <w:t>A4纸双面打印</w:t>
      </w:r>
      <w:r>
        <w:rPr>
          <w:rFonts w:hint="eastAsia" w:ascii="仿宋_GB2312" w:eastAsia="仿宋_GB2312"/>
          <w:sz w:val="24"/>
        </w:rPr>
        <w:t>，</w:t>
      </w:r>
      <w:bookmarkStart w:id="0" w:name="OLE_LINK2"/>
      <w:bookmarkStart w:id="1" w:name="OLE_LINK1"/>
      <w:r>
        <w:rPr>
          <w:rFonts w:hint="eastAsia" w:ascii="仿宋_GB2312" w:eastAsia="仿宋_GB2312"/>
          <w:sz w:val="24"/>
        </w:rPr>
        <w:t>于左侧订在一起</w:t>
      </w:r>
      <w:bookmarkEnd w:id="0"/>
      <w:bookmarkEnd w:id="1"/>
      <w:r>
        <w:rPr>
          <w:rFonts w:hint="eastAsia" w:ascii="仿宋_GB2312" w:eastAsia="仿宋_GB2312"/>
          <w:sz w:val="24"/>
        </w:rPr>
        <w:t>。各栏空格不够时，请自行加页。考核前提前一周送交导师、评审专家审阅。</w:t>
      </w:r>
    </w:p>
    <w:p w14:paraId="2B9A8E6B">
      <w:pPr>
        <w:spacing w:before="156" w:beforeLines="50" w:line="300" w:lineRule="auto"/>
        <w:ind w:left="480"/>
        <w:rPr>
          <w:rFonts w:eastAsia="仿宋_GB2312"/>
          <w:sz w:val="24"/>
        </w:rPr>
      </w:pPr>
      <w:r>
        <w:rPr>
          <w:rFonts w:eastAsia="仿宋_GB2312"/>
          <w:sz w:val="24"/>
        </w:rPr>
        <w:t>This report should be printed with A4 paper</w:t>
      </w:r>
      <w:r>
        <w:rPr>
          <w:rFonts w:hint="eastAsia" w:eastAsia="仿宋_GB2312"/>
          <w:sz w:val="24"/>
        </w:rPr>
        <w:t>s</w:t>
      </w:r>
      <w:r>
        <w:rPr>
          <w:rFonts w:eastAsia="仿宋_GB2312"/>
          <w:sz w:val="24"/>
        </w:rPr>
        <w:t xml:space="preserve"> and bound </w:t>
      </w:r>
      <w:r>
        <w:rPr>
          <w:rFonts w:hint="eastAsia" w:eastAsia="仿宋_GB2312"/>
          <w:sz w:val="24"/>
        </w:rPr>
        <w:t xml:space="preserve">together </w:t>
      </w:r>
      <w:r>
        <w:rPr>
          <w:rFonts w:eastAsia="仿宋_GB2312"/>
          <w:sz w:val="24"/>
        </w:rPr>
        <w:t>on the left. If the space left is not enough, please feel free to add extra pages. The print version shall be sent to the supervisor, and the review committee members for review at least one week before the oral presentation.</w:t>
      </w:r>
    </w:p>
    <w:p w14:paraId="174BD04C">
      <w:pPr>
        <w:numPr>
          <w:ilvl w:val="0"/>
          <w:numId w:val="1"/>
        </w:numPr>
        <w:adjustRightInd/>
        <w:spacing w:before="156" w:beforeLines="50" w:line="300" w:lineRule="auto"/>
        <w:ind w:left="480" w:hanging="480" w:hangingChars="200"/>
        <w:textAlignment w:val="auto"/>
        <w:rPr>
          <w:rFonts w:eastAsia="仿宋_GB2312"/>
          <w:sz w:val="24"/>
        </w:rPr>
      </w:pPr>
      <w:r>
        <w:rPr>
          <w:rFonts w:hint="eastAsia" w:ascii="仿宋_GB2312" w:eastAsia="仿宋_GB2312"/>
          <w:sz w:val="24"/>
        </w:rPr>
        <w:t>中期检查报告通过后，定稿版报告由研究生、导师各存档一份，无需上传系统。</w:t>
      </w:r>
    </w:p>
    <w:p w14:paraId="65745047">
      <w:pPr>
        <w:spacing w:before="156" w:beforeLines="50" w:line="300" w:lineRule="auto"/>
        <w:ind w:left="480"/>
        <w:rPr>
          <w:rFonts w:eastAsia="仿宋_GB2312"/>
          <w:sz w:val="24"/>
        </w:rPr>
      </w:pPr>
      <w:r>
        <w:rPr>
          <w:rFonts w:hint="eastAsia" w:eastAsia="仿宋_GB2312"/>
          <w:sz w:val="24"/>
        </w:rPr>
        <w:t>U</w:t>
      </w:r>
      <w:r>
        <w:rPr>
          <w:rFonts w:eastAsia="仿宋_GB2312"/>
          <w:sz w:val="24"/>
        </w:rPr>
        <w:t>pon passing the review, the final version of this report shall be archived by the graduate student and his/her supervisors for future reference.</w:t>
      </w:r>
    </w:p>
    <w:p w14:paraId="15660212">
      <w:pPr>
        <w:spacing w:before="156" w:beforeLines="50" w:line="300" w:lineRule="auto"/>
        <w:ind w:left="480"/>
        <w:rPr>
          <w:rFonts w:eastAsia="仿宋_GB2312"/>
          <w:sz w:val="24"/>
        </w:rPr>
      </w:pPr>
    </w:p>
    <w:p w14:paraId="6AA24FD1">
      <w:pPr>
        <w:snapToGrid w:val="0"/>
        <w:sectPr>
          <w:footerReference r:id="rId10" w:type="first"/>
          <w:footerReference r:id="rId8" w:type="default"/>
          <w:footerReference r:id="rId9" w:type="even"/>
          <w:pgSz w:w="11906" w:h="16838"/>
          <w:pgMar w:top="1418" w:right="1588" w:bottom="1418" w:left="1588" w:header="851" w:footer="851" w:gutter="0"/>
          <w:cols w:space="425" w:num="1"/>
          <w:docGrid w:type="lines" w:linePitch="312" w:charSpace="0"/>
        </w:sectPr>
      </w:pPr>
    </w:p>
    <w:p w14:paraId="43FAAC7F">
      <w:pPr>
        <w:adjustRightInd/>
        <w:spacing w:line="360" w:lineRule="auto"/>
        <w:ind w:left="510"/>
        <w:jc w:val="center"/>
        <w:textAlignment w:val="auto"/>
        <w:rPr>
          <w:rFonts w:eastAsia="仿宋_GB2312"/>
          <w:b/>
          <w:sz w:val="28"/>
          <w:szCs w:val="28"/>
        </w:rPr>
      </w:pPr>
      <w:r>
        <w:rPr>
          <w:rFonts w:hint="eastAsia" w:eastAsia="仿宋_GB2312"/>
          <w:b/>
          <w:sz w:val="28"/>
          <w:szCs w:val="28"/>
        </w:rPr>
        <w:t>中期检查</w:t>
      </w:r>
      <w:r>
        <w:rPr>
          <w:rFonts w:eastAsia="仿宋_GB2312"/>
          <w:b/>
          <w:sz w:val="28"/>
          <w:szCs w:val="28"/>
        </w:rPr>
        <w:t>报告 Mid-term Examination Report</w:t>
      </w: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6458"/>
      </w:tblGrid>
      <w:tr w14:paraId="5891870E">
        <w:trPr>
          <w:jc w:val="center"/>
        </w:trPr>
        <w:tc>
          <w:tcPr>
            <w:tcW w:w="2694" w:type="dxa"/>
            <w:shd w:val="clear" w:color="auto" w:fill="auto"/>
            <w:vAlign w:val="center"/>
          </w:tcPr>
          <w:p w14:paraId="216F7E25">
            <w:pPr>
              <w:spacing w:line="360" w:lineRule="auto"/>
              <w:rPr>
                <w:rFonts w:eastAsia="仿宋_GB2312"/>
                <w:sz w:val="24"/>
              </w:rPr>
            </w:pPr>
            <w:permStart w:id="8" w:edGrp="everyone" w:colFirst="1" w:colLast="1"/>
            <w:r>
              <w:rPr>
                <w:rFonts w:eastAsia="仿宋_GB2312"/>
                <w:sz w:val="24"/>
              </w:rPr>
              <w:t>论文题目</w:t>
            </w:r>
          </w:p>
          <w:p w14:paraId="44A9B916">
            <w:pPr>
              <w:spacing w:line="360" w:lineRule="auto"/>
              <w:rPr>
                <w:rFonts w:eastAsia="仿宋_GB2312"/>
                <w:sz w:val="24"/>
              </w:rPr>
            </w:pPr>
            <w:r>
              <w:rPr>
                <w:rFonts w:eastAsia="仿宋_GB2312"/>
                <w:sz w:val="24"/>
              </w:rPr>
              <w:t>Thesis Title</w:t>
            </w:r>
          </w:p>
        </w:tc>
        <w:tc>
          <w:tcPr>
            <w:tcW w:w="6458" w:type="dxa"/>
            <w:shd w:val="clear" w:color="auto" w:fill="auto"/>
            <w:vAlign w:val="center"/>
          </w:tcPr>
          <w:p w14:paraId="552524EA">
            <w:pPr>
              <w:spacing w:line="360" w:lineRule="auto"/>
              <w:rPr>
                <w:rFonts w:hint="eastAsia" w:eastAsia="仿宋_GB2312"/>
                <w:b/>
                <w:sz w:val="24"/>
              </w:rPr>
            </w:pPr>
            <w:r>
              <w:rPr>
                <w:rFonts w:hint="eastAsia" w:eastAsia="仿宋_GB2312"/>
                <w:b/>
                <w:sz w:val="24"/>
              </w:rPr>
              <w:t>基于笔触拆解计算的数字绘画辅助系统交互设计研究——以“星迹智绘”为例</w:t>
            </w:r>
          </w:p>
          <w:p w14:paraId="7EEC6EE5">
            <w:pPr>
              <w:spacing w:line="360" w:lineRule="auto"/>
              <w:rPr>
                <w:rFonts w:hint="eastAsia" w:eastAsia="仿宋_GB2312"/>
                <w:b/>
                <w:sz w:val="24"/>
              </w:rPr>
            </w:pPr>
            <w:r>
              <w:rPr>
                <w:rFonts w:hint="eastAsia" w:eastAsia="仿宋_GB2312"/>
                <w:b/>
                <w:sz w:val="24"/>
              </w:rPr>
              <w:t>Research on Interaction Design of Digital Painting Assistance System Based on Stroke Decomposition Computation: A Case Study of Star Trace Paint</w:t>
            </w:r>
          </w:p>
        </w:tc>
      </w:tr>
      <w:permEnd w:id="8"/>
      <w:tr w14:paraId="7717257B">
        <w:trPr>
          <w:jc w:val="center"/>
        </w:trPr>
        <w:tc>
          <w:tcPr>
            <w:tcW w:w="2694" w:type="dxa"/>
            <w:shd w:val="clear" w:color="auto" w:fill="auto"/>
            <w:vAlign w:val="center"/>
          </w:tcPr>
          <w:p w14:paraId="0F9EDBD1">
            <w:pPr>
              <w:spacing w:line="360" w:lineRule="auto"/>
              <w:rPr>
                <w:rFonts w:eastAsia="仿宋_GB2312"/>
                <w:sz w:val="24"/>
              </w:rPr>
            </w:pPr>
            <w:r>
              <w:rPr>
                <w:rFonts w:eastAsia="仿宋_GB2312"/>
                <w:sz w:val="24"/>
              </w:rPr>
              <w:t>研究课题来源</w:t>
            </w:r>
          </w:p>
          <w:p w14:paraId="0D8BCA31">
            <w:pPr>
              <w:spacing w:line="360" w:lineRule="auto"/>
              <w:rPr>
                <w:rFonts w:eastAsia="仿宋_GB2312"/>
                <w:sz w:val="24"/>
              </w:rPr>
            </w:pPr>
            <w:r>
              <w:rPr>
                <w:rFonts w:eastAsia="仿宋_GB2312"/>
                <w:sz w:val="24"/>
              </w:rPr>
              <w:t>Source of Research Project</w:t>
            </w:r>
          </w:p>
        </w:tc>
        <w:tc>
          <w:tcPr>
            <w:tcW w:w="6458" w:type="dxa"/>
            <w:shd w:val="clear" w:color="auto" w:fill="auto"/>
          </w:tcPr>
          <w:p w14:paraId="32AC70A7">
            <w:pPr>
              <w:spacing w:line="300" w:lineRule="auto"/>
              <w:jc w:val="left"/>
              <w:rPr>
                <w:rFonts w:ascii="华文仿宋" w:hAnsi="华文仿宋" w:eastAsia="华文仿宋"/>
                <w:szCs w:val="21"/>
              </w:rPr>
            </w:pPr>
            <w:r>
              <w:rPr>
                <w:rFonts w:ascii="华文仿宋" w:hAnsi="华文仿宋" w:eastAsia="华文仿宋"/>
                <w:sz w:val="24"/>
              </w:rPr>
              <w:t>请在合适选项前画</w:t>
            </w:r>
            <w:r>
              <w:rPr>
                <w:rFonts w:hint="eastAsia" w:ascii="华文仿宋" w:hAnsi="华文仿宋" w:eastAsia="华文仿宋"/>
                <w:sz w:val="24"/>
              </w:rPr>
              <w:t xml:space="preserve">√ </w:t>
            </w:r>
            <w:r>
              <w:rPr>
                <w:rFonts w:eastAsia="华文仿宋"/>
                <w:szCs w:val="21"/>
              </w:rPr>
              <w:t xml:space="preserve">Please select the proper options by </w:t>
            </w:r>
            <w:r>
              <w:rPr>
                <w:rFonts w:ascii="华文仿宋" w:hAnsi="华文仿宋" w:eastAsia="华文仿宋"/>
                <w:szCs w:val="21"/>
              </w:rPr>
              <w:t>“</w:t>
            </w:r>
            <w:r>
              <w:rPr>
                <w:rFonts w:hint="eastAsia" w:ascii="华文仿宋" w:hAnsi="华文仿宋" w:eastAsia="华文仿宋"/>
                <w:szCs w:val="21"/>
              </w:rPr>
              <w:t>√</w:t>
            </w:r>
            <w:r>
              <w:rPr>
                <w:rFonts w:ascii="华文仿宋" w:hAnsi="华文仿宋" w:eastAsia="华文仿宋"/>
                <w:szCs w:val="21"/>
              </w:rPr>
              <w:t>”</w:t>
            </w:r>
            <w:r>
              <w:rPr>
                <w:rFonts w:hint="eastAsia" w:ascii="华文仿宋" w:hAnsi="华文仿宋" w:eastAsia="华文仿宋"/>
                <w:szCs w:val="21"/>
              </w:rPr>
              <w:t>.</w:t>
            </w:r>
          </w:p>
          <w:p w14:paraId="61E72F79">
            <w:pPr>
              <w:spacing w:line="300" w:lineRule="auto"/>
              <w:jc w:val="left"/>
              <w:rPr>
                <w:rFonts w:eastAsia="仿宋_GB2312"/>
                <w:sz w:val="24"/>
              </w:rPr>
            </w:pPr>
            <w:r>
              <w:rPr>
                <w:rFonts w:hint="eastAsia"/>
                <w:lang w:eastAsia="zh-CN"/>
              </w:rPr>
              <w:t>☑</w:t>
            </w:r>
            <w:r>
              <w:rPr>
                <w:rFonts w:ascii="Times New Roman" w:hAnsi="Times New Roman" w:eastAsia="宋体"/>
              </w:rPr>
              <w:t xml:space="preserve"> </w:t>
            </w:r>
            <w:r>
              <w:rPr>
                <w:rFonts w:ascii="华文仿宋" w:hAnsi="华文仿宋" w:eastAsia="华文仿宋"/>
                <w:sz w:val="24"/>
              </w:rPr>
              <w:t>国家自然科学基金课题</w:t>
            </w:r>
            <w:r>
              <w:rPr>
                <w:rFonts w:eastAsia="仿宋_GB2312"/>
                <w:sz w:val="24"/>
              </w:rPr>
              <w:t xml:space="preserve"> NSFC Research Grants</w:t>
            </w:r>
          </w:p>
          <w:p w14:paraId="71219B40">
            <w:pPr>
              <w:spacing w:line="300" w:lineRule="auto"/>
              <w:jc w:val="left"/>
              <w:rPr>
                <w:rFonts w:eastAsia="仿宋_GB2312"/>
                <w:sz w:val="24"/>
              </w:rPr>
            </w:pPr>
            <w:sdt>
              <w:sdtPr>
                <w:rPr>
                  <w:rFonts w:ascii="华文仿宋" w:hAnsi="华文仿宋" w:eastAsia="华文仿宋"/>
                  <w:sz w:val="24"/>
                </w:rPr>
                <w:id w:val="328316849"/>
                <w14:checkbox>
                  <w14:checked w14:val="0"/>
                  <w14:checkedState w14:val="221A" w14:font="宋体"/>
                  <w14:uncheckedState w14:val="2610" w14:font="MS Gothic"/>
                </w14:checkbox>
              </w:sdtPr>
              <w:sdtEndPr>
                <w:rPr>
                  <w:rFonts w:ascii="华文仿宋" w:hAnsi="华文仿宋" w:eastAsia="华文仿宋"/>
                  <w:sz w:val="24"/>
                </w:rPr>
              </w:sdtEndPr>
              <w:sdtContent>
                <w:permStart w:id="9" w:edGrp="everyone"/>
                <w:r>
                  <w:rPr>
                    <w:rFonts w:hint="eastAsia" w:ascii="MS Gothic" w:hAnsi="MS Gothic" w:eastAsia="MS Gothic"/>
                    <w:sz w:val="24"/>
                  </w:rPr>
                  <w:t>☐</w:t>
                </w:r>
                <w:permEnd w:id="9"/>
              </w:sdtContent>
            </w:sdt>
            <w:r>
              <w:rPr>
                <w:rFonts w:ascii="华文仿宋" w:hAnsi="华文仿宋" w:eastAsia="华文仿宋"/>
                <w:sz w:val="24"/>
              </w:rPr>
              <w:t xml:space="preserve"> </w:t>
            </w:r>
            <w:r>
              <w:rPr>
                <w:rFonts w:hint="eastAsia" w:ascii="华文仿宋" w:hAnsi="华文仿宋" w:eastAsia="华文仿宋"/>
                <w:sz w:val="24"/>
              </w:rPr>
              <w:t xml:space="preserve">国家社会科学基金 </w:t>
            </w:r>
            <w:r>
              <w:rPr>
                <w:rFonts w:hint="eastAsia" w:eastAsia="仿宋_GB2312"/>
                <w:sz w:val="24"/>
              </w:rPr>
              <w:t>National Social Science Fund of China</w:t>
            </w:r>
          </w:p>
          <w:p w14:paraId="1ED7B81E">
            <w:pPr>
              <w:spacing w:line="300" w:lineRule="auto"/>
              <w:jc w:val="left"/>
              <w:rPr>
                <w:rFonts w:ascii="华文仿宋" w:hAnsi="华文仿宋" w:eastAsia="华文仿宋"/>
                <w:sz w:val="24"/>
              </w:rPr>
            </w:pPr>
            <w:sdt>
              <w:sdtPr>
                <w:rPr>
                  <w:rFonts w:ascii="华文仿宋" w:hAnsi="华文仿宋" w:eastAsia="华文仿宋"/>
                  <w:sz w:val="24"/>
                </w:rPr>
                <w:id w:val="949205886"/>
                <w14:checkbox>
                  <w14:checked w14:val="0"/>
                  <w14:checkedState w14:val="221A" w14:font="宋体"/>
                  <w14:uncheckedState w14:val="2610" w14:font="MS Gothic"/>
                </w14:checkbox>
              </w:sdtPr>
              <w:sdtEndPr>
                <w:rPr>
                  <w:rFonts w:ascii="华文仿宋" w:hAnsi="华文仿宋" w:eastAsia="华文仿宋"/>
                  <w:sz w:val="24"/>
                </w:rPr>
              </w:sdtEndPr>
              <w:sdtContent>
                <w:permStart w:id="10" w:edGrp="everyone"/>
                <w:r>
                  <w:rPr>
                    <w:rFonts w:hint="eastAsia" w:ascii="MS Gothic" w:hAnsi="MS Gothic" w:eastAsia="MS Gothic"/>
                    <w:sz w:val="24"/>
                  </w:rPr>
                  <w:t>☐</w:t>
                </w:r>
                <w:permEnd w:id="10"/>
              </w:sdtContent>
            </w:sdt>
            <w:r>
              <w:rPr>
                <w:rFonts w:ascii="华文仿宋" w:hAnsi="华文仿宋" w:eastAsia="华文仿宋"/>
                <w:sz w:val="24"/>
              </w:rPr>
              <w:t xml:space="preserve"> 国家重大科研专项 </w:t>
            </w:r>
            <w:r>
              <w:rPr>
                <w:rFonts w:eastAsia="仿宋_GB2312"/>
                <w:sz w:val="24"/>
              </w:rPr>
              <w:t>National Key Research Project</w:t>
            </w:r>
            <w:r>
              <w:rPr>
                <w:rFonts w:hint="eastAsia" w:eastAsia="仿宋_GB2312"/>
                <w:sz w:val="24"/>
              </w:rPr>
              <w:t>s</w:t>
            </w:r>
          </w:p>
          <w:p w14:paraId="756A6DED">
            <w:pPr>
              <w:spacing w:line="300" w:lineRule="auto"/>
              <w:jc w:val="left"/>
              <w:rPr>
                <w:rFonts w:ascii="华文仿宋" w:hAnsi="华文仿宋" w:eastAsia="华文仿宋"/>
                <w:sz w:val="24"/>
              </w:rPr>
            </w:pPr>
            <w:sdt>
              <w:sdtPr>
                <w:rPr>
                  <w:rFonts w:ascii="华文仿宋" w:hAnsi="华文仿宋" w:eastAsia="华文仿宋"/>
                  <w:sz w:val="24"/>
                </w:rPr>
                <w:id w:val="25677614"/>
                <w14:checkbox>
                  <w14:checked w14:val="0"/>
                  <w14:checkedState w14:val="221A" w14:font="宋体"/>
                  <w14:uncheckedState w14:val="2610" w14:font="MS Gothic"/>
                </w14:checkbox>
              </w:sdtPr>
              <w:sdtEndPr>
                <w:rPr>
                  <w:rFonts w:ascii="华文仿宋" w:hAnsi="华文仿宋" w:eastAsia="华文仿宋"/>
                  <w:sz w:val="24"/>
                </w:rPr>
              </w:sdtEndPr>
              <w:sdtContent>
                <w:permStart w:id="11" w:edGrp="everyone"/>
                <w:r>
                  <w:rPr>
                    <w:rFonts w:hint="eastAsia" w:ascii="MS Gothic" w:hAnsi="MS Gothic" w:eastAsia="MS Gothic"/>
                    <w:sz w:val="24"/>
                  </w:rPr>
                  <w:t>☐</w:t>
                </w:r>
                <w:permEnd w:id="11"/>
              </w:sdtContent>
            </w:sdt>
            <w:r>
              <w:rPr>
                <w:rFonts w:ascii="华文仿宋" w:hAnsi="华文仿宋" w:eastAsia="华文仿宋"/>
                <w:sz w:val="24"/>
              </w:rPr>
              <w:t xml:space="preserve"> 其它纵向科研课题 </w:t>
            </w:r>
            <w:r>
              <w:rPr>
                <w:rFonts w:eastAsia="仿宋_GB2312"/>
                <w:sz w:val="24"/>
              </w:rPr>
              <w:t>Other Governmental Research Grants</w:t>
            </w:r>
          </w:p>
          <w:p w14:paraId="06699B07">
            <w:pPr>
              <w:spacing w:line="300" w:lineRule="auto"/>
              <w:jc w:val="left"/>
              <w:rPr>
                <w:rFonts w:ascii="华文仿宋" w:hAnsi="华文仿宋" w:eastAsia="华文仿宋"/>
                <w:sz w:val="24"/>
              </w:rPr>
            </w:pPr>
            <w:sdt>
              <w:sdtPr>
                <w:rPr>
                  <w:rFonts w:ascii="华文仿宋" w:hAnsi="华文仿宋" w:eastAsia="华文仿宋"/>
                  <w:sz w:val="24"/>
                </w:rPr>
                <w:id w:val="1876728893"/>
                <w14:checkbox>
                  <w14:checked w14:val="0"/>
                  <w14:checkedState w14:val="221A" w14:font="宋体"/>
                  <w14:uncheckedState w14:val="2610" w14:font="MS Gothic"/>
                </w14:checkbox>
              </w:sdtPr>
              <w:sdtEndPr>
                <w:rPr>
                  <w:rFonts w:ascii="华文仿宋" w:hAnsi="华文仿宋" w:eastAsia="华文仿宋"/>
                  <w:sz w:val="24"/>
                </w:rPr>
              </w:sdtEndPr>
              <w:sdtContent>
                <w:permStart w:id="12" w:edGrp="everyone"/>
                <w:r>
                  <w:rPr>
                    <w:rFonts w:hint="eastAsia" w:ascii="MS Gothic" w:hAnsi="MS Gothic" w:eastAsia="MS Gothic"/>
                    <w:sz w:val="24"/>
                  </w:rPr>
                  <w:t>☐</w:t>
                </w:r>
                <w:permEnd w:id="12"/>
              </w:sdtContent>
            </w:sdt>
            <w:r>
              <w:rPr>
                <w:rFonts w:ascii="华文仿宋" w:hAnsi="华文仿宋" w:eastAsia="华文仿宋"/>
                <w:sz w:val="24"/>
              </w:rPr>
              <w:t xml:space="preserve"> 企业横向课题</w:t>
            </w:r>
            <w:r>
              <w:rPr>
                <w:rFonts w:eastAsia="仿宋_GB2312"/>
                <w:sz w:val="24"/>
              </w:rPr>
              <w:t xml:space="preserve"> R&amp;D Projects from Industry</w:t>
            </w:r>
          </w:p>
          <w:p w14:paraId="2678DE47">
            <w:pPr>
              <w:spacing w:line="300" w:lineRule="auto"/>
              <w:jc w:val="left"/>
              <w:rPr>
                <w:rFonts w:eastAsia="华文楷体"/>
                <w:sz w:val="24"/>
              </w:rPr>
            </w:pPr>
            <w:sdt>
              <w:sdtPr>
                <w:rPr>
                  <w:rFonts w:ascii="华文仿宋" w:hAnsi="华文仿宋" w:eastAsia="华文仿宋"/>
                  <w:sz w:val="24"/>
                </w:rPr>
                <w:id w:val="135792000"/>
                <w14:checkbox>
                  <w14:checked w14:val="0"/>
                  <w14:checkedState w14:val="221A" w14:font="宋体"/>
                  <w14:uncheckedState w14:val="2610" w14:font="MS Gothic"/>
                </w14:checkbox>
              </w:sdtPr>
              <w:sdtEndPr>
                <w:rPr>
                  <w:rFonts w:ascii="华文仿宋" w:hAnsi="华文仿宋" w:eastAsia="华文仿宋"/>
                  <w:sz w:val="24"/>
                </w:rPr>
              </w:sdtEndPr>
              <w:sdtContent>
                <w:permStart w:id="13" w:edGrp="everyone"/>
                <w:r>
                  <w:rPr>
                    <w:rFonts w:hint="eastAsia" w:ascii="MS Gothic" w:hAnsi="MS Gothic" w:eastAsia="MS Gothic"/>
                    <w:sz w:val="24"/>
                  </w:rPr>
                  <w:t>☐</w:t>
                </w:r>
                <w:permEnd w:id="13"/>
              </w:sdtContent>
            </w:sdt>
            <w:r>
              <w:rPr>
                <w:rFonts w:ascii="华文仿宋" w:hAnsi="华文仿宋" w:eastAsia="华文仿宋"/>
                <w:sz w:val="24"/>
              </w:rPr>
              <w:t xml:space="preserve"> 自拟课题 </w:t>
            </w:r>
            <w:r>
              <w:rPr>
                <w:rFonts w:eastAsia="仿宋_GB2312"/>
                <w:sz w:val="24"/>
              </w:rPr>
              <w:t>Self-proposed Project</w:t>
            </w:r>
          </w:p>
        </w:tc>
      </w:tr>
      <w:tr w14:paraId="7B24C17D">
        <w:trPr>
          <w:jc w:val="center"/>
        </w:trPr>
        <w:tc>
          <w:tcPr>
            <w:tcW w:w="2694" w:type="dxa"/>
            <w:shd w:val="clear" w:color="auto" w:fill="auto"/>
            <w:vAlign w:val="center"/>
          </w:tcPr>
          <w:p w14:paraId="0BF59315">
            <w:pPr>
              <w:spacing w:line="360" w:lineRule="auto"/>
              <w:rPr>
                <w:rFonts w:eastAsia="仿宋_GB2312"/>
                <w:sz w:val="24"/>
              </w:rPr>
            </w:pPr>
            <w:permStart w:id="14" w:edGrp="everyone" w:colFirst="1" w:colLast="1"/>
            <w:r>
              <w:rPr>
                <w:rFonts w:eastAsia="仿宋_GB2312"/>
                <w:sz w:val="24"/>
              </w:rPr>
              <w:t>论文开题日期</w:t>
            </w:r>
          </w:p>
          <w:p w14:paraId="5F761062">
            <w:pPr>
              <w:spacing w:line="360" w:lineRule="auto"/>
              <w:rPr>
                <w:rFonts w:eastAsia="仿宋_GB2312"/>
                <w:sz w:val="24"/>
              </w:rPr>
            </w:pPr>
            <w:r>
              <w:rPr>
                <w:rFonts w:hint="eastAsia" w:eastAsia="仿宋_GB2312"/>
                <w:sz w:val="24"/>
              </w:rPr>
              <w:t>Thesis</w:t>
            </w:r>
            <w:r>
              <w:rPr>
                <w:rFonts w:eastAsia="仿宋_GB2312"/>
                <w:sz w:val="24"/>
              </w:rPr>
              <w:t xml:space="preserve"> </w:t>
            </w:r>
            <w:r>
              <w:rPr>
                <w:rFonts w:hint="eastAsia" w:eastAsia="仿宋_GB2312"/>
                <w:sz w:val="24"/>
              </w:rPr>
              <w:t>Proposal Date</w:t>
            </w:r>
          </w:p>
        </w:tc>
        <w:tc>
          <w:tcPr>
            <w:tcW w:w="6458" w:type="dxa"/>
            <w:shd w:val="clear" w:color="auto" w:fill="auto"/>
            <w:vAlign w:val="center"/>
          </w:tcPr>
          <w:p w14:paraId="093D377E">
            <w:pPr>
              <w:spacing w:line="300" w:lineRule="auto"/>
              <w:rPr>
                <w:rFonts w:ascii="华文仿宋" w:hAnsi="华文仿宋" w:eastAsia="华文仿宋"/>
                <w:sz w:val="24"/>
              </w:rPr>
            </w:pPr>
            <w:r>
              <w:rPr>
                <w:rFonts w:hint="eastAsia" w:ascii="华文仿宋" w:hAnsi="华文仿宋" w:eastAsia="华文仿宋"/>
                <w:sz w:val="24"/>
              </w:rPr>
              <w:t>2025 年 11 月 12 日</w:t>
            </w:r>
          </w:p>
        </w:tc>
      </w:tr>
      <w:permEnd w:id="14"/>
    </w:tbl>
    <w:p w14:paraId="6080FBDC">
      <w:pPr>
        <w:numPr>
          <w:ilvl w:val="0"/>
          <w:numId w:val="2"/>
        </w:numPr>
        <w:adjustRightInd/>
        <w:spacing w:before="240" w:after="240" w:line="240" w:lineRule="auto"/>
        <w:textAlignment w:val="auto"/>
        <w:rPr>
          <w:rFonts w:eastAsia="仿宋_GB2312"/>
          <w:sz w:val="24"/>
        </w:rPr>
      </w:pPr>
      <w:r>
        <w:rPr>
          <w:rFonts w:hint="eastAsia" w:eastAsia="仿宋_GB2312"/>
          <w:b/>
          <w:sz w:val="24"/>
        </w:rPr>
        <w:t>报告正文 R</w:t>
      </w:r>
      <w:r>
        <w:rPr>
          <w:rFonts w:eastAsia="仿宋_GB2312"/>
          <w:b/>
          <w:sz w:val="24"/>
        </w:rPr>
        <w:t>eport</w:t>
      </w:r>
      <w:r>
        <w:rPr>
          <w:rFonts w:hint="eastAsia" w:eastAsia="仿宋_GB2312"/>
          <w:b/>
          <w:sz w:val="24"/>
        </w:rPr>
        <w:t>。</w:t>
      </w:r>
      <w:r>
        <w:rPr>
          <w:rFonts w:hint="eastAsia" w:eastAsia="仿宋_GB2312"/>
          <w:sz w:val="24"/>
        </w:rPr>
        <w:t>请阐述开题报告以来学位论文研究工作的进展情况及所取得的阶段性成果，并简述下一阶段研究计划，不少于</w:t>
      </w:r>
      <w:r>
        <w:rPr>
          <w:rFonts w:eastAsia="仿宋_GB2312"/>
          <w:sz w:val="24"/>
        </w:rPr>
        <w:t>4</w:t>
      </w:r>
      <w:r>
        <w:rPr>
          <w:rFonts w:hint="eastAsia" w:eastAsia="仿宋_GB2312"/>
          <w:sz w:val="24"/>
        </w:rPr>
        <w:t>000汉字。</w:t>
      </w:r>
      <w:r>
        <w:rPr>
          <w:rFonts w:eastAsia="仿宋_GB2312"/>
          <w:sz w:val="24"/>
        </w:rPr>
        <w:t>Please summarize your research progress and achievements since your thesis proposal as well as your plan for next step. No less than 3200 words if written in English.</w:t>
      </w:r>
    </w:p>
    <w:p w14:paraId="43941175">
      <w:pPr>
        <w:snapToGrid w:val="0"/>
        <w:ind w:firstLine="480" w:firstLineChars="200"/>
        <w:jc w:val="left"/>
        <w:rPr>
          <w:rFonts w:eastAsia="华文楷体"/>
          <w:sz w:val="24"/>
        </w:rPr>
      </w:pPr>
      <w:permStart w:id="15" w:edGrp="everyone"/>
      <w:r>
        <w:rPr>
          <w:rFonts w:ascii="Times New Roman" w:hAnsi="Times New Roman" w:cs="Times New Roman"/>
          <w:b/>
          <w:sz w:val="24"/>
          <w:highlight w:val="yellow"/>
        </w:rPr>
        <w:t>本人承诺，中期检查报告正文中文字数</w:t>
      </w:r>
      <w:r>
        <w:rPr>
          <w:rFonts w:ascii="Times New Roman" w:hAnsi="Times New Roman" w:cs="Times New Roman"/>
          <w:sz w:val="24"/>
          <w:u w:val="single"/>
        </w:rPr>
        <w:t xml:space="preserve"> </w:t>
      </w:r>
      <w:r>
        <w:rPr>
          <w:rFonts w:ascii="Times New Roman" w:hAnsi="Times New Roman" w:cs="Times New Roman"/>
          <w:b/>
          <w:sz w:val="24"/>
          <w:u w:val="single"/>
        </w:rPr>
        <w:t xml:space="preserve">  </w:t>
      </w:r>
      <w:r>
        <w:rPr>
          <w:rFonts w:ascii="Times New Roman" w:hAnsi="Times New Roman" w:cs="Times New Roman"/>
          <w:sz w:val="24"/>
          <w:u w:val="single"/>
        </w:rPr>
        <w:t xml:space="preserve"> </w:t>
      </w:r>
      <w:r>
        <w:rPr>
          <w:rFonts w:ascii="Times New Roman" w:hAnsi="Times New Roman" w:cs="Times New Roman"/>
          <w:b/>
          <w:sz w:val="24"/>
          <w:highlight w:val="yellow"/>
        </w:rPr>
        <w:t xml:space="preserve">，英文字数 </w:t>
      </w:r>
      <w:r>
        <w:rPr>
          <w:rFonts w:ascii="Times New Roman" w:hAnsi="Times New Roman" w:cs="Times New Roman"/>
          <w:sz w:val="24"/>
          <w:highlight w:val="yellow"/>
          <w:u w:val="single"/>
        </w:rPr>
        <w:t xml:space="preserve"> </w:t>
      </w:r>
      <w:r>
        <w:rPr>
          <w:rFonts w:ascii="Times New Roman" w:hAnsi="Times New Roman" w:cs="Times New Roman"/>
          <w:b/>
          <w:sz w:val="24"/>
          <w:highlight w:val="yellow"/>
          <w:u w:val="single"/>
        </w:rPr>
        <w:t xml:space="preserve">   </w:t>
      </w:r>
      <w:r>
        <w:rPr>
          <w:rFonts w:ascii="Times New Roman" w:hAnsi="Times New Roman" w:cs="Times New Roman"/>
          <w:b/>
          <w:sz w:val="24"/>
          <w:highlight w:val="yellow"/>
        </w:rPr>
        <w:t>。若与事实不符，本人愿承担相应后果。</w:t>
      </w:r>
    </w:p>
    <w:p w14:paraId="2EA6B715">
      <w:pPr>
        <w:snapToGrid w:val="0"/>
        <w:ind w:firstLine="480" w:firstLineChars="200"/>
        <w:jc w:val="left"/>
        <w:rPr>
          <w:rFonts w:eastAsia="华文楷体"/>
          <w:sz w:val="24"/>
        </w:rPr>
      </w:pPr>
    </w:p>
    <w:p w14:paraId="1B3F6530">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一、研究目标与中期工作概况</w:t>
      </w:r>
    </w:p>
    <w:p w14:paraId="463FB7B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本课题围绕</w:t>
      </w:r>
      <w:r>
        <w:rPr>
          <w:rFonts w:hint="eastAsia" w:asciiTheme="minorEastAsia" w:hAnsiTheme="minorEastAsia" w:eastAsiaTheme="minorEastAsia" w:cstheme="minorEastAsia"/>
          <w:lang w:val="en-US" w:eastAsia="zh-CN"/>
        </w:rPr>
        <w:t>绘画初学者</w:t>
      </w:r>
      <w:r>
        <w:rPr>
          <w:rFonts w:hint="eastAsia" w:asciiTheme="minorEastAsia" w:hAnsiTheme="minorEastAsia" w:eastAsiaTheme="minorEastAsia" w:cstheme="minorEastAsia"/>
        </w:rPr>
        <w:t>的数字绘画体验展开，研究如何</w:t>
      </w:r>
      <w:r>
        <w:rPr>
          <w:rFonts w:hint="eastAsia" w:asciiTheme="minorEastAsia" w:hAnsiTheme="minorEastAsia" w:eastAsiaTheme="minorEastAsia" w:cstheme="minorEastAsia"/>
          <w:lang w:val="en-US" w:eastAsia="zh-CN"/>
        </w:rPr>
        <w:t>通过设计一款绘画交互系统，</w:t>
      </w:r>
      <w:r>
        <w:rPr>
          <w:rFonts w:hint="eastAsia" w:asciiTheme="minorEastAsia" w:hAnsiTheme="minorEastAsia" w:eastAsiaTheme="minorEastAsia" w:cstheme="minorEastAsia"/>
        </w:rPr>
        <w:t>将</w:t>
      </w:r>
      <w:r>
        <w:rPr>
          <w:rFonts w:hint="eastAsia" w:asciiTheme="minorEastAsia" w:hAnsiTheme="minorEastAsia" w:eastAsiaTheme="minorEastAsia" w:cstheme="minorEastAsia"/>
          <w:lang w:val="en-US" w:eastAsia="zh-CN"/>
        </w:rPr>
        <w:t>传统的已有图像</w:t>
      </w:r>
      <w:r>
        <w:rPr>
          <w:rFonts w:hint="eastAsia" w:asciiTheme="minorEastAsia" w:hAnsiTheme="minorEastAsia" w:eastAsiaTheme="minorEastAsia" w:cstheme="minorEastAsia"/>
        </w:rPr>
        <w:t>笔触</w:t>
      </w:r>
      <w:r>
        <w:rPr>
          <w:rFonts w:hint="eastAsia" w:asciiTheme="minorEastAsia" w:hAnsiTheme="minorEastAsia" w:eastAsiaTheme="minorEastAsia" w:cstheme="minorEastAsia"/>
          <w:lang w:val="en-US" w:eastAsia="zh-CN"/>
        </w:rPr>
        <w:t>拆解计算</w:t>
      </w:r>
      <w:r>
        <w:rPr>
          <w:rFonts w:hint="eastAsia" w:asciiTheme="minorEastAsia" w:hAnsiTheme="minorEastAsia" w:eastAsiaTheme="minorEastAsia" w:cstheme="minorEastAsia"/>
        </w:rPr>
        <w:t>表达转化为可理解、可执行的操作引导，帮助使用者开始绘画、持续推进并获得创作满足感。</w:t>
      </w:r>
    </w:p>
    <w:p w14:paraId="1D6C7057">
      <w:pPr>
        <w:pStyle w:val="16"/>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论文题目为“基于笔触拆解算法的数字绘画辅助系统交互设计研究——以‘星迹智绘’为例”。研究关注</w:t>
      </w:r>
      <w:r>
        <w:rPr>
          <w:rFonts w:hint="eastAsia" w:asciiTheme="minorEastAsia" w:hAnsiTheme="minorEastAsia" w:eastAsiaTheme="minorEastAsia" w:cstheme="minorEastAsia"/>
          <w:lang w:val="en-US" w:eastAsia="zh-CN"/>
        </w:rPr>
        <w:t>于绘画初学者进行电子绘画时的</w:t>
      </w:r>
      <w:r>
        <w:rPr>
          <w:rFonts w:hint="eastAsia" w:asciiTheme="minorEastAsia" w:hAnsiTheme="minorEastAsia" w:eastAsiaTheme="minorEastAsia" w:cstheme="minorEastAsia"/>
        </w:rPr>
        <w:t>“不会画、不想画、怕画不好”</w:t>
      </w:r>
      <w:r>
        <w:rPr>
          <w:rFonts w:hint="eastAsia" w:asciiTheme="minorEastAsia" w:hAnsiTheme="minorEastAsia" w:eastAsiaTheme="minorEastAsia" w:cstheme="minorEastAsia"/>
          <w:lang w:val="en-US" w:eastAsia="zh-CN"/>
        </w:rPr>
        <w:t>多种绘画难点于抵触点</w:t>
      </w:r>
      <w:r>
        <w:rPr>
          <w:rFonts w:hint="eastAsia" w:asciiTheme="minorEastAsia" w:hAnsiTheme="minorEastAsia" w:eastAsiaTheme="minorEastAsia" w:cstheme="minorEastAsia"/>
        </w:rPr>
        <w:t>，分别对应操作方法不明确、行动意愿不足以及对结果的不确定感</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通过设计此绘画</w:t>
      </w:r>
      <w:r>
        <w:rPr>
          <w:rFonts w:hint="eastAsia" w:asciiTheme="minorEastAsia" w:hAnsiTheme="minorEastAsia" w:eastAsiaTheme="minorEastAsia" w:cstheme="minorEastAsia"/>
        </w:rPr>
        <w:t>系统</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希望通过清晰的下一</w:t>
      </w:r>
      <w:r>
        <w:rPr>
          <w:rFonts w:hint="eastAsia" w:asciiTheme="minorEastAsia" w:hAnsiTheme="minorEastAsia" w:eastAsiaTheme="minorEastAsia" w:cstheme="minorEastAsia"/>
          <w:lang w:val="en-US" w:eastAsia="zh-CN"/>
        </w:rPr>
        <w:t>笔触交互</w:t>
      </w:r>
      <w:r>
        <w:rPr>
          <w:rFonts w:hint="eastAsia" w:asciiTheme="minorEastAsia" w:hAnsiTheme="minorEastAsia" w:eastAsiaTheme="minorEastAsia" w:cstheme="minorEastAsia"/>
        </w:rPr>
        <w:t>提示</w:t>
      </w:r>
      <w:r>
        <w:rPr>
          <w:rFonts w:hint="eastAsia" w:asciiTheme="minorEastAsia" w:hAnsiTheme="minorEastAsia" w:eastAsiaTheme="minorEastAsia" w:cstheme="minorEastAsia"/>
          <w:lang w:val="en-US" w:eastAsia="zh-CN"/>
        </w:rPr>
        <w:t>以</w:t>
      </w:r>
      <w:r>
        <w:rPr>
          <w:rFonts w:hint="eastAsia" w:asciiTheme="minorEastAsia" w:hAnsiTheme="minorEastAsia" w:eastAsiaTheme="minorEastAsia" w:cstheme="minorEastAsia"/>
        </w:rPr>
        <w:t>降低这些障碍</w:t>
      </w:r>
      <w:r>
        <w:rPr>
          <w:rFonts w:hint="eastAsia" w:asciiTheme="minorEastAsia" w:hAnsiTheme="minorEastAsia" w:eastAsiaTheme="minorEastAsia" w:cstheme="minorEastAsia"/>
          <w:lang w:eastAsia="zh-CN"/>
        </w:rPr>
        <w:t>。</w:t>
      </w:r>
    </w:p>
    <w:p w14:paraId="245068BA">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开题阶段</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本项目初步</w:t>
      </w:r>
      <w:r>
        <w:rPr>
          <w:rFonts w:hint="eastAsia" w:asciiTheme="minorEastAsia" w:hAnsiTheme="minorEastAsia" w:eastAsiaTheme="minorEastAsia" w:cstheme="minorEastAsia"/>
        </w:rPr>
        <w:t>确定了</w:t>
      </w:r>
      <w:r>
        <w:rPr>
          <w:rFonts w:hint="eastAsia" w:asciiTheme="minorEastAsia" w:hAnsiTheme="minorEastAsia" w:eastAsiaTheme="minorEastAsia" w:cstheme="minorEastAsia"/>
          <w:lang w:val="en-US" w:eastAsia="zh-CN"/>
        </w:rPr>
        <w:t>大致的</w:t>
      </w:r>
      <w:r>
        <w:rPr>
          <w:rFonts w:hint="eastAsia" w:asciiTheme="minorEastAsia" w:hAnsiTheme="minorEastAsia" w:eastAsiaTheme="minorEastAsia" w:cstheme="minorEastAsia"/>
        </w:rPr>
        <w:t>研究方向、问题意识和产品构想，尚未形成可运行的系统。</w:t>
      </w:r>
      <w:r>
        <w:rPr>
          <w:rFonts w:hint="eastAsia" w:asciiTheme="minorEastAsia" w:hAnsiTheme="minorEastAsia" w:eastAsiaTheme="minorEastAsia" w:cstheme="minorEastAsia"/>
          <w:lang w:val="en-US" w:eastAsia="zh-CN"/>
        </w:rPr>
        <w:t>后续</w:t>
      </w:r>
      <w:r>
        <w:rPr>
          <w:rFonts w:hint="eastAsia" w:asciiTheme="minorEastAsia" w:hAnsiTheme="minorEastAsia" w:eastAsiaTheme="minorEastAsia" w:cstheme="minorEastAsia"/>
        </w:rPr>
        <w:t>阶段工作主要集中于四个方面：</w:t>
      </w:r>
      <w:r>
        <w:rPr>
          <w:rFonts w:hint="eastAsia" w:asciiTheme="minorEastAsia" w:hAnsiTheme="minorEastAsia" w:eastAsiaTheme="minorEastAsia" w:cstheme="minorEastAsia"/>
          <w:lang w:val="en-US" w:eastAsia="zh-CN"/>
        </w:rPr>
        <w:t>（1）</w:t>
      </w:r>
      <w:r>
        <w:rPr>
          <w:rFonts w:hint="eastAsia" w:asciiTheme="minorEastAsia" w:hAnsiTheme="minorEastAsia" w:eastAsiaTheme="minorEastAsia" w:cstheme="minorEastAsia"/>
        </w:rPr>
        <w:t>搜集与梳理</w:t>
      </w:r>
      <w:r>
        <w:rPr>
          <w:rFonts w:hint="eastAsia" w:asciiTheme="minorEastAsia" w:hAnsiTheme="minorEastAsia" w:eastAsiaTheme="minorEastAsia" w:cstheme="minorEastAsia"/>
          <w:lang w:val="en-US" w:eastAsia="zh-CN"/>
        </w:rPr>
        <w:t>传统的</w:t>
      </w:r>
      <w:r>
        <w:rPr>
          <w:rFonts w:hint="eastAsia" w:asciiTheme="minorEastAsia" w:hAnsiTheme="minorEastAsia" w:eastAsiaTheme="minorEastAsia" w:cstheme="minorEastAsia"/>
        </w:rPr>
        <w:t>笔触式渲染及神经绘画相关算法；</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2）</w:t>
      </w:r>
      <w:r>
        <w:rPr>
          <w:rFonts w:hint="eastAsia" w:asciiTheme="minorEastAsia" w:hAnsiTheme="minorEastAsia" w:eastAsiaTheme="minorEastAsia" w:cstheme="minorEastAsia"/>
        </w:rPr>
        <w:t>融合方法思想并完成适合浏览器交互的笔触规划实现；</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3）</w:t>
      </w:r>
      <w:r>
        <w:rPr>
          <w:rFonts w:hint="eastAsia" w:asciiTheme="minorEastAsia" w:hAnsiTheme="minorEastAsia" w:eastAsiaTheme="minorEastAsia" w:cstheme="minorEastAsia"/>
        </w:rPr>
        <w:t>搭建选图、绘画、反馈和作品保存的交互流程及视觉界面；</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4）</w:t>
      </w:r>
      <w:r>
        <w:rPr>
          <w:rFonts w:hint="eastAsia" w:asciiTheme="minorEastAsia" w:hAnsiTheme="minorEastAsia" w:eastAsiaTheme="minorEastAsia" w:cstheme="minorEastAsia"/>
        </w:rPr>
        <w:t>开发支持对比实验的数据采集、研究管理和分析展示模块。目前已形成可操作、可演示的</w:t>
      </w:r>
      <w:r>
        <w:rPr>
          <w:rFonts w:hint="eastAsia" w:asciiTheme="minorEastAsia" w:hAnsiTheme="minorEastAsia" w:eastAsiaTheme="minorEastAsia" w:cstheme="minorEastAsia"/>
          <w:lang w:val="en-US" w:eastAsia="zh-CN"/>
        </w:rPr>
        <w:t>自研</w:t>
      </w:r>
      <w:r>
        <w:rPr>
          <w:rFonts w:hint="eastAsia" w:asciiTheme="minorEastAsia" w:hAnsiTheme="minorEastAsia" w:eastAsiaTheme="minorEastAsia" w:cstheme="minorEastAsia"/>
        </w:rPr>
        <w:t>“星迹智绘”网页原型，研究进入以真实使用检验设计的准备阶段。</w:t>
      </w:r>
    </w:p>
    <w:p w14:paraId="2E54F99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本研究将</w:t>
      </w:r>
      <w:r>
        <w:rPr>
          <w:rFonts w:hint="eastAsia" w:asciiTheme="minorEastAsia" w:hAnsiTheme="minorEastAsia" w:eastAsiaTheme="minorEastAsia" w:cstheme="minorEastAsia"/>
          <w:lang w:val="en-US" w:eastAsia="zh-CN"/>
        </w:rPr>
        <w:t>传统</w:t>
      </w:r>
      <w:r>
        <w:rPr>
          <w:rFonts w:hint="eastAsia" w:asciiTheme="minorEastAsia" w:hAnsiTheme="minorEastAsia" w:eastAsiaTheme="minorEastAsia" w:cstheme="minorEastAsia"/>
        </w:rPr>
        <w:t>算法</w:t>
      </w:r>
      <w:r>
        <w:rPr>
          <w:rFonts w:hint="eastAsia" w:asciiTheme="minorEastAsia" w:hAnsiTheme="minorEastAsia" w:eastAsiaTheme="minorEastAsia" w:cstheme="minorEastAsia"/>
          <w:lang w:val="en-US" w:eastAsia="zh-CN"/>
        </w:rPr>
        <w:t>的前端应用化设计</w:t>
      </w:r>
      <w:r>
        <w:rPr>
          <w:rFonts w:hint="eastAsia" w:asciiTheme="minorEastAsia" w:hAnsiTheme="minorEastAsia" w:eastAsiaTheme="minorEastAsia" w:cstheme="minorEastAsia"/>
        </w:rPr>
        <w:t>、交互</w:t>
      </w:r>
      <w:r>
        <w:rPr>
          <w:rFonts w:hint="eastAsia" w:asciiTheme="minorEastAsia" w:hAnsiTheme="minorEastAsia" w:eastAsiaTheme="minorEastAsia" w:cstheme="minorEastAsia"/>
          <w:lang w:val="en-US" w:eastAsia="zh-CN"/>
        </w:rPr>
        <w:t>设计</w:t>
      </w:r>
      <w:r>
        <w:rPr>
          <w:rFonts w:hint="eastAsia" w:asciiTheme="minorEastAsia" w:hAnsiTheme="minorEastAsia" w:eastAsiaTheme="minorEastAsia" w:cstheme="minorEastAsia"/>
        </w:rPr>
        <w:t>和评价放在同一条研究主线上。算法提供有序的绘画动作</w:t>
      </w:r>
      <w:r>
        <w:rPr>
          <w:rFonts w:hint="eastAsia" w:asciiTheme="minorEastAsia" w:hAnsiTheme="minorEastAsia" w:eastAsiaTheme="minorEastAsia" w:cstheme="minorEastAsia"/>
          <w:lang w:val="en-US" w:eastAsia="zh-CN"/>
        </w:rPr>
        <w:t>规则与参数</w:t>
      </w:r>
      <w:r>
        <w:rPr>
          <w:rFonts w:hint="eastAsia" w:asciiTheme="minorEastAsia" w:hAnsiTheme="minorEastAsia" w:eastAsiaTheme="minorEastAsia" w:cstheme="minorEastAsia"/>
        </w:rPr>
        <w:t>，交互设计将位置、方向、颜色、宽度和进度转译为易于理解的提示，系统记录实际操作与主观反馈，后续实验再评价这种帮助是否有效。</w:t>
      </w:r>
    </w:p>
    <w:p w14:paraId="6A13FFE0">
      <w:pPr>
        <w:pStyle w:val="16"/>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该作品项目已完成云部署：</w:t>
      </w:r>
      <w:r>
        <w:rPr>
          <w:rFonts w:hint="eastAsia" w:asciiTheme="minorEastAsia" w:hAnsiTheme="minorEastAsia" w:eastAsiaTheme="minorEastAsia" w:cstheme="minorEastAsia"/>
        </w:rPr>
        <w:fldChar w:fldCharType="begin"/>
      </w:r>
      <w:r>
        <w:rPr>
          <w:rFonts w:hint="eastAsia" w:asciiTheme="minorEastAsia" w:hAnsiTheme="minorEastAsia" w:eastAsiaTheme="minorEastAsia" w:cstheme="minorEastAsia"/>
        </w:rPr>
        <w:instrText xml:space="preserve"> HYPERLINK "https://startrace-306119-11-1416317231.sh.run.tcloudbase.com/" </w:instrText>
      </w:r>
      <w:r>
        <w:rPr>
          <w:rFonts w:hint="eastAsia" w:asciiTheme="minorEastAsia" w:hAnsiTheme="minorEastAsia" w:eastAsiaTheme="minorEastAsia" w:cstheme="minorEastAsia"/>
        </w:rPr>
        <w:fldChar w:fldCharType="separate"/>
      </w:r>
      <w:r>
        <w:rPr>
          <w:rStyle w:val="10"/>
          <w:rFonts w:hint="eastAsia" w:asciiTheme="minorEastAsia" w:hAnsiTheme="minorEastAsia" w:eastAsiaTheme="minorEastAsia" w:cstheme="minorEastAsia"/>
        </w:rPr>
        <w:t>https://startrace-306119-11-1416317231.sh.run.tcloudbase.com/</w:t>
      </w:r>
      <w:r>
        <w:rPr>
          <w:rFonts w:hint="eastAsia" w:asciiTheme="minorEastAsia" w:hAnsiTheme="minorEastAsia" w:eastAsiaTheme="minorEastAsia" w:cstheme="minorEastAsia"/>
        </w:rPr>
        <w:fldChar w:fldCharType="end"/>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可在线体验。</w:t>
      </w:r>
    </w:p>
    <w:p w14:paraId="6C078ED0">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二、相关算法的搜集、理解与方法整合</w:t>
      </w:r>
    </w:p>
    <w:p w14:paraId="052264AD">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2.1 笔触式渲染的基础原理</w:t>
      </w:r>
    </w:p>
    <w:p w14:paraId="5A3F53D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Hertzmann提出的多尺度曲线笔触方法是本课题的重要基础文献</w:t>
      </w:r>
      <w:r>
        <w:rPr>
          <w:rFonts w:hint="eastAsia" w:asciiTheme="minorEastAsia" w:hAnsiTheme="minorEastAsia" w:eastAsiaTheme="minorEastAsia" w:cstheme="minorEastAsia"/>
          <w:lang w:val="en-US" w:eastAsia="zh-CN"/>
        </w:rPr>
        <w:t>与笔触序列拆解算法来源</w:t>
      </w:r>
      <w:r>
        <w:rPr>
          <w:rFonts w:hint="eastAsia" w:asciiTheme="minorEastAsia" w:hAnsiTheme="minorEastAsia" w:eastAsiaTheme="minorEastAsia" w:cstheme="minorEastAsia"/>
        </w:rPr>
        <w:t>[1]。该方法用较大的笔刷建立画面，再用逐渐缩小的笔刷修整与相应模糊参考图存在差异的区域；曲线沿图像梯度的垂直方向延伸，形成具有绘画感的笔迹。论文还把笔刷尺寸、曲率及颜色变化等组织为可调风格参数，为“将图像表示为动作序列”和“通过参数形成不同笔触外观”提供了方法参照。</w:t>
      </w:r>
    </w:p>
    <w:p w14:paraId="64A7ED6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在交互设计中，我重点区分了图像重建与人的绘画任务。自动渲染主要关心生成图像，逐笔指导还需要考虑笔数、寻找起点的难度、位置跳转与动作顺序。因而本项目以多尺度表达为基础，将有限动作预算、可预测的空间顺序以及每一步可显示的笔触参数纳入实现目标。</w:t>
      </w:r>
      <w:r>
        <w:rPr>
          <w:rFonts w:hint="eastAsia" w:asciiTheme="minorEastAsia" w:hAnsiTheme="minorEastAsia" w:eastAsiaTheme="minorEastAsia" w:cstheme="minorEastAsia"/>
          <w:lang w:val="en-US" w:eastAsia="zh-CN"/>
        </w:rPr>
        <w:t>参考</w:t>
      </w:r>
      <w:r>
        <w:rPr>
          <w:rFonts w:hint="eastAsia" w:asciiTheme="minorEastAsia" w:hAnsiTheme="minorEastAsia" w:eastAsiaTheme="minorEastAsia" w:cstheme="minorEastAsia"/>
        </w:rPr>
        <w:t>文献提供方法思想，具体的预算分配、扫描规则和界面提示则由本项目结合应用场景设计。</w:t>
      </w:r>
    </w:p>
    <w:p w14:paraId="7EAA2980">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2.2 神经绘画研究的参照价值</w:t>
      </w:r>
    </w:p>
    <w:p w14:paraId="47665C37">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1998年，</w:t>
      </w:r>
      <w:r>
        <w:rPr>
          <w:rFonts w:hint="eastAsia" w:asciiTheme="minorEastAsia" w:hAnsiTheme="minorEastAsia" w:eastAsiaTheme="minorEastAsia" w:cstheme="minorEastAsia"/>
        </w:rPr>
        <w:t>Huang等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将绘画描述为连续笔触决策，通过神经渲染器和基于模型的强化学习生成笔触序列[2]；</w:t>
      </w:r>
      <w:r>
        <w:rPr>
          <w:rFonts w:hint="eastAsia" w:asciiTheme="minorEastAsia" w:hAnsiTheme="minorEastAsia" w:eastAsiaTheme="minorEastAsia" w:cstheme="minorEastAsia"/>
          <w:lang w:val="en-US" w:eastAsia="zh-CN"/>
        </w:rPr>
        <w:t>2021年，</w:t>
      </w:r>
      <w:r>
        <w:rPr>
          <w:rFonts w:hint="eastAsia" w:asciiTheme="minorEastAsia" w:hAnsiTheme="minorEastAsia" w:eastAsiaTheme="minorEastAsia" w:cstheme="minorEastAsia"/>
        </w:rPr>
        <w:t>Zou</w:t>
      </w:r>
      <w:r>
        <w:rPr>
          <w:rFonts w:hint="eastAsia" w:asciiTheme="minorEastAsia" w:hAnsiTheme="minorEastAsia" w:eastAsiaTheme="minorEastAsia" w:cstheme="minorEastAsia"/>
          <w:lang w:val="en-US" w:eastAsia="zh-CN"/>
        </w:rPr>
        <w:t>Z</w:t>
      </w:r>
      <w:r>
        <w:rPr>
          <w:rFonts w:hint="eastAsia" w:asciiTheme="minorEastAsia" w:hAnsiTheme="minorEastAsia" w:eastAsiaTheme="minorEastAsia" w:cstheme="minorEastAsia"/>
        </w:rPr>
        <w:t>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将参数化笔触渲染与图像相似度优化相结合，讨论神经渲染及参数搜索问题[3]；</w:t>
      </w:r>
      <w:r>
        <w:rPr>
          <w:rFonts w:hint="eastAsia" w:asciiTheme="minorEastAsia" w:hAnsiTheme="minorEastAsia" w:eastAsiaTheme="minorEastAsia" w:cstheme="minorEastAsia"/>
          <w:lang w:val="en-US" w:eastAsia="zh-CN"/>
        </w:rPr>
        <w:t>2023年，</w:t>
      </w:r>
      <w:r>
        <w:rPr>
          <w:rFonts w:hint="eastAsia" w:asciiTheme="minorEastAsia" w:hAnsiTheme="minorEastAsia" w:eastAsiaTheme="minorEastAsia" w:cstheme="minorEastAsia"/>
        </w:rPr>
        <w:t>HU T等</w:t>
      </w:r>
      <w:r>
        <w:rPr>
          <w:rFonts w:hint="eastAsia" w:asciiTheme="minorEastAsia" w:hAnsiTheme="minorEastAsia" w:eastAsiaTheme="minorEastAsia" w:cstheme="minorEastAsia"/>
          <w:lang w:val="en-US" w:eastAsia="zh-CN"/>
        </w:rPr>
        <w:t>研究者</w:t>
      </w:r>
      <w:r>
        <w:rPr>
          <w:rFonts w:hint="eastAsia" w:asciiTheme="minorEastAsia" w:hAnsiTheme="minorEastAsia" w:eastAsiaTheme="minorEastAsia" w:cstheme="minorEastAsia"/>
        </w:rPr>
        <w:t>进一步区分“在哪里画”和“画什么”，通过动态预测绘画区域组织重建过程[4]。这三类研究帮助本课题理解有限笔触表达、参数优化反馈以及绘画区域组织之间的联系。</w:t>
      </w:r>
    </w:p>
    <w:p w14:paraId="2BBEC94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本课题的工作定位是</w:t>
      </w:r>
      <w:r>
        <w:rPr>
          <w:rFonts w:hint="eastAsia" w:asciiTheme="minorEastAsia" w:hAnsiTheme="minorEastAsia" w:eastAsiaTheme="minorEastAsia" w:cstheme="minorEastAsia"/>
          <w:b/>
          <w:bCs/>
        </w:rPr>
        <w:t>面向交互需求的算法适配与系统设计</w:t>
      </w:r>
      <w:r>
        <w:rPr>
          <w:rFonts w:hint="eastAsia" w:asciiTheme="minorEastAsia" w:hAnsiTheme="minorEastAsia" w:eastAsiaTheme="minorEastAsia" w:cstheme="minorEastAsia"/>
        </w:rPr>
        <w:t>，</w:t>
      </w:r>
      <w:r>
        <w:rPr>
          <w:rFonts w:hint="eastAsia" w:asciiTheme="minorEastAsia" w:hAnsiTheme="minorEastAsia" w:eastAsiaTheme="minorEastAsia" w:cstheme="minorEastAsia"/>
          <w:lang w:val="en-US" w:eastAsia="zh-CN"/>
        </w:rPr>
        <w:t>研究</w:t>
      </w:r>
      <w:r>
        <w:rPr>
          <w:rFonts w:hint="eastAsia" w:asciiTheme="minorEastAsia" w:hAnsiTheme="minorEastAsia" w:eastAsiaTheme="minorEastAsia" w:cstheme="minorEastAsia"/>
        </w:rPr>
        <w:t>项目对</w:t>
      </w:r>
      <w:r>
        <w:rPr>
          <w:rFonts w:hint="eastAsia" w:asciiTheme="minorEastAsia" w:hAnsiTheme="minorEastAsia" w:eastAsiaTheme="minorEastAsia" w:cstheme="minorEastAsia"/>
          <w:lang w:val="en-US" w:eastAsia="zh-CN"/>
        </w:rPr>
        <w:t>上述</w:t>
      </w:r>
      <w:r>
        <w:rPr>
          <w:rFonts w:hint="eastAsia" w:asciiTheme="minorEastAsia" w:hAnsiTheme="minorEastAsia" w:eastAsiaTheme="minorEastAsia" w:cstheme="minorEastAsia"/>
        </w:rPr>
        <w:t>研究采用方法层面</w:t>
      </w:r>
      <w:r>
        <w:rPr>
          <w:rFonts w:hint="eastAsia" w:asciiTheme="minorEastAsia" w:hAnsiTheme="minorEastAsia" w:eastAsiaTheme="minorEastAsia" w:cstheme="minorEastAsia"/>
          <w:lang w:val="en-US" w:eastAsia="zh-CN"/>
        </w:rPr>
        <w:t>进行</w:t>
      </w:r>
      <w:r>
        <w:rPr>
          <w:rFonts w:hint="eastAsia" w:asciiTheme="minorEastAsia" w:hAnsiTheme="minorEastAsia" w:eastAsiaTheme="minorEastAsia" w:cstheme="minorEastAsia"/>
        </w:rPr>
        <w:t>综合参照：保留可回放的参数化动作、以重建误差评价候选笔触，并明确组织区域访问顺序</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采用显式搜索和解析颜色拟合。</w:t>
      </w:r>
    </w:p>
    <w:p w14:paraId="4A5129A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2.3 方法选择与系统结构</w:t>
      </w:r>
    </w:p>
    <w:p w14:paraId="3EBD1B0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此项目已</w:t>
      </w:r>
      <w:r>
        <w:rPr>
          <w:rFonts w:hint="eastAsia" w:asciiTheme="minorEastAsia" w:hAnsiTheme="minorEastAsia" w:eastAsiaTheme="minorEastAsia" w:cstheme="minorEastAsia"/>
        </w:rPr>
        <w:t>在浏览器</w:t>
      </w:r>
      <w:r>
        <w:rPr>
          <w:rFonts w:hint="eastAsia" w:asciiTheme="minorEastAsia" w:hAnsiTheme="minorEastAsia" w:eastAsiaTheme="minorEastAsia" w:cstheme="minorEastAsia"/>
          <w:lang w:val="en-US" w:eastAsia="zh-CN"/>
        </w:rPr>
        <w:t>web端</w:t>
      </w:r>
      <w:r>
        <w:rPr>
          <w:rFonts w:hint="eastAsia" w:asciiTheme="minorEastAsia" w:hAnsiTheme="minorEastAsia" w:eastAsiaTheme="minorEastAsia" w:cstheme="minorEastAsia"/>
        </w:rPr>
        <w:t>中完成规划</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可以让用户选图后直接获得绘画引导，也便于将取消、进度反馈和重新尝试纳入交互。当前</w:t>
      </w:r>
      <w:r>
        <w:rPr>
          <w:rFonts w:hint="eastAsia" w:asciiTheme="minorEastAsia" w:hAnsiTheme="minorEastAsia" w:eastAsiaTheme="minorEastAsia" w:cstheme="minorEastAsia"/>
          <w:lang w:val="en-US" w:eastAsia="zh-CN"/>
        </w:rPr>
        <w:t>研究</w:t>
      </w:r>
      <w:r>
        <w:rPr>
          <w:rFonts w:hint="eastAsia" w:asciiTheme="minorEastAsia" w:hAnsiTheme="minorEastAsia" w:eastAsiaTheme="minorEastAsia" w:cstheme="minorEastAsia"/>
        </w:rPr>
        <w:t>方法</w:t>
      </w:r>
      <w:r>
        <w:rPr>
          <w:rFonts w:hint="eastAsia" w:asciiTheme="minorEastAsia" w:hAnsiTheme="minorEastAsia" w:eastAsiaTheme="minorEastAsia" w:cstheme="minorEastAsia"/>
          <w:lang w:val="en-US" w:eastAsia="zh-CN"/>
        </w:rPr>
        <w:t>为，</w:t>
      </w:r>
      <w:r>
        <w:rPr>
          <w:rFonts w:hint="eastAsia" w:asciiTheme="minorEastAsia" w:hAnsiTheme="minorEastAsia" w:eastAsiaTheme="minorEastAsia" w:cstheme="minorEastAsia"/>
        </w:rPr>
        <w:t xml:space="preserve">把输入图像转成一组包含起止点、宽度、颜色及遍次信息的笔触，由画布模块按顺序显示和绘制。计算过程放在Web </w:t>
      </w:r>
      <w:r>
        <w:rPr>
          <w:rFonts w:hint="eastAsia" w:asciiTheme="minorEastAsia" w:hAnsiTheme="minorEastAsia" w:eastAsiaTheme="minorEastAsia" w:cstheme="minorEastAsia"/>
          <w:lang w:val="en-US" w:eastAsia="zh-CN"/>
        </w:rPr>
        <w:t>端</w:t>
      </w:r>
      <w:r>
        <w:rPr>
          <w:rFonts w:hint="eastAsia" w:asciiTheme="minorEastAsia" w:hAnsiTheme="minorEastAsia" w:eastAsiaTheme="minorEastAsia" w:cstheme="minorEastAsia"/>
        </w:rPr>
        <w:t>后台线程中，避免主要交互长时间被计算阻塞；研究模块则保存经过审核的参考图和计划，使同一批次的参与者使用一致材料。图1展示了从</w:t>
      </w:r>
      <w:r>
        <w:rPr>
          <w:rFonts w:hint="eastAsia" w:asciiTheme="minorEastAsia" w:hAnsiTheme="minorEastAsia" w:eastAsiaTheme="minorEastAsia" w:cstheme="minorEastAsia"/>
          <w:lang w:val="en-US" w:eastAsia="zh-CN"/>
        </w:rPr>
        <w:t>参考图像</w:t>
      </w:r>
      <w:r>
        <w:rPr>
          <w:rFonts w:hint="eastAsia" w:asciiTheme="minorEastAsia" w:hAnsiTheme="minorEastAsia" w:eastAsiaTheme="minorEastAsia" w:cstheme="minorEastAsia"/>
        </w:rPr>
        <w:t>输入到绘画指导、再到研究记录的结构。</w:t>
      </w:r>
    </w:p>
    <w:p w14:paraId="1BC08927">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939790" cy="3569970"/>
            <wp:effectExtent l="0" t="0" r="3810" b="11430"/>
            <wp:docPr id="2" name="Picture 2" descr="图1 图像输入、笔触规划、绘画交互与研究记录的系统结构。依据当前实现绘制；箭头表示模块间的数据与功能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1 图像输入、笔触规划、绘画交互与研究记录的系统结构。依据当前实现绘制；箭头表示模块间的数据与功能连接。"/>
                    <pic:cNvPicPr>
                      <a:picLocks noChangeAspect="1"/>
                    </pic:cNvPicPr>
                  </pic:nvPicPr>
                  <pic:blipFill>
                    <a:blip r:embed="rId15"/>
                    <a:stretch>
                      <a:fillRect/>
                    </a:stretch>
                  </pic:blipFill>
                  <pic:spPr>
                    <a:xfrm>
                      <a:off x="0" y="0"/>
                      <a:ext cx="5940000" cy="3570188"/>
                    </a:xfrm>
                    <a:prstGeom prst="rect">
                      <a:avLst/>
                    </a:prstGeom>
                  </pic:spPr>
                </pic:pic>
              </a:graphicData>
            </a:graphic>
          </wp:inline>
        </w:drawing>
      </w:r>
    </w:p>
    <w:p w14:paraId="30F8CCFF">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图1  图像输入、笔触规划、绘画交互与研究记录的系统结构</w:t>
      </w:r>
    </w:p>
    <w:p w14:paraId="448D8CFA">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三、</w:t>
      </w:r>
      <w:r>
        <w:rPr>
          <w:rFonts w:hint="eastAsia" w:asciiTheme="minorEastAsia" w:hAnsiTheme="minorEastAsia" w:eastAsiaTheme="minorEastAsia" w:cstheme="minorEastAsia"/>
          <w:lang w:val="en-US" w:eastAsia="zh-CN"/>
        </w:rPr>
        <w:t>笔触拆解序列</w:t>
      </w:r>
      <w:r>
        <w:rPr>
          <w:rFonts w:hint="eastAsia" w:asciiTheme="minorEastAsia" w:hAnsiTheme="minorEastAsia" w:eastAsiaTheme="minorEastAsia" w:cstheme="minorEastAsia"/>
        </w:rPr>
        <w:t>有序规划算法实现</w:t>
      </w:r>
    </w:p>
    <w:p w14:paraId="1672065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3.1 有限预算与五遍尺度组织</w:t>
      </w:r>
    </w:p>
    <w:p w14:paraId="5DE2AE2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当前默认规划器从白色画布开始重新组织整幅图像</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rPr>
        <w:t>系统每次只接受能够改善目标误差且路径有效的笔触，绘画顺序分为五遍：大色块、中色块、形体、小笔触和细节。各遍分别采用固定宽度，整组宽度由大到小递减；每遍按网格逐行访问，从左上到右下推进，并在当前区域中选择仍需修整的位置。空间顺序是区域访问顺序，每一笔的端点</w:t>
      </w:r>
      <w:r>
        <w:rPr>
          <w:rFonts w:hint="eastAsia" w:asciiTheme="minorEastAsia" w:hAnsiTheme="minorEastAsia" w:eastAsiaTheme="minorEastAsia" w:cstheme="minorEastAsia"/>
          <w:lang w:val="en-US" w:eastAsia="zh-CN"/>
        </w:rPr>
        <w:t>尽量</w:t>
      </w:r>
      <w:r>
        <w:rPr>
          <w:rFonts w:hint="eastAsia" w:asciiTheme="minorEastAsia" w:hAnsiTheme="minorEastAsia" w:eastAsiaTheme="minorEastAsia" w:cstheme="minorEastAsia"/>
        </w:rPr>
        <w:t>沿一条对角线排列。笔触可以跨越网格边界，其颜色拟合与误差评价始终基于同一张共享画布，</w:t>
      </w:r>
      <w:r>
        <w:rPr>
          <w:rFonts w:hint="eastAsia" w:asciiTheme="minorEastAsia" w:hAnsiTheme="minorEastAsia" w:eastAsiaTheme="minorEastAsia" w:cstheme="minorEastAsia"/>
          <w:lang w:val="en-US" w:eastAsia="zh-CN"/>
        </w:rPr>
        <w:t>以</w:t>
      </w:r>
      <w:r>
        <w:rPr>
          <w:rFonts w:hint="eastAsia" w:asciiTheme="minorEastAsia" w:hAnsiTheme="minorEastAsia" w:eastAsiaTheme="minorEastAsia" w:cstheme="minorEastAsia"/>
        </w:rPr>
        <w:t>避免把各块分别绘制后再硬性拼接。</w:t>
      </w:r>
    </w:p>
    <w:p w14:paraId="08C4AAD3">
      <w:pPr>
        <w:pStyle w:val="18"/>
        <w:keepNext/>
        <w:jc w:val="both"/>
        <w:rPr>
          <w:rFonts w:hint="eastAsia" w:asciiTheme="minorEastAsia" w:hAnsiTheme="minorEastAsia" w:eastAsiaTheme="minorEastAsia" w:cstheme="minorEastAsia"/>
        </w:rPr>
      </w:pPr>
    </w:p>
    <w:p w14:paraId="755AC699">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表1  五遍规划的尺度与预算设置</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871"/>
        <w:gridCol w:w="1871"/>
        <w:gridCol w:w="2891"/>
      </w:tblGrid>
      <w:tr w14:paraId="684254BF">
        <w:trPr>
          <w:cantSplit/>
          <w:tblHeader/>
          <w:jc w:val="center"/>
        </w:trPr>
        <w:tc>
          <w:tcPr>
            <w:tcW w:w="2721" w:type="dxa"/>
            <w:shd w:val="clear" w:color="auto" w:fill="ECEAFE"/>
          </w:tcPr>
          <w:p w14:paraId="506D368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遍次 / 用途</w:t>
            </w:r>
          </w:p>
        </w:tc>
        <w:tc>
          <w:tcPr>
            <w:tcW w:w="1871" w:type="dxa"/>
            <w:shd w:val="clear" w:color="auto" w:fill="ECEAFE"/>
          </w:tcPr>
          <w:p w14:paraId="3754CD27">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基准宽度</w:t>
            </w:r>
          </w:p>
        </w:tc>
        <w:tc>
          <w:tcPr>
            <w:tcW w:w="1871" w:type="dxa"/>
            <w:shd w:val="clear" w:color="auto" w:fill="ECEAFE"/>
          </w:tcPr>
          <w:p w14:paraId="7FE2455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网格</w:t>
            </w:r>
          </w:p>
        </w:tc>
        <w:tc>
          <w:tcPr>
            <w:tcW w:w="2891" w:type="dxa"/>
            <w:shd w:val="clear" w:color="auto" w:fill="ECEAFE"/>
          </w:tcPr>
          <w:p w14:paraId="5D95464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1000预算下尝试次数</w:t>
            </w:r>
          </w:p>
        </w:tc>
      </w:tr>
      <w:tr w14:paraId="4A2FA376">
        <w:trPr>
          <w:cantSplit/>
          <w:jc w:val="center"/>
        </w:trPr>
        <w:tc>
          <w:tcPr>
            <w:tcW w:w="2721" w:type="dxa"/>
          </w:tcPr>
          <w:p w14:paraId="71BDA4A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 / 大色块</w:t>
            </w:r>
          </w:p>
        </w:tc>
        <w:tc>
          <w:tcPr>
            <w:tcW w:w="1871" w:type="dxa"/>
          </w:tcPr>
          <w:p w14:paraId="312A473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30</w:t>
            </w:r>
          </w:p>
        </w:tc>
        <w:tc>
          <w:tcPr>
            <w:tcW w:w="1871" w:type="dxa"/>
          </w:tcPr>
          <w:p w14:paraId="5FA5271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3</w:t>
            </w:r>
          </w:p>
        </w:tc>
        <w:tc>
          <w:tcPr>
            <w:tcW w:w="2891" w:type="dxa"/>
          </w:tcPr>
          <w:p w14:paraId="27289B3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60</w:t>
            </w:r>
          </w:p>
        </w:tc>
      </w:tr>
      <w:tr w14:paraId="16ED3115">
        <w:trPr>
          <w:cantSplit/>
          <w:jc w:val="center"/>
        </w:trPr>
        <w:tc>
          <w:tcPr>
            <w:tcW w:w="2721" w:type="dxa"/>
          </w:tcPr>
          <w:p w14:paraId="0FD0269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 / 中色块</w:t>
            </w:r>
          </w:p>
        </w:tc>
        <w:tc>
          <w:tcPr>
            <w:tcW w:w="1871" w:type="dxa"/>
          </w:tcPr>
          <w:p w14:paraId="65F250B2">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16</w:t>
            </w:r>
          </w:p>
        </w:tc>
        <w:tc>
          <w:tcPr>
            <w:tcW w:w="1871" w:type="dxa"/>
          </w:tcPr>
          <w:p w14:paraId="6EEF1D8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4</w:t>
            </w:r>
          </w:p>
        </w:tc>
        <w:tc>
          <w:tcPr>
            <w:tcW w:w="2891" w:type="dxa"/>
          </w:tcPr>
          <w:p w14:paraId="6D13F771">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120</w:t>
            </w:r>
          </w:p>
        </w:tc>
      </w:tr>
      <w:tr w14:paraId="5FC7D6EA">
        <w:trPr>
          <w:cantSplit/>
          <w:jc w:val="center"/>
        </w:trPr>
        <w:tc>
          <w:tcPr>
            <w:tcW w:w="2721" w:type="dxa"/>
          </w:tcPr>
          <w:p w14:paraId="45AEC61B">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形体</w:t>
            </w:r>
          </w:p>
        </w:tc>
        <w:tc>
          <w:tcPr>
            <w:tcW w:w="1871" w:type="dxa"/>
          </w:tcPr>
          <w:p w14:paraId="5B2A328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8</w:t>
            </w:r>
          </w:p>
        </w:tc>
        <w:tc>
          <w:tcPr>
            <w:tcW w:w="1871" w:type="dxa"/>
          </w:tcPr>
          <w:p w14:paraId="302E2C4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5</w:t>
            </w:r>
          </w:p>
        </w:tc>
        <w:tc>
          <w:tcPr>
            <w:tcW w:w="2891" w:type="dxa"/>
          </w:tcPr>
          <w:p w14:paraId="2DF6BD0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220</w:t>
            </w:r>
          </w:p>
        </w:tc>
      </w:tr>
      <w:tr w14:paraId="450A0326">
        <w:trPr>
          <w:cantSplit/>
          <w:jc w:val="center"/>
        </w:trPr>
        <w:tc>
          <w:tcPr>
            <w:tcW w:w="2721" w:type="dxa"/>
          </w:tcPr>
          <w:p w14:paraId="6AE430A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小笔触</w:t>
            </w:r>
          </w:p>
        </w:tc>
        <w:tc>
          <w:tcPr>
            <w:tcW w:w="1871" w:type="dxa"/>
          </w:tcPr>
          <w:p w14:paraId="066FEE32">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w:t>
            </w:r>
          </w:p>
        </w:tc>
        <w:tc>
          <w:tcPr>
            <w:tcW w:w="1871" w:type="dxa"/>
          </w:tcPr>
          <w:p w14:paraId="6FDA934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 × 6</w:t>
            </w:r>
          </w:p>
        </w:tc>
        <w:tc>
          <w:tcPr>
            <w:tcW w:w="2891" w:type="dxa"/>
          </w:tcPr>
          <w:p w14:paraId="5452BBBA">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280</w:t>
            </w:r>
          </w:p>
        </w:tc>
      </w:tr>
      <w:tr w14:paraId="111DC1B3">
        <w:trPr>
          <w:cantSplit/>
          <w:jc w:val="center"/>
        </w:trPr>
        <w:tc>
          <w:tcPr>
            <w:tcW w:w="2721" w:type="dxa"/>
          </w:tcPr>
          <w:p w14:paraId="04006E9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细节</w:t>
            </w:r>
          </w:p>
        </w:tc>
        <w:tc>
          <w:tcPr>
            <w:tcW w:w="1871" w:type="dxa"/>
          </w:tcPr>
          <w:p w14:paraId="39CB142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2.2</w:t>
            </w:r>
          </w:p>
        </w:tc>
        <w:tc>
          <w:tcPr>
            <w:tcW w:w="1871" w:type="dxa"/>
          </w:tcPr>
          <w:p w14:paraId="01E55E8D">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6 × 6</w:t>
            </w:r>
          </w:p>
        </w:tc>
        <w:tc>
          <w:tcPr>
            <w:tcW w:w="2891" w:type="dxa"/>
          </w:tcPr>
          <w:p w14:paraId="07D38AF5">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320</w:t>
            </w:r>
          </w:p>
        </w:tc>
      </w:tr>
    </w:tbl>
    <w:p w14:paraId="32C6C101">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注：宽度按分析图短边200像素换算；无收益候选跳过，尝试次数不等于最终接受笔数。</w:t>
      </w:r>
    </w:p>
    <w:p w14:paraId="1D26A7FD">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表1的宽度以分析图短边200像素为基准，再按实际尺寸换算。每遍的尝试次数按预算比例分配，区域内部则按当前加权残差分配数量：尚未表达充分的区域获得更多机会，已接近参考图的区域减少重复覆盖。图2用莫奈《日出·印象》的同一份规划结果展示五遍的累积重建，便于观察整体色彩、形体和细节逐渐形成的过程。</w:t>
      </w:r>
    </w:p>
    <w:p w14:paraId="7AA4DD5F">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719320" cy="3898900"/>
            <wp:effectExtent l="0" t="0" r="5080" b="12700"/>
            <wp:docPr id="3" name="Picture 3" descr="图2 莫奈《日出·印象》的五遍累积重建效果。原图为项目内参考作品；阶段图来自当前五遍规划方法的工程验证。均为算法模拟结果，非用户手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 莫奈《日出·印象》的五遍累积重建效果。原图为项目内参考作品；阶段图来自当前五遍规划方法的工程验证。均为算法模拟结果，非用户手绘。"/>
                    <pic:cNvPicPr>
                      <a:picLocks noChangeAspect="1"/>
                    </pic:cNvPicPr>
                  </pic:nvPicPr>
                  <pic:blipFill>
                    <a:blip r:embed="rId16"/>
                    <a:stretch>
                      <a:fillRect/>
                    </a:stretch>
                  </pic:blipFill>
                  <pic:spPr>
                    <a:xfrm>
                      <a:off x="0" y="0"/>
                      <a:ext cx="4719320" cy="3898900"/>
                    </a:xfrm>
                    <a:prstGeom prst="rect">
                      <a:avLst/>
                    </a:prstGeom>
                  </pic:spPr>
                </pic:pic>
              </a:graphicData>
            </a:graphic>
          </wp:inline>
        </w:drawing>
      </w:r>
    </w:p>
    <w:p w14:paraId="52AE4DFB">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图2  莫奈《日出·印象》的五遍累积重建效果</w:t>
      </w:r>
    </w:p>
    <w:p w14:paraId="51F67626">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四、交互流程与UI设计建设</w:t>
      </w:r>
    </w:p>
    <w:p w14:paraId="1BB71529">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4.1 信息架构与创作入口</w:t>
      </w:r>
    </w:p>
    <w:p w14:paraId="590D47C2">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“星迹智绘”</w:t>
      </w:r>
      <w:r>
        <w:rPr>
          <w:rFonts w:hint="eastAsia" w:asciiTheme="minorEastAsia" w:hAnsiTheme="minorEastAsia" w:eastAsiaTheme="minorEastAsia" w:cstheme="minorEastAsia"/>
          <w:lang w:val="en-US" w:eastAsia="zh-CN"/>
        </w:rPr>
        <w:t>程序</w:t>
      </w:r>
      <w:r>
        <w:rPr>
          <w:rFonts w:hint="eastAsia" w:asciiTheme="minorEastAsia" w:hAnsiTheme="minorEastAsia" w:eastAsiaTheme="minorEastAsia" w:cstheme="minorEastAsia"/>
        </w:rPr>
        <w:t>已经建立首页、选图、绘画、作品查看、产品介绍及研究测试等主要页面。普通体验路径围绕“选择想画的图—获得有序笔触—亲手绘画—保存作品”组织；用户测试通过独立入口进入统一任务。首页突出“开始我的第一幅画”的主操作，将较长介绍默认折叠，减少初次进入时需要阅读的信息。产品介绍页面则承担完整功能说明、算法原理和文献来源展示，避免把技术细节集中放入绘画任务界面。</w:t>
      </w:r>
    </w:p>
    <w:p w14:paraId="247E5C85">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3879215" cy="2694305"/>
            <wp:effectExtent l="0" t="0" r="6985" b="3175"/>
            <wp:docPr id="4" name="Picture 4" descr="图3 星迹智绘首页与主要创作入口。当前程序截图；首页的长介绍默认收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 星迹智绘首页与主要创作入口。当前程序截图；首页的长介绍默认收起。"/>
                    <pic:cNvPicPr>
                      <a:picLocks noChangeAspect="1"/>
                    </pic:cNvPicPr>
                  </pic:nvPicPr>
                  <pic:blipFill>
                    <a:blip r:embed="rId17"/>
                    <a:stretch>
                      <a:fillRect/>
                    </a:stretch>
                  </pic:blipFill>
                  <pic:spPr>
                    <a:xfrm>
                      <a:off x="0" y="0"/>
                      <a:ext cx="3879215" cy="269430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859280" cy="2696210"/>
            <wp:effectExtent l="0" t="0" r="0" b="127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8"/>
                    <a:stretch>
                      <a:fillRect/>
                    </a:stretch>
                  </pic:blipFill>
                  <pic:spPr>
                    <a:xfrm>
                      <a:off x="0" y="0"/>
                      <a:ext cx="1859280" cy="2696210"/>
                    </a:xfrm>
                    <a:prstGeom prst="rect">
                      <a:avLst/>
                    </a:prstGeom>
                    <a:noFill/>
                    <a:ln>
                      <a:noFill/>
                    </a:ln>
                  </pic:spPr>
                </pic:pic>
              </a:graphicData>
            </a:graphic>
          </wp:inline>
        </w:drawing>
      </w:r>
    </w:p>
    <w:p w14:paraId="51E1EF28">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图3  星迹智绘首页与主要创作入口</w:t>
      </w:r>
    </w:p>
    <w:p w14:paraId="32D8287C">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注：当前程序截图；首页的长介绍默认收起。</w:t>
      </w:r>
    </w:p>
    <w:p w14:paraId="35D44C0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考图既可以来自作品库，也可以由用户本地选择或拖拽上传。当前支持20MB以下的JPG、PNG等浏览器可解码图像，并提供文件检查、预览和加载反馈。用户可以先检查拆解后的预期效果，再决定是否进入绘画。对于参考图过于复杂或细节不足的情况，这一步能使目标更明确。自由画布允许直接绘画，不要求先挑选主题；它为不想跟随固定参考图的</w:t>
      </w:r>
      <w:r>
        <w:rPr>
          <w:rFonts w:hint="eastAsia" w:asciiTheme="minorEastAsia" w:hAnsiTheme="minorEastAsia" w:eastAsiaTheme="minorEastAsia" w:cstheme="minorEastAsia"/>
          <w:lang w:val="en-US" w:eastAsia="zh-CN"/>
        </w:rPr>
        <w:t>绘画</w:t>
      </w:r>
      <w:r>
        <w:rPr>
          <w:rFonts w:hint="eastAsia" w:asciiTheme="minorEastAsia" w:hAnsiTheme="minorEastAsia" w:eastAsiaTheme="minorEastAsia" w:cstheme="minorEastAsia"/>
        </w:rPr>
        <w:t>使用者保留</w:t>
      </w:r>
      <w:r>
        <w:rPr>
          <w:rFonts w:hint="eastAsia" w:asciiTheme="minorEastAsia" w:hAnsiTheme="minorEastAsia" w:eastAsiaTheme="minorEastAsia" w:cstheme="minorEastAsia"/>
          <w:lang w:val="en-US" w:eastAsia="zh-CN"/>
        </w:rPr>
        <w:t>了</w:t>
      </w:r>
      <w:r>
        <w:rPr>
          <w:rFonts w:hint="eastAsia" w:asciiTheme="minorEastAsia" w:hAnsiTheme="minorEastAsia" w:eastAsiaTheme="minorEastAsia" w:cstheme="minorEastAsia"/>
        </w:rPr>
        <w:t>自主表达</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空间。</w:t>
      </w:r>
    </w:p>
    <w:p w14:paraId="05A64562">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2038350" cy="2217420"/>
            <wp:effectExtent l="0" t="0" r="3810" b="762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9"/>
                    <a:stretch>
                      <a:fillRect/>
                    </a:stretch>
                  </pic:blipFill>
                  <pic:spPr>
                    <a:xfrm>
                      <a:off x="0" y="0"/>
                      <a:ext cx="2038350" cy="221742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485900" cy="2216150"/>
            <wp:effectExtent l="0" t="0" r="7620" b="889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0"/>
                    <a:stretch>
                      <a:fillRect/>
                    </a:stretch>
                  </pic:blipFill>
                  <pic:spPr>
                    <a:xfrm>
                      <a:off x="0" y="0"/>
                      <a:ext cx="1485900" cy="221615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2414905" cy="2233930"/>
            <wp:effectExtent l="0" t="0" r="8255" b="635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1"/>
                    <a:stretch>
                      <a:fillRect/>
                    </a:stretch>
                  </pic:blipFill>
                  <pic:spPr>
                    <a:xfrm>
                      <a:off x="0" y="0"/>
                      <a:ext cx="2414905" cy="2233930"/>
                    </a:xfrm>
                    <a:prstGeom prst="rect">
                      <a:avLst/>
                    </a:prstGeom>
                    <a:noFill/>
                    <a:ln>
                      <a:noFill/>
                    </a:ln>
                  </pic:spPr>
                </pic:pic>
              </a:graphicData>
            </a:graphic>
          </wp:inline>
        </w:drawing>
      </w:r>
    </w:p>
    <w:p w14:paraId="5C69AF7E">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图4  图片上传</w:t>
      </w:r>
      <w:r>
        <w:rPr>
          <w:rFonts w:hint="eastAsia" w:asciiTheme="minorEastAsia" w:hAnsiTheme="minorEastAsia" w:eastAsiaTheme="minorEastAsia" w:cstheme="minorEastAsia"/>
          <w:lang w:eastAsia="zh-CN"/>
        </w:rPr>
        <w:t>、</w:t>
      </w:r>
      <w:r>
        <w:rPr>
          <w:rFonts w:hint="eastAsia" w:asciiTheme="minorEastAsia" w:hAnsiTheme="minorEastAsia" w:eastAsiaTheme="minorEastAsia" w:cstheme="minorEastAsia"/>
          <w:lang w:val="en-US" w:eastAsia="zh-CN"/>
        </w:rPr>
        <w:t>精选临摹、自由画布</w:t>
      </w:r>
      <w:r>
        <w:rPr>
          <w:rFonts w:hint="eastAsia" w:asciiTheme="minorEastAsia" w:hAnsiTheme="minorEastAsia" w:eastAsiaTheme="minorEastAsia" w:cstheme="minorEastAsia"/>
        </w:rPr>
        <w:t>选择界面</w:t>
      </w:r>
    </w:p>
    <w:p w14:paraId="7C366F43">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注：当前程序截图；支持点击选图、拖拽上传和进入自由画布。</w:t>
      </w:r>
    </w:p>
    <w:p w14:paraId="6D65378A">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4.2 绘画中的提示、控制与反馈</w:t>
      </w:r>
    </w:p>
    <w:p w14:paraId="5A24367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绘画界面以画布为中心，当前笔触通过半透明区域、数字起终点和方向箭头表示。数字、圆圈、箭头和路线会随笔触尺寸同比缩放，减少细小笔触被大图标遮挡的情况。用户默认获得完整引导，也可在工具中选择适度提示或仅保留起点。进度与遍次说明共同告诉用户当前处于大色块建立还是细节修整阶段，使“下一笔”与整幅画的形成过程建立联系。</w:t>
      </w:r>
    </w:p>
    <w:p w14:paraId="7B6EC9E0">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参考原图置于</w:t>
      </w:r>
      <w:r>
        <w:rPr>
          <w:rFonts w:hint="eastAsia" w:asciiTheme="minorEastAsia" w:hAnsiTheme="minorEastAsia" w:eastAsiaTheme="minorEastAsia" w:cstheme="minorEastAsia"/>
          <w:lang w:val="en-US" w:eastAsia="zh-CN"/>
        </w:rPr>
        <w:t>提示</w:t>
      </w:r>
      <w:r>
        <w:rPr>
          <w:rFonts w:hint="eastAsia" w:asciiTheme="minorEastAsia" w:hAnsiTheme="minorEastAsia" w:eastAsiaTheme="minorEastAsia" w:cstheme="minorEastAsia"/>
        </w:rPr>
        <w:t>面板中，按容器适配显示，点击可以放大查看并恢复。面板可移动、锁定和收起为方圆图标，帮助使用者根据画布位置安排信息。底部工具栏把模式、画笔与常用操作集中呈现，按钮提供悬停文字提示，教程入口解释不同工具的作用。沿星迹模式支持撤销，使误操作具备可恢复性，也让用户可以重新尝试当前动作。</w:t>
      </w:r>
    </w:p>
    <w:p w14:paraId="35C449AA">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1508125" cy="1371600"/>
            <wp:effectExtent l="0" t="0" r="635" b="0"/>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2"/>
                    <a:stretch>
                      <a:fillRect/>
                    </a:stretch>
                  </pic:blipFill>
                  <pic:spPr>
                    <a:xfrm>
                      <a:off x="0" y="0"/>
                      <a:ext cx="1508125" cy="1371600"/>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964055" cy="1364615"/>
            <wp:effectExtent l="0" t="0" r="1905" b="6985"/>
            <wp:docPr id="6" name="Picture 6" descr="图5 沿星迹绘画、参考原图与可移动提示面板。当前程序截图；图中画布为绘画起始状态，紫色区域表示待执行笔触，非用户作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 沿星迹绘画、参考原图与可移动提示面板。当前程序截图；图中画布为绘画起始状态，紫色区域表示待执行笔触，非用户作品。"/>
                    <pic:cNvPicPr>
                      <a:picLocks noChangeAspect="1"/>
                    </pic:cNvPicPr>
                  </pic:nvPicPr>
                  <pic:blipFill>
                    <a:blip r:embed="rId23"/>
                    <a:stretch>
                      <a:fillRect/>
                    </a:stretch>
                  </pic:blipFill>
                  <pic:spPr>
                    <a:xfrm>
                      <a:off x="0" y="0"/>
                      <a:ext cx="1964055" cy="1364615"/>
                    </a:xfrm>
                    <a:prstGeom prst="rect">
                      <a:avLst/>
                    </a:prstGeom>
                  </pic:spPr>
                </pic:pic>
              </a:graphicData>
            </a:graphic>
          </wp:inline>
        </w:drawing>
      </w:r>
      <w:r>
        <w:rPr>
          <w:rFonts w:hint="eastAsia" w:asciiTheme="minorEastAsia" w:hAnsiTheme="minorEastAsia" w:eastAsiaTheme="minorEastAsia" w:cstheme="minorEastAsia"/>
        </w:rPr>
        <w:drawing>
          <wp:inline distT="0" distB="0" distL="114300" distR="114300">
            <wp:extent cx="1464310" cy="1349375"/>
            <wp:effectExtent l="0" t="0" r="13970" b="6985"/>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24"/>
                    <a:stretch>
                      <a:fillRect/>
                    </a:stretch>
                  </pic:blipFill>
                  <pic:spPr>
                    <a:xfrm>
                      <a:off x="0" y="0"/>
                      <a:ext cx="1464310" cy="1349375"/>
                    </a:xfrm>
                    <a:prstGeom prst="rect">
                      <a:avLst/>
                    </a:prstGeom>
                    <a:noFill/>
                    <a:ln>
                      <a:noFill/>
                    </a:ln>
                  </pic:spPr>
                </pic:pic>
              </a:graphicData>
            </a:graphic>
          </wp:inline>
        </w:drawing>
      </w:r>
      <w:r>
        <w:rPr>
          <w:rFonts w:hint="eastAsia" w:asciiTheme="minorEastAsia" w:hAnsiTheme="minorEastAsia" w:eastAsiaTheme="minorEastAsia" w:cstheme="minorEastAsia"/>
        </w:rPr>
        <w:drawing>
          <wp:inline distT="0" distB="0" distL="114300" distR="114300">
            <wp:extent cx="1015365" cy="1380490"/>
            <wp:effectExtent l="0" t="0" r="5715" b="635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5"/>
                    <a:stretch>
                      <a:fillRect/>
                    </a:stretch>
                  </pic:blipFill>
                  <pic:spPr>
                    <a:xfrm>
                      <a:off x="0" y="0"/>
                      <a:ext cx="1015365" cy="1380490"/>
                    </a:xfrm>
                    <a:prstGeom prst="rect">
                      <a:avLst/>
                    </a:prstGeom>
                    <a:noFill/>
                    <a:ln>
                      <a:noFill/>
                    </a:ln>
                  </pic:spPr>
                </pic:pic>
              </a:graphicData>
            </a:graphic>
          </wp:inline>
        </w:drawing>
      </w:r>
    </w:p>
    <w:p w14:paraId="25706CED">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图5  沿星迹绘画、参考原图与可移动提示面板</w:t>
      </w:r>
    </w:p>
    <w:p w14:paraId="7D0AE18A">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注：当前程序截图；图中画布为绘画起始状态，紫色区域表示待执行笔触。</w:t>
      </w:r>
    </w:p>
    <w:p w14:paraId="5560224C">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普通体验提供沿星迹、自动续画和自由星域三种使用方式。沿星迹强调按照当前提示动笔；自动续画用于观察序列怎样构成画面，逐笔间隔可在200毫秒至1秒之间调整，默认1秒，暂停后保持当前模式和进度；自由星域直接响应使用者的绘画手势。绘画过程中可调整笔宽、颜色和风格，笔宽数字用整数显示。</w:t>
      </w:r>
    </w:p>
    <w:p w14:paraId="01F0376C">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五、程序与实验平台的开发建设</w:t>
      </w:r>
    </w:p>
    <w:p w14:paraId="6FFC6E95">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5.1 前后端与数据流程</w:t>
      </w:r>
    </w:p>
    <w:p w14:paraId="24A813E7">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 xml:space="preserve">程序以Next.js、React和TypeScript搭建页面与状态管理，浏览器Canvas承载参考图、引导和实际笔迹，Web </w:t>
      </w:r>
      <w:r>
        <w:rPr>
          <w:rFonts w:hint="eastAsia" w:asciiTheme="minorEastAsia" w:hAnsiTheme="minorEastAsia" w:eastAsiaTheme="minorEastAsia" w:cstheme="minorEastAsia"/>
          <w:lang w:val="en-US" w:eastAsia="zh-CN"/>
        </w:rPr>
        <w:t>端</w:t>
      </w:r>
      <w:r>
        <w:rPr>
          <w:rFonts w:hint="eastAsia" w:asciiTheme="minorEastAsia" w:hAnsiTheme="minorEastAsia" w:eastAsiaTheme="minorEastAsia" w:cstheme="minorEastAsia"/>
        </w:rPr>
        <w:t>运行较重的图像规划。服务端提供研究配置、入组、轮次记录、作品保存、评分和导出接口，使用持久化数据库及文件目录管理研究材料。算法模块与绘画操作分离，研究材料保存版本和哈希，便于核对某一份记录使用了哪张图片、哪套笔触计划和哪一版规则。</w:t>
      </w:r>
    </w:p>
    <w:p w14:paraId="47337C0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普通体验与研究任务采用不同的使用边界。普通体验允许自行选图、切换风格与观察自动续画；研究任务由研究者统一设置材料、工具能力和时限。同一研究码关联同一人的两轮任务，重复研究码会被提示，不作为进入任意已有记录的凭证。研究者工作台集中查看测试记录、材料状态和配对结果，参与者无需选择后台批次。实际测试是否开放由材料审核和批次发布状态控制，软件功能完成不等于某个研究批次已经开始招募。</w:t>
      </w:r>
    </w:p>
    <w:p w14:paraId="41F3FAF2">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5.2 已搭建的五步用户测试流程</w:t>
      </w:r>
    </w:p>
    <w:p w14:paraId="54E0056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参与者侧的流程组织为“进入—熟悉工具—第一轮—第二轮—完成对比”。进入时说明用途、预计时间、保存内容与退出方式，并确认研究同意及参与条件。练习图自动准备，参与者主动开始90秒练习；每轮绘画前填写两道自评题，然后直接开始任务，避免在准备页面之间反复跳转。两轮之间安排休息，第二轮结束后显示配对结果，口头访谈由研究者在后台记录。图7概括了该流程与两种实验条件。</w:t>
      </w:r>
    </w:p>
    <w:p w14:paraId="2162D571">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575810" cy="3322320"/>
            <wp:effectExtent l="0" t="0" r="11430" b="0"/>
            <wp:docPr id="8" name="Picture 8" descr="图7 五步参与流程与两条件对比结构。依据当前程序绘制；展示的是研究方案与已实现流程，非已完成实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7 五步参与流程与两条件对比结构。依据当前程序绘制；展示的是研究方案与已实现流程，非已完成实验。"/>
                    <pic:cNvPicPr>
                      <a:picLocks noChangeAspect="1"/>
                    </pic:cNvPicPr>
                  </pic:nvPicPr>
                  <pic:blipFill>
                    <a:blip r:embed="rId26"/>
                    <a:stretch>
                      <a:fillRect/>
                    </a:stretch>
                  </pic:blipFill>
                  <pic:spPr>
                    <a:xfrm>
                      <a:off x="0" y="0"/>
                      <a:ext cx="4575810" cy="3322320"/>
                    </a:xfrm>
                    <a:prstGeom prst="rect">
                      <a:avLst/>
                    </a:prstGeom>
                  </pic:spPr>
                </pic:pic>
              </a:graphicData>
            </a:graphic>
          </wp:inline>
        </w:drawing>
      </w:r>
    </w:p>
    <w:p w14:paraId="7AD50C6C">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6</w:t>
      </w:r>
      <w:r>
        <w:rPr>
          <w:rFonts w:hint="eastAsia" w:asciiTheme="minorEastAsia" w:hAnsiTheme="minorEastAsia" w:eastAsiaTheme="minorEastAsia" w:cstheme="minorEastAsia"/>
        </w:rPr>
        <w:t xml:space="preserve">  五步参与流程与两条件对比结构</w:t>
      </w:r>
    </w:p>
    <w:p w14:paraId="2CF95D5F">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354195" cy="3023870"/>
            <wp:effectExtent l="0" t="0" r="4445" b="8890"/>
            <wp:docPr id="9" name="Picture 9" descr="图8 研究参与说明、研究码与同意入口。截图来自隔离演示环境，不表示实际研究批次已经发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8 研究参与说明、研究码与同意入口。截图来自隔离演示环境，不表示实际研究批次已经发布。"/>
                    <pic:cNvPicPr>
                      <a:picLocks noChangeAspect="1"/>
                    </pic:cNvPicPr>
                  </pic:nvPicPr>
                  <pic:blipFill>
                    <a:blip r:embed="rId27"/>
                    <a:stretch>
                      <a:fillRect/>
                    </a:stretch>
                  </pic:blipFill>
                  <pic:spPr>
                    <a:xfrm>
                      <a:off x="0" y="0"/>
                      <a:ext cx="4354195" cy="3023870"/>
                    </a:xfrm>
                    <a:prstGeom prst="rect">
                      <a:avLst/>
                    </a:prstGeom>
                  </pic:spPr>
                </pic:pic>
              </a:graphicData>
            </a:graphic>
          </wp:inline>
        </w:drawing>
      </w:r>
    </w:p>
    <w:p w14:paraId="35D1F17E">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7</w:t>
      </w:r>
      <w:r>
        <w:rPr>
          <w:rFonts w:hint="eastAsia" w:asciiTheme="minorEastAsia" w:hAnsiTheme="minorEastAsia" w:eastAsiaTheme="minorEastAsia" w:cstheme="minorEastAsia"/>
        </w:rPr>
        <w:t xml:space="preserve">  研究参与说明、研究码与同意入口</w:t>
      </w:r>
    </w:p>
    <w:p w14:paraId="4F78268F">
      <w:pPr>
        <w:pStyle w:val="16"/>
        <w:rPr>
          <w:rFonts w:hint="eastAsia" w:asciiTheme="minorEastAsia" w:hAnsiTheme="minorEastAsia" w:eastAsiaTheme="minorEastAsia" w:cstheme="minorEastAsia"/>
        </w:rPr>
      </w:pPr>
    </w:p>
    <w:p w14:paraId="14BEBBF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采用同一参与者、同一参考图的两条件比较。A条件为参照图片进行普通数字绘画；B条件在相同基础画布上提供笔触序列与引导信息。系统分配AB或BA顺序，以平衡先后影响；两条件共用画笔、橡皮、撤销重做和图层等基础工具，均禁用自动续画与标准笔触替代。B条件包含位置、方向及参数建议，因此实验评价的是整套笔触引导交互，不单独归因于一根路径线。</w:t>
      </w:r>
    </w:p>
    <w:p w14:paraId="50771E28">
      <w:pPr>
        <w:pStyle w:val="16"/>
        <w:ind w:left="0" w:leftChars="0" w:firstLine="0" w:firstLineChars="0"/>
        <w:rPr>
          <w:rFonts w:hint="eastAsia" w:asciiTheme="minorEastAsia" w:hAnsiTheme="minorEastAsia" w:eastAsiaTheme="minorEastAsia" w:cstheme="minorEastAsia"/>
        </w:rPr>
      </w:pPr>
    </w:p>
    <w:p w14:paraId="68DC4558">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942205" cy="3432175"/>
            <wp:effectExtent l="0" t="0" r="10795" b="12065"/>
            <wp:docPr id="10" name="Picture 10" descr="图9 笔触引导条件下的研究任务界面。隔离演示环境截图；参与者实际作品与引导计划分别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9 笔触引导条件下的研究任务界面。隔离演示环境截图；参与者实际作品与引导计划分别记录。"/>
                    <pic:cNvPicPr>
                      <a:picLocks noChangeAspect="1"/>
                    </pic:cNvPicPr>
                  </pic:nvPicPr>
                  <pic:blipFill>
                    <a:blip r:embed="rId28"/>
                    <a:stretch>
                      <a:fillRect/>
                    </a:stretch>
                  </pic:blipFill>
                  <pic:spPr>
                    <a:xfrm>
                      <a:off x="0" y="0"/>
                      <a:ext cx="4942205" cy="3432175"/>
                    </a:xfrm>
                    <a:prstGeom prst="rect">
                      <a:avLst/>
                    </a:prstGeom>
                  </pic:spPr>
                </pic:pic>
              </a:graphicData>
            </a:graphic>
          </wp:inline>
        </w:drawing>
      </w:r>
    </w:p>
    <w:p w14:paraId="24ED32D0">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8</w:t>
      </w:r>
      <w:r>
        <w:rPr>
          <w:rFonts w:hint="eastAsia" w:asciiTheme="minorEastAsia" w:hAnsiTheme="minorEastAsia" w:eastAsiaTheme="minorEastAsia" w:cstheme="minorEastAsia"/>
        </w:rPr>
        <w:t xml:space="preserve">  笔触引导条件下的研究任务界面</w:t>
      </w:r>
    </w:p>
    <w:p w14:paraId="1FDBD6B3">
      <w:pPr>
        <w:pStyle w:val="16"/>
        <w:rPr>
          <w:rFonts w:hint="eastAsia" w:asciiTheme="minorEastAsia" w:hAnsiTheme="minorEastAsia" w:eastAsiaTheme="minorEastAsia" w:cstheme="minorEastAsia"/>
        </w:rPr>
      </w:pPr>
    </w:p>
    <w:p w14:paraId="6788733F">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每轮设置12分钟上限，轮间休息2分钟，两轮前后均采集简短感受。前测关注再次绘画意愿和担心画不好，后测再加入体验满足感及完成类似任务的信心，采用七级回答并允许不回答。题目是围绕本项目目标编写的简短自评，尚不能视为已验证的标准心理量表。正式采集前还需通过预试检查语言是否容易理解、任务是否过长以及参与者是否把引导当作必须全部完成的考核。</w:t>
      </w:r>
    </w:p>
    <w:p w14:paraId="10DA0674">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5.3 数据埋点、评分与可视化</w:t>
      </w:r>
    </w:p>
    <w:p w14:paraId="0550814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系统已建立任务开始与结束、落笔、撤销、引导推进、休息、页面切换和系统阻塞等事件记录，并将行为摘要、作品和问卷关联到同一轮次。记录支持服务端保存、失败重试及导出；后台可逐份查看测试，进行配对分析、独立作品评分和问题复盘。</w:t>
      </w:r>
    </w:p>
    <w:p w14:paraId="3804ED12">
      <w:pPr>
        <w:pStyle w:val="18"/>
        <w:keepNext/>
        <w:spacing w:before="120"/>
        <w:rPr>
          <w:rFonts w:hint="eastAsia" w:asciiTheme="minorEastAsia" w:hAnsiTheme="minorEastAsia" w:eastAsiaTheme="minorEastAsia" w:cstheme="minorEastAsia"/>
        </w:rPr>
      </w:pPr>
    </w:p>
    <w:p w14:paraId="7A9CAEF4">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4934585" cy="3427095"/>
            <wp:effectExtent l="0" t="0" r="3175" b="1905"/>
            <wp:docPr id="11" name="Picture 11" descr="图10 研究者工作台、测试记录与材料配置。页面中的一份记录为合成演示；不是真人预试人数或实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10 研究者工作台、测试记录与材料配置。页面中的一份记录为合成演示；不是真人预试人数或实验结果。"/>
                    <pic:cNvPicPr>
                      <a:picLocks noChangeAspect="1"/>
                    </pic:cNvPicPr>
                  </pic:nvPicPr>
                  <pic:blipFill>
                    <a:blip r:embed="rId29"/>
                    <a:stretch>
                      <a:fillRect/>
                    </a:stretch>
                  </pic:blipFill>
                  <pic:spPr>
                    <a:xfrm>
                      <a:off x="0" y="0"/>
                      <a:ext cx="4934585" cy="3427095"/>
                    </a:xfrm>
                    <a:prstGeom prst="rect">
                      <a:avLst/>
                    </a:prstGeom>
                  </pic:spPr>
                </pic:pic>
              </a:graphicData>
            </a:graphic>
          </wp:inline>
        </w:drawing>
      </w:r>
    </w:p>
    <w:p w14:paraId="198736C0">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w:t>
      </w:r>
      <w:r>
        <w:rPr>
          <w:rFonts w:hint="eastAsia" w:asciiTheme="minorEastAsia" w:hAnsiTheme="minorEastAsia" w:eastAsiaTheme="minorEastAsia" w:cstheme="minorEastAsia"/>
          <w:lang w:val="en-US" w:eastAsia="zh-CN"/>
        </w:rPr>
        <w:t>9</w:t>
      </w:r>
      <w:r>
        <w:rPr>
          <w:rFonts w:hint="eastAsia" w:asciiTheme="minorEastAsia" w:hAnsiTheme="minorEastAsia" w:eastAsiaTheme="minorEastAsia" w:cstheme="minorEastAsia"/>
        </w:rPr>
        <w:t xml:space="preserve">  研究者工作台、测试记录与材料配置</w:t>
      </w:r>
    </w:p>
    <w:p w14:paraId="2A217E8B">
      <w:pPr>
        <w:pStyle w:val="18"/>
        <w:keepNext/>
        <w:rPr>
          <w:rFonts w:hint="eastAsia" w:asciiTheme="minorEastAsia" w:hAnsiTheme="minorEastAsia" w:eastAsiaTheme="minorEastAsia" w:cstheme="minorEastAsia"/>
        </w:rPr>
      </w:pPr>
    </w:p>
    <w:p w14:paraId="55881072">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表3  研究目标与已实现测量口径</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1CDD4259">
        <w:trPr>
          <w:cantSplit/>
          <w:tblHeader/>
          <w:jc w:val="center"/>
        </w:trPr>
        <w:tc>
          <w:tcPr>
            <w:tcW w:w="1757" w:type="dxa"/>
            <w:shd w:val="clear" w:color="auto" w:fill="ECEAFE"/>
          </w:tcPr>
          <w:p w14:paraId="1720FEB0">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研究目标</w:t>
            </w:r>
          </w:p>
        </w:tc>
        <w:tc>
          <w:tcPr>
            <w:tcW w:w="2948" w:type="dxa"/>
            <w:shd w:val="clear" w:color="auto" w:fill="ECEAFE"/>
          </w:tcPr>
          <w:p w14:paraId="70B8A905">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主要记录</w:t>
            </w:r>
          </w:p>
        </w:tc>
        <w:tc>
          <w:tcPr>
            <w:tcW w:w="4649" w:type="dxa"/>
            <w:shd w:val="clear" w:color="auto" w:fill="ECEAFE"/>
          </w:tcPr>
          <w:p w14:paraId="6FF98098">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解释与限制</w:t>
            </w:r>
          </w:p>
        </w:tc>
      </w:tr>
      <w:tr w14:paraId="6D589AA8">
        <w:trPr>
          <w:cantSplit/>
          <w:jc w:val="center"/>
        </w:trPr>
        <w:tc>
          <w:tcPr>
            <w:tcW w:w="1757" w:type="dxa"/>
          </w:tcPr>
          <w:p w14:paraId="27738D4D">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愿意开始与再次绘画</w:t>
            </w:r>
          </w:p>
        </w:tc>
        <w:tc>
          <w:tcPr>
            <w:tcW w:w="2948" w:type="dxa"/>
          </w:tcPr>
          <w:p w14:paraId="2595A41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首次有效落笔等待；每轮前后意愿自评</w:t>
            </w:r>
          </w:p>
        </w:tc>
        <w:tc>
          <w:tcPr>
            <w:tcW w:w="4649" w:type="dxa"/>
          </w:tcPr>
          <w:p w14:paraId="7F325BE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等待是启动行为指标；意愿不是长期实际练习频次。</w:t>
            </w:r>
          </w:p>
        </w:tc>
      </w:tr>
      <w:tr w14:paraId="0FFEEEBC">
        <w:trPr>
          <w:cantSplit/>
          <w:jc w:val="center"/>
        </w:trPr>
        <w:tc>
          <w:tcPr>
            <w:tcW w:w="1757" w:type="dxa"/>
          </w:tcPr>
          <w:p w14:paraId="14A0146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绘画推进与速度</w:t>
            </w:r>
          </w:p>
        </w:tc>
        <w:tc>
          <w:tcPr>
            <w:tcW w:w="2948" w:type="dxa"/>
          </w:tcPr>
          <w:p w14:paraId="7D7743A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开始/结束时间；有效绘画时长；结束原因</w:t>
            </w:r>
          </w:p>
        </w:tc>
        <w:tc>
          <w:tcPr>
            <w:tcW w:w="4649" w:type="dxa"/>
          </w:tcPr>
          <w:p w14:paraId="6C205C3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耗时必须结合完成度；超时、主动结束与技术退出分别解释。</w:t>
            </w:r>
          </w:p>
        </w:tc>
      </w:tr>
      <w:tr w14:paraId="71883034">
        <w:trPr>
          <w:cantSplit/>
          <w:jc w:val="center"/>
        </w:trPr>
        <w:tc>
          <w:tcPr>
            <w:tcW w:w="1757" w:type="dxa"/>
          </w:tcPr>
          <w:p w14:paraId="62BB62E0">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过程中的停顿</w:t>
            </w:r>
          </w:p>
        </w:tc>
        <w:tc>
          <w:tcPr>
            <w:tcW w:w="2948" w:type="dxa"/>
          </w:tcPr>
          <w:p w14:paraId="33D927E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有效落笔间≥5秒停顿；休息/隐藏/阻塞</w:t>
            </w:r>
          </w:p>
        </w:tc>
        <w:tc>
          <w:tcPr>
            <w:tcW w:w="4649" w:type="dxa"/>
          </w:tcPr>
          <w:p w14:paraId="133981B9">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停顿不等于困难；首次等待与末次落笔后间隔另计。</w:t>
            </w:r>
          </w:p>
        </w:tc>
      </w:tr>
      <w:tr w14:paraId="05450BA3">
        <w:trPr>
          <w:cantSplit/>
          <w:jc w:val="center"/>
        </w:trPr>
        <w:tc>
          <w:tcPr>
            <w:tcW w:w="1757" w:type="dxa"/>
          </w:tcPr>
          <w:p w14:paraId="39C7186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作品完成情况</w:t>
            </w:r>
          </w:p>
        </w:tc>
        <w:tc>
          <w:tcPr>
            <w:tcW w:w="2948" w:type="dxa"/>
          </w:tcPr>
          <w:p w14:paraId="3485B6A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共同十项清单；两位评分者独立评分</w:t>
            </w:r>
          </w:p>
        </w:tc>
        <w:tc>
          <w:tcPr>
            <w:tcW w:w="4649" w:type="dxa"/>
          </w:tcPr>
          <w:p w14:paraId="3EFBA25C">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每项0/1/2分，换算百分制后平均；与引导进度分离。</w:t>
            </w:r>
          </w:p>
        </w:tc>
      </w:tr>
      <w:tr w14:paraId="5BE3EDAC">
        <w:trPr>
          <w:cantSplit/>
          <w:jc w:val="center"/>
        </w:trPr>
        <w:tc>
          <w:tcPr>
            <w:tcW w:w="1757" w:type="dxa"/>
          </w:tcPr>
          <w:p w14:paraId="4857C314">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担忧、满足与信心</w:t>
            </w:r>
          </w:p>
        </w:tc>
        <w:tc>
          <w:tcPr>
            <w:tcW w:w="2948" w:type="dxa"/>
          </w:tcPr>
          <w:p w14:paraId="2983D9C3">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两题前测、四题后测；七级自评</w:t>
            </w:r>
          </w:p>
        </w:tc>
        <w:tc>
          <w:tcPr>
            <w:tcW w:w="4649" w:type="dxa"/>
          </w:tcPr>
          <w:p w14:paraId="0EA9D2CE">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项目自编题目；可不回答，不作为已验证心理量表。</w:t>
            </w:r>
          </w:p>
        </w:tc>
      </w:tr>
      <w:tr w14:paraId="6B9DA2D6">
        <w:trPr>
          <w:cantSplit/>
          <w:jc w:val="center"/>
        </w:trPr>
        <w:tc>
          <w:tcPr>
            <w:tcW w:w="1757" w:type="dxa"/>
          </w:tcPr>
          <w:p w14:paraId="76568997">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过程解释与数据完整性</w:t>
            </w:r>
          </w:p>
        </w:tc>
        <w:tc>
          <w:tcPr>
            <w:tcW w:w="2948" w:type="dxa"/>
          </w:tcPr>
          <w:p w14:paraId="1FDAE836">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落笔、撤销、推进、问卷、作品、访谈</w:t>
            </w:r>
          </w:p>
        </w:tc>
        <w:tc>
          <w:tcPr>
            <w:tcW w:w="4649" w:type="dxa"/>
          </w:tcPr>
          <w:p w14:paraId="55ECE20F">
            <w:pPr>
              <w:pStyle w:val="19"/>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研究者录入口头访谈；JSON与后端记录支持核对。</w:t>
            </w:r>
          </w:p>
        </w:tc>
      </w:tr>
    </w:tbl>
    <w:p w14:paraId="0B665942">
      <w:pPr>
        <w:pStyle w:val="16"/>
        <w:rPr>
          <w:rFonts w:hint="eastAsia" w:asciiTheme="minorEastAsia" w:hAnsiTheme="minorEastAsia" w:eastAsiaTheme="minorEastAsia" w:cstheme="minorEastAsia"/>
        </w:rPr>
      </w:pPr>
    </w:p>
    <w:p w14:paraId="0593C8F4">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停顿在当前程序中有明确口径：相邻两次有效非橡皮落笔之间的间隔达到5秒，且不与页面隐藏、主动休息或系统阻塞重叠，才计入停顿。首次落笔前的等待和结束前的尾段另行记录，不能混在同一种停顿指标里。这样可以区分观察思考、主动暂停与技术等待，但仍不能仅凭日志推断参与者的心理原因，需要结合口头访谈解释。</w:t>
      </w:r>
    </w:p>
    <w:p w14:paraId="7227824B">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作品完成度依据共同的十项内容清单，由两位评分者独立按0、1、2分评分，并换算为百分制平均值；关键主体项目另设基本要求。它与引导进度、匹配数量及算法覆盖率分别保存。研究者可以配置与参考图对应的评分清单，正式实验前应固定评分规则并检查一致性。导出的结构化JSON与后端保存记录可用于追溯，报告中的缺失值保留为空，不用零分替代未完成的评分。</w:t>
      </w:r>
    </w:p>
    <w:p w14:paraId="2981E730">
      <w:pPr>
        <w:pStyle w:val="18"/>
        <w:keepNext/>
        <w:spacing w:before="120"/>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114300" distR="114300">
            <wp:extent cx="5657215" cy="3660775"/>
            <wp:effectExtent l="0" t="0" r="12065" b="12065"/>
            <wp:docPr id="12" name="Picture 12" descr="图11 两轮绘画的指标对比与过程时间线。仅为隔离环境的合成记录展示，计时经过加速且作品未评分；不用于任何效果结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11 两轮绘画的指标对比与过程时间线。仅为隔离环境的合成记录展示，计时经过加速且作品未评分；不用于任何效果结论。"/>
                    <pic:cNvPicPr>
                      <a:picLocks noChangeAspect="1"/>
                    </pic:cNvPicPr>
                  </pic:nvPicPr>
                  <pic:blipFill>
                    <a:blip r:embed="rId30"/>
                    <a:stretch>
                      <a:fillRect/>
                    </a:stretch>
                  </pic:blipFill>
                  <pic:spPr>
                    <a:xfrm>
                      <a:off x="0" y="0"/>
                      <a:ext cx="5657215" cy="3660775"/>
                    </a:xfrm>
                    <a:prstGeom prst="rect">
                      <a:avLst/>
                    </a:prstGeom>
                  </pic:spPr>
                </pic:pic>
              </a:graphicData>
            </a:graphic>
          </wp:inline>
        </w:drawing>
      </w:r>
    </w:p>
    <w:p w14:paraId="18A9A22B">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图1</w:t>
      </w:r>
      <w:r>
        <w:rPr>
          <w:rFonts w:hint="eastAsia" w:asciiTheme="minorEastAsia" w:hAnsiTheme="minorEastAsia" w:eastAsiaTheme="minorEastAsia" w:cstheme="minorEastAsia"/>
          <w:lang w:val="en-US" w:eastAsia="zh-CN"/>
        </w:rPr>
        <w:t>0</w:t>
      </w:r>
      <w:r>
        <w:rPr>
          <w:rFonts w:hint="eastAsia" w:asciiTheme="minorEastAsia" w:hAnsiTheme="minorEastAsia" w:eastAsiaTheme="minorEastAsia" w:cstheme="minorEastAsia"/>
        </w:rPr>
        <w:t xml:space="preserve">  两轮绘画的指标对比与过程时间线</w:t>
      </w:r>
    </w:p>
    <w:p w14:paraId="78D68E99">
      <w:pPr>
        <w:pStyle w:val="16"/>
        <w:rPr>
          <w:rFonts w:hint="eastAsia" w:asciiTheme="minorEastAsia" w:hAnsiTheme="minorEastAsia" w:eastAsiaTheme="minorEastAsia" w:cstheme="minorEastAsia"/>
        </w:rPr>
      </w:pPr>
    </w:p>
    <w:p w14:paraId="5AF16E36">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软件验证已覆盖材料准备、两种顺序的任务执行、问卷提交、离线后重试保存、后台访谈、评分、权限与移动端布局。现有检查说明这些流程可以在隔离环境中运行，但真实设备和真实参与者仍可能出现不同问题。本阶段的结果是实验执行工具已搭建，而不是对产品效果完成了验证。研究保留退出与撤回入口，按既定期限私有保存研究作品，不公开参与者身份信息或完整触点轨迹。</w:t>
      </w:r>
    </w:p>
    <w:p w14:paraId="4FD58A41">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六、阶段性成果与待验证问题</w:t>
      </w:r>
    </w:p>
    <w:p w14:paraId="7C6EC4E0">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本阶段已形成可运行的网页原型、独立的笔触规划模块、由粗到细的五遍序列、六种自由笔刷、交互教程与产品说明，以及覆盖研究执行和记录管理的前后端模块。文献阅读已转化为具体的方法选择、实现说明和参考来源；UI设计已从页面表达落实到可操作的上传、提示、撤销、模式切换和保存流程。这些成果使课题具备开展用户测试的条件，构成中期工作的主要完成内容。</w:t>
      </w:r>
    </w:p>
    <w:p w14:paraId="6042EAE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待验证的问题主要涉及任务负担与交互有效性。1000笔可改善部分图像的细节表达，但大量逐笔操作可能增加等待与重复动作；由粗到细的顺序更容易说明，却不保证每名用户都能理解局部笔触与原图之间的关系。参考图、画布、提示卡和工具栏的注意力分配也需要实际观察。后续将重点记录犹豫、误触、反复查看提示和提前结束的位置，以判断问题来自材料难度、算法动作还是界面组织。</w:t>
      </w:r>
    </w:p>
    <w:p w14:paraId="43EE52EF">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研究解释同样需要明确边界。同图重复绘画会产生记忆和熟悉效应，AB与BA平衡只能缓解，不能完全消除；单次自评意愿不能证明长期习惯形成；更快结束也可能源于提前放弃。分析速度时必须结合完成度、结束原因及作品内容，分析满意度时要注意亲手创作感与系统帮助之间的关系。论文将把这些限制纳入讨论，并保留与预期不一致的结果。</w:t>
      </w:r>
    </w:p>
    <w:p w14:paraId="46DBA838">
      <w:pPr>
        <w:pStyle w:val="15"/>
        <w:rPr>
          <w:rFonts w:hint="eastAsia" w:asciiTheme="minorEastAsia" w:hAnsiTheme="minorEastAsia" w:eastAsiaTheme="minorEastAsia" w:cstheme="minorEastAsia"/>
        </w:rPr>
      </w:pPr>
      <w:r>
        <w:rPr>
          <w:rFonts w:hint="eastAsia" w:asciiTheme="minorEastAsia" w:hAnsiTheme="minorEastAsia" w:eastAsiaTheme="minorEastAsia" w:cstheme="minorEastAsia"/>
        </w:rPr>
        <w:t>七、下一阶段</w:t>
      </w:r>
      <w:r>
        <w:rPr>
          <w:rFonts w:hint="eastAsia" w:asciiTheme="minorEastAsia" w:hAnsiTheme="minorEastAsia" w:eastAsiaTheme="minorEastAsia" w:cstheme="minorEastAsia"/>
          <w:lang w:val="en-US" w:eastAsia="zh-CN"/>
        </w:rPr>
        <w:t>用户测试</w:t>
      </w:r>
      <w:r>
        <w:rPr>
          <w:rFonts w:hint="eastAsia" w:asciiTheme="minorEastAsia" w:hAnsiTheme="minorEastAsia" w:eastAsiaTheme="minorEastAsia" w:cstheme="minorEastAsia"/>
        </w:rPr>
        <w:t>计划</w:t>
      </w:r>
    </w:p>
    <w:p w14:paraId="49F593A1">
      <w:pPr>
        <w:pStyle w:val="18"/>
        <w:keepNext/>
        <w:rPr>
          <w:rFonts w:hint="eastAsia" w:asciiTheme="minorEastAsia" w:hAnsiTheme="minorEastAsia" w:eastAsiaTheme="minorEastAsia" w:cstheme="minorEastAsia"/>
        </w:rPr>
      </w:pPr>
      <w:r>
        <w:rPr>
          <w:rFonts w:hint="eastAsia" w:asciiTheme="minorEastAsia" w:hAnsiTheme="minorEastAsia" w:eastAsiaTheme="minorEastAsia" w:cstheme="minorEastAsia"/>
        </w:rPr>
        <w:t>表4  下一阶段执行安排与阶段交付</w:t>
      </w:r>
    </w:p>
    <w:tbl>
      <w:tblPr>
        <w:tblStyle w:val="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2948"/>
        <w:gridCol w:w="4649"/>
      </w:tblGrid>
      <w:tr w14:paraId="7515939B">
        <w:trPr>
          <w:cantSplit/>
          <w:tblHeader/>
          <w:jc w:val="center"/>
        </w:trPr>
        <w:tc>
          <w:tcPr>
            <w:tcW w:w="1757" w:type="dxa"/>
            <w:shd w:val="clear" w:color="auto" w:fill="ECEAFE"/>
          </w:tcPr>
          <w:p w14:paraId="614F03B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顺序</w:t>
            </w:r>
          </w:p>
        </w:tc>
        <w:tc>
          <w:tcPr>
            <w:tcW w:w="2948" w:type="dxa"/>
            <w:shd w:val="clear" w:color="auto" w:fill="ECEAFE"/>
          </w:tcPr>
          <w:p w14:paraId="02F97A6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主要工作</w:t>
            </w:r>
          </w:p>
        </w:tc>
        <w:tc>
          <w:tcPr>
            <w:tcW w:w="4649" w:type="dxa"/>
            <w:shd w:val="clear" w:color="auto" w:fill="ECEAFE"/>
          </w:tcPr>
          <w:p w14:paraId="7AB7408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rPr>
              <w:t>完成标志</w:t>
            </w:r>
          </w:p>
        </w:tc>
      </w:tr>
      <w:tr w14:paraId="304F4E81">
        <w:trPr>
          <w:cantSplit/>
          <w:jc w:val="center"/>
        </w:trPr>
        <w:tc>
          <w:tcPr>
            <w:tcW w:w="1757" w:type="dxa"/>
          </w:tcPr>
          <w:p w14:paraId="3CAAAFA3">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1 / 预试准备</w:t>
            </w:r>
          </w:p>
        </w:tc>
        <w:tc>
          <w:tcPr>
            <w:tcW w:w="2948" w:type="dxa"/>
          </w:tcPr>
          <w:p w14:paraId="6FA6473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核对研究说明、候选材料、设备与评分清单</w:t>
            </w:r>
          </w:p>
        </w:tc>
        <w:tc>
          <w:tcPr>
            <w:tcW w:w="4649" w:type="dxa"/>
          </w:tcPr>
          <w:p w14:paraId="386F55DE">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形成可执行的统一说明与材料包。</w:t>
            </w:r>
          </w:p>
        </w:tc>
      </w:tr>
      <w:tr w14:paraId="329A978B">
        <w:trPr>
          <w:cantSplit/>
          <w:jc w:val="center"/>
        </w:trPr>
        <w:tc>
          <w:tcPr>
            <w:tcW w:w="1757" w:type="dxa"/>
          </w:tcPr>
          <w:p w14:paraId="31DDE0B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2 / 六人预试</w:t>
            </w:r>
          </w:p>
        </w:tc>
        <w:tc>
          <w:tcPr>
            <w:tcW w:w="2948" w:type="dxa"/>
          </w:tcPr>
          <w:p w14:paraId="3657E88B">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观察五步流程、任务负担与数据完整性</w:t>
            </w:r>
          </w:p>
        </w:tc>
        <w:tc>
          <w:tcPr>
            <w:tcW w:w="4649" w:type="dxa"/>
          </w:tcPr>
          <w:p w14:paraId="7178B7E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记录问题、访谈及每项修正依据。</w:t>
            </w:r>
          </w:p>
        </w:tc>
      </w:tr>
      <w:tr w14:paraId="0977C2EB">
        <w:trPr>
          <w:cantSplit/>
          <w:jc w:val="center"/>
        </w:trPr>
        <w:tc>
          <w:tcPr>
            <w:tcW w:w="1757" w:type="dxa"/>
          </w:tcPr>
          <w:p w14:paraId="7FE055B1">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3 / 交互优化与复验</w:t>
            </w:r>
          </w:p>
        </w:tc>
        <w:tc>
          <w:tcPr>
            <w:tcW w:w="2948" w:type="dxa"/>
          </w:tcPr>
          <w:p w14:paraId="58F941C6">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优化提示、遮挡、按钮语义与任务节奏</w:t>
            </w:r>
          </w:p>
        </w:tc>
        <w:tc>
          <w:tcPr>
            <w:tcW w:w="4649" w:type="dxa"/>
          </w:tcPr>
          <w:p w14:paraId="0EC3262B">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复验通过，固定正式版本与协议。</w:t>
            </w:r>
          </w:p>
        </w:tc>
      </w:tr>
      <w:tr w14:paraId="707C5A99">
        <w:trPr>
          <w:cantSplit/>
          <w:jc w:val="center"/>
        </w:trPr>
        <w:tc>
          <w:tcPr>
            <w:tcW w:w="1757" w:type="dxa"/>
          </w:tcPr>
          <w:p w14:paraId="5603D341">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4 / 正式对比实验</w:t>
            </w:r>
          </w:p>
        </w:tc>
        <w:tc>
          <w:tcPr>
            <w:tcW w:w="2948" w:type="dxa"/>
          </w:tcPr>
          <w:p w14:paraId="5F4C83F8">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按AB/BA获取拟定24份有效配对记录</w:t>
            </w:r>
          </w:p>
        </w:tc>
        <w:tc>
          <w:tcPr>
            <w:tcW w:w="4649" w:type="dxa"/>
          </w:tcPr>
          <w:p w14:paraId="40214685">
            <w:pPr>
              <w:pStyle w:val="19"/>
              <w:keepNext/>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完成两轮作品、问卷与双人评分核对。</w:t>
            </w:r>
          </w:p>
        </w:tc>
      </w:tr>
      <w:tr w14:paraId="7F48B69A">
        <w:trPr>
          <w:cantSplit/>
          <w:jc w:val="center"/>
        </w:trPr>
        <w:tc>
          <w:tcPr>
            <w:tcW w:w="1757" w:type="dxa"/>
          </w:tcPr>
          <w:p w14:paraId="44220A94">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5 / 分析和论文完善</w:t>
            </w:r>
          </w:p>
        </w:tc>
        <w:tc>
          <w:tcPr>
            <w:tcW w:w="2948" w:type="dxa"/>
          </w:tcPr>
          <w:p w14:paraId="4A6CB505">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配对分析、访谈解释、设计总结</w:t>
            </w:r>
          </w:p>
        </w:tc>
        <w:tc>
          <w:tcPr>
            <w:tcW w:w="4649" w:type="dxa"/>
          </w:tcPr>
          <w:p w14:paraId="7E68D95A">
            <w:pPr>
              <w:pStyle w:val="19"/>
              <w:keepNext w:val="0"/>
              <w:spacing w:before="80" w:after="80"/>
              <w:rPr>
                <w:rFonts w:hint="eastAsia" w:asciiTheme="minorEastAsia" w:hAnsiTheme="minorEastAsia" w:eastAsiaTheme="minorEastAsia" w:cstheme="minorEastAsia"/>
              </w:rPr>
            </w:pPr>
            <w:r>
              <w:rPr>
                <w:rFonts w:hint="eastAsia" w:asciiTheme="minorEastAsia" w:hAnsiTheme="minorEastAsia" w:eastAsiaTheme="minorEastAsia" w:cstheme="minorEastAsia"/>
                <w:b w:val="0"/>
              </w:rPr>
              <w:t>完成结果与讨论，报告局限和适用范围。</w:t>
            </w:r>
          </w:p>
        </w:tc>
      </w:tr>
    </w:tbl>
    <w:p w14:paraId="175CA99E">
      <w:pPr>
        <w:pStyle w:val="19"/>
        <w:rPr>
          <w:rFonts w:hint="eastAsia" w:asciiTheme="minorEastAsia" w:hAnsiTheme="minorEastAsia" w:eastAsiaTheme="minorEastAsia" w:cstheme="minorEastAsia"/>
        </w:rPr>
      </w:pPr>
      <w:r>
        <w:rPr>
          <w:rFonts w:hint="eastAsia" w:asciiTheme="minorEastAsia" w:hAnsiTheme="minorEastAsia" w:eastAsiaTheme="minorEastAsia" w:cstheme="minorEastAsia"/>
        </w:rPr>
        <w:t>注：采用相对阶段安排；具体日程在预试组织与导师确认后确定。</w:t>
      </w:r>
    </w:p>
    <w:p w14:paraId="2A17A236">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7.1 开展预试并优化交互</w:t>
      </w:r>
    </w:p>
    <w:p w14:paraId="277BEA6C">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下一阶段首先执行6名零基础参与者的预试。预试重点是确认用户能否理解说明、进入练习、独立开始绘画、使用提示并提交作品，以及同一材料在两条件下的任务负担是否合理。研究者将观察关键犹豫点、记录口头反馈，并核查日志、问卷和作品是否配对完整。预试数据用于发现设计和测量问题，不与正式数据直接混合用于证明假设。</w:t>
      </w:r>
    </w:p>
    <w:p w14:paraId="1341A624">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根据预试结果，优先优化与核心任务有关的交互：控制提示信息量、调整面板遮挡与工具触达、明确开始和结束含义、改善细小笔触的可辨识性，并检查撤销是否符合用户预期。材料与笔触预算也根据真实操作时间和完成情况共同确定；不预设名画级复杂材料必须在12分钟内完成1000笔。优化后进行复验，再冻结正式材料、算法计划、界面、问卷和评分规则，使条件之间保持可比。</w:t>
      </w:r>
    </w:p>
    <w:p w14:paraId="17DDF58B">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7.2 执行正式对比实验与结果分析</w:t>
      </w:r>
    </w:p>
    <w:p w14:paraId="4343FB53">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正式研究</w:t>
      </w:r>
      <w:bookmarkStart w:id="8" w:name="_GoBack"/>
      <w:bookmarkEnd w:id="8"/>
      <w:r>
        <w:rPr>
          <w:rFonts w:hint="eastAsia" w:asciiTheme="minorEastAsia" w:hAnsiTheme="minorEastAsia" w:eastAsiaTheme="minorEastAsia" w:cstheme="minorEastAsia"/>
        </w:rPr>
        <w:t>拟取得24名参与者的有效配对记录，招募数量和纳入条件结合预试及导师意见最终确定。参与者使用统一设备和输入方式，对同一图完成A、B两条件，遵循平衡顺序与一致时限。研究者按照统一说明执行，不在某一条件额外提供绘画帮助；口头访谈重点询问哪种方式更容易开始、何时最想停止，以及哪幅作品更有“自己画出来”的感受。</w:t>
      </w:r>
    </w:p>
    <w:p w14:paraId="63E0329E">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分析以作品完成度与再次绘画意愿为主要指标，启动等待、任务耗时、停顿、担忧和满足感作为辅助解释。当前平台提供配对差值、方向统计和双侧精确符号检验，并对两项主要指标进行Holm校正。正式分析前将明确缺失记录、超时、退出和技术故障的处理，报告差异及不确定性，避免只选择有利指标。作品评分尽量隐藏条件信息，并检查两位评分者的分歧；界面风格仍可能暴露条件时，将如实说明盲评限制。</w:t>
      </w:r>
    </w:p>
    <w:p w14:paraId="739C73C8">
      <w:pPr>
        <w:pStyle w:val="17"/>
        <w:rPr>
          <w:rFonts w:hint="eastAsia" w:asciiTheme="minorEastAsia" w:hAnsiTheme="minorEastAsia" w:eastAsiaTheme="minorEastAsia" w:cstheme="minorEastAsia"/>
        </w:rPr>
      </w:pPr>
      <w:r>
        <w:rPr>
          <w:rFonts w:hint="eastAsia" w:asciiTheme="minorEastAsia" w:hAnsiTheme="minorEastAsia" w:eastAsiaTheme="minorEastAsia" w:cstheme="minorEastAsia"/>
        </w:rPr>
        <w:t>7.3 完成论文写作与设计总结</w:t>
      </w:r>
    </w:p>
    <w:p w14:paraId="4ED07AE5">
      <w:pPr>
        <w:pStyle w:val="16"/>
        <w:rPr>
          <w:rFonts w:hint="eastAsia" w:asciiTheme="minorEastAsia" w:hAnsiTheme="minorEastAsia" w:eastAsiaTheme="minorEastAsia" w:cstheme="minorEastAsia"/>
        </w:rPr>
      </w:pPr>
      <w:r>
        <w:rPr>
          <w:rFonts w:hint="eastAsia" w:asciiTheme="minorEastAsia" w:hAnsiTheme="minorEastAsia" w:eastAsiaTheme="minorEastAsia" w:cstheme="minorEastAsia"/>
        </w:rPr>
        <w:t>论文写作与实验执行并行推进。现阶段可以完成研究背景、相关方法、算法</w:t>
      </w:r>
      <w:r>
        <w:rPr>
          <w:rFonts w:hint="eastAsia" w:asciiTheme="minorEastAsia" w:hAnsiTheme="minorEastAsia" w:eastAsiaTheme="minorEastAsia" w:cstheme="minorEastAsia"/>
          <w:lang w:val="en-US" w:eastAsia="zh-CN"/>
        </w:rPr>
        <w:t>应用</w:t>
      </w:r>
      <w:r>
        <w:rPr>
          <w:rFonts w:hint="eastAsia" w:asciiTheme="minorEastAsia" w:hAnsiTheme="minorEastAsia" w:eastAsiaTheme="minorEastAsia" w:cstheme="minorEastAsia"/>
        </w:rPr>
        <w:t>、交互设计与系统建设章节；实验结束后补充用户表现、访谈、讨论和设计建议。最终论证围绕“有序笔触引导怎样帮助</w:t>
      </w:r>
      <w:r>
        <w:rPr>
          <w:rFonts w:hint="eastAsia" w:asciiTheme="minorEastAsia" w:hAnsiTheme="minorEastAsia" w:eastAsiaTheme="minorEastAsia" w:cstheme="minorEastAsia"/>
          <w:lang w:val="en-US" w:eastAsia="zh-CN"/>
        </w:rPr>
        <w:t>绘画初学者用户</w:t>
      </w:r>
      <w:r>
        <w:rPr>
          <w:rFonts w:hint="eastAsia" w:asciiTheme="minorEastAsia" w:hAnsiTheme="minorEastAsia" w:eastAsiaTheme="minorEastAsia" w:cstheme="minorEastAsia"/>
        </w:rPr>
        <w:t>开始并推进绘画”展开，将软件功能、过程证据和主观体验联系起来，研究将据此总结适用情境、局限和后续改进方向。</w:t>
      </w:r>
    </w:p>
    <w:p w14:paraId="2DE2FCDA">
      <w:pPr>
        <w:pStyle w:val="15"/>
        <w:pageBreakBefore/>
      </w:pPr>
      <w:r>
        <w:t>参考文献</w:t>
      </w:r>
    </w:p>
    <w:p w14:paraId="291D4D8A">
      <w:pPr>
        <w:pStyle w:val="20"/>
        <w:keepNext/>
      </w:pPr>
      <w:r>
        <w:t>[1] HERTZMANN A. Painterly Rendering with Curved Brush Strokes of Multiple Sizes[C]//Proceedings of SIGGRAPH 1998. 1998: 453–460. DOI: 10.1145/280814.280951.</w:t>
      </w:r>
    </w:p>
    <w:p w14:paraId="5E9EA052">
      <w:pPr>
        <w:pStyle w:val="19"/>
      </w:pPr>
      <w:r>
        <w:t>原文 / 来源：</w:t>
      </w:r>
      <w:r>
        <w:fldChar w:fldCharType="begin"/>
      </w:r>
      <w:r>
        <w:instrText xml:space="preserve"> HYPERLINK "https://mrl.cs.nyu.edu/publications/painterly98/" \h </w:instrText>
      </w:r>
      <w:r>
        <w:fldChar w:fldCharType="separate"/>
      </w:r>
      <w:r>
        <w:rPr>
          <w:color w:val="3755A0"/>
          <w:sz w:val="19"/>
        </w:rPr>
        <w:t>https://mrl.cs.nyu.edu/publications/painterly98/</w:t>
      </w:r>
      <w:r>
        <w:rPr>
          <w:color w:val="3755A0"/>
          <w:sz w:val="19"/>
        </w:rPr>
        <w:fldChar w:fldCharType="end"/>
      </w:r>
    </w:p>
    <w:p w14:paraId="2DF65890">
      <w:pPr>
        <w:pStyle w:val="20"/>
        <w:keepNext/>
      </w:pPr>
      <w:r>
        <w:t>[2] HUANG Z, HENG W, ZHOU S. Learning to Paint With Model-Based Deep Reinforcement Learning[C]//Proceedings of ICCV. 2019: 8709–8718. DOI: 10.1109/ICCV.2019.00880.</w:t>
      </w:r>
    </w:p>
    <w:p w14:paraId="00022CC9">
      <w:pPr>
        <w:pStyle w:val="19"/>
      </w:pPr>
      <w:r>
        <w:t>原文 / 来源：</w:t>
      </w:r>
      <w:r>
        <w:fldChar w:fldCharType="begin"/>
      </w:r>
      <w:r>
        <w:instrText xml:space="preserve"> HYPERLINK "https://arxiv.org/abs/1903.04411" \h </w:instrText>
      </w:r>
      <w:r>
        <w:fldChar w:fldCharType="separate"/>
      </w:r>
      <w:r>
        <w:rPr>
          <w:color w:val="3755A0"/>
          <w:sz w:val="19"/>
        </w:rPr>
        <w:t>https://arxiv.org/abs/1903.04411</w:t>
      </w:r>
      <w:r>
        <w:rPr>
          <w:color w:val="3755A0"/>
          <w:sz w:val="19"/>
        </w:rPr>
        <w:fldChar w:fldCharType="end"/>
      </w:r>
    </w:p>
    <w:p w14:paraId="44640FB2">
      <w:pPr>
        <w:pStyle w:val="20"/>
        <w:keepNext/>
      </w:pPr>
      <w:r>
        <w:t>[3] ZOU Z, SHI T, QIU S, et al. Stylized Neural Painting[C]//Proceedings of CVPR. 2021: 15689–15698. DOI: 10.1109/CVPR46437.2021.01543.</w:t>
      </w:r>
    </w:p>
    <w:p w14:paraId="69FB4843">
      <w:pPr>
        <w:pStyle w:val="19"/>
      </w:pPr>
      <w:r>
        <w:t>原文 / 来源：</w:t>
      </w:r>
      <w:r>
        <w:fldChar w:fldCharType="begin"/>
      </w:r>
      <w:r>
        <w:instrText xml:space="preserve"> HYPERLINK "https://openaccess.thecvf.com/content/CVPR2021/html/Zou_Stylized_Neural_Painting_CVPR_2021_paper.html" \h </w:instrText>
      </w:r>
      <w:r>
        <w:fldChar w:fldCharType="separate"/>
      </w:r>
      <w:r>
        <w:rPr>
          <w:color w:val="3755A0"/>
          <w:sz w:val="19"/>
        </w:rPr>
        <w:t>https://openaccess.thecvf.com/content/CVPR2021/html/Zou_Stylized_Neural_Painting_CVPR_2021_paper.html</w:t>
      </w:r>
      <w:r>
        <w:rPr>
          <w:color w:val="3755A0"/>
          <w:sz w:val="19"/>
        </w:rPr>
        <w:fldChar w:fldCharType="end"/>
      </w:r>
    </w:p>
    <w:p w14:paraId="40DF2262">
      <w:pPr>
        <w:pStyle w:val="20"/>
        <w:keepNext/>
      </w:pPr>
      <w:r>
        <w:t>[4] HU T, YI R, ZHU H, et al. Stroke-based Neural Painting and Stylization with Dynamically Predicted Painting Region[C]//Proceedings of ACM Multimedia. 2023. DOI: 10.1145/3581783.3611766.</w:t>
      </w:r>
    </w:p>
    <w:p w14:paraId="58DF1F52">
      <w:pPr>
        <w:pStyle w:val="19"/>
      </w:pPr>
      <w:r>
        <w:t>原文 / 来源：</w:t>
      </w:r>
      <w:r>
        <w:fldChar w:fldCharType="begin"/>
      </w:r>
      <w:r>
        <w:instrText xml:space="preserve"> HYPERLINK "https://arxiv.org/abs/2309.03504" \h </w:instrText>
      </w:r>
      <w:r>
        <w:fldChar w:fldCharType="separate"/>
      </w:r>
      <w:r>
        <w:rPr>
          <w:color w:val="3755A0"/>
          <w:sz w:val="19"/>
        </w:rPr>
        <w:t>https://arxiv.org/abs/2309.03504</w:t>
      </w:r>
      <w:r>
        <w:rPr>
          <w:color w:val="3755A0"/>
          <w:sz w:val="19"/>
        </w:rPr>
        <w:fldChar w:fldCharType="end"/>
      </w:r>
    </w:p>
    <w:p w14:paraId="12D103D9">
      <w:pPr>
        <w:pStyle w:val="20"/>
        <w:keepNext/>
      </w:pPr>
      <w:r>
        <w:t>[5] NATIONAL GALLERY. Claude Monet: The Water-Lily Pond[EB/OL]. [2026-09-16].</w:t>
      </w:r>
    </w:p>
    <w:p w14:paraId="5BB419CE">
      <w:pPr>
        <w:pStyle w:val="19"/>
      </w:pPr>
      <w:r>
        <w:t>原文 / 来源：</w:t>
      </w:r>
      <w:r>
        <w:fldChar w:fldCharType="begin"/>
      </w:r>
      <w:r>
        <w:instrText xml:space="preserve"> HYPERLINK "https://www.nationalgallery.org.uk/paintings/claude-monet-the-water-lily-pond" \h </w:instrText>
      </w:r>
      <w:r>
        <w:fldChar w:fldCharType="separate"/>
      </w:r>
      <w:r>
        <w:rPr>
          <w:color w:val="3755A0"/>
          <w:sz w:val="19"/>
        </w:rPr>
        <w:t>https://www.nationalgallery.org.uk/paintings/claude-monet-the-water-lily-pond</w:t>
      </w:r>
      <w:r>
        <w:rPr>
          <w:color w:val="3755A0"/>
          <w:sz w:val="19"/>
        </w:rPr>
        <w:fldChar w:fldCharType="end"/>
      </w:r>
    </w:p>
    <w:p w14:paraId="37A2B1D2">
      <w:pPr>
        <w:pStyle w:val="20"/>
        <w:keepNext/>
      </w:pPr>
      <w:r>
        <w:t>[6] VAN GOGH MUSEUM. Unravel Van Gogh: Thick Brushstrokes[EB/OL]. [2026-09-16].</w:t>
      </w:r>
    </w:p>
    <w:p w14:paraId="626EE684">
      <w:pPr>
        <w:pStyle w:val="19"/>
      </w:pPr>
      <w:r>
        <w:t>原文 / 来源：</w:t>
      </w:r>
      <w:r>
        <w:fldChar w:fldCharType="begin"/>
      </w:r>
      <w:r>
        <w:instrText xml:space="preserve"> HYPERLINK "https://ontrafel.vangogh.nl/en/story/29/thick-brushstrokes/" \h </w:instrText>
      </w:r>
      <w:r>
        <w:fldChar w:fldCharType="separate"/>
      </w:r>
      <w:r>
        <w:rPr>
          <w:color w:val="3755A0"/>
          <w:sz w:val="19"/>
        </w:rPr>
        <w:t>https://ontrafel.vangogh.nl/en/story/29/thick-brushstrokes/</w:t>
      </w:r>
      <w:r>
        <w:rPr>
          <w:color w:val="3755A0"/>
          <w:sz w:val="19"/>
        </w:rPr>
        <w:fldChar w:fldCharType="end"/>
      </w:r>
    </w:p>
    <w:p w14:paraId="6C2977E9">
      <w:pPr>
        <w:pStyle w:val="20"/>
        <w:keepNext/>
      </w:pPr>
      <w:r>
        <w:t>[7] NATIONAL GALLERY. Paul Gauguin: Harvest, Le Pouldu[EB/OL]. [2026-09-16].</w:t>
      </w:r>
    </w:p>
    <w:p w14:paraId="55B05B0C">
      <w:pPr>
        <w:pStyle w:val="19"/>
      </w:pPr>
      <w:r>
        <w:t>原文 / 来源：</w:t>
      </w:r>
      <w:r>
        <w:fldChar w:fldCharType="begin"/>
      </w:r>
      <w:r>
        <w:instrText xml:space="preserve"> HYPERLINK "https://www.nationalgallery.org.uk/paintings/paul-gauguin-harvest-le-pouldu" \h </w:instrText>
      </w:r>
      <w:r>
        <w:fldChar w:fldCharType="separate"/>
      </w:r>
      <w:r>
        <w:rPr>
          <w:color w:val="3755A0"/>
          <w:sz w:val="19"/>
        </w:rPr>
        <w:t>https://www.nationalgallery.org.uk/paintings/paul-gauguin-harvest-le-pouldu</w:t>
      </w:r>
      <w:r>
        <w:rPr>
          <w:color w:val="3755A0"/>
          <w:sz w:val="19"/>
        </w:rPr>
        <w:fldChar w:fldCharType="end"/>
      </w:r>
    </w:p>
    <w:p w14:paraId="175461D2">
      <w:pPr>
        <w:pStyle w:val="20"/>
        <w:keepNext/>
      </w:pPr>
      <w:r>
        <w:t>[8] NATIONAL GALLERY. Rembrandt: The Late Works—A Resource for Science Teachers, What Is Paint?[EB/OL]. [2026-09-16].</w:t>
      </w:r>
    </w:p>
    <w:p w14:paraId="2914008D">
      <w:pPr>
        <w:pStyle w:val="19"/>
      </w:pPr>
      <w:r>
        <w:t>原文 / 来源：</w:t>
      </w:r>
      <w:r>
        <w:fldChar w:fldCharType="begin"/>
      </w:r>
      <w:r>
        <w:instrText xml:space="preserve"> HYPERLINK "https://www.nationalgallery.org.uk/learning/teachers-notes/rembrandt-the-late-works-a-resource-for-science-teachers?viewPage=3" \h </w:instrText>
      </w:r>
      <w:r>
        <w:fldChar w:fldCharType="separate"/>
      </w:r>
      <w:r>
        <w:rPr>
          <w:color w:val="3755A0"/>
          <w:sz w:val="19"/>
        </w:rPr>
        <w:t>https://www.nationalgallery.org.uk/learning/teachers-notes/rembrandt-the-late-works-a-resource-for-science-teachers?viewPage=3</w:t>
      </w:r>
      <w:r>
        <w:rPr>
          <w:color w:val="3755A0"/>
          <w:sz w:val="19"/>
        </w:rPr>
        <w:fldChar w:fldCharType="end"/>
      </w:r>
    </w:p>
    <w:p w14:paraId="590C2776">
      <w:pPr>
        <w:pStyle w:val="20"/>
        <w:keepNext/>
      </w:pPr>
      <w:r>
        <w:t>[9] THE METROPOLITAN MUSEUM OF ART. Pablo Picasso (1881–1973)[EB/OL]. [2026-09-16].</w:t>
      </w:r>
    </w:p>
    <w:p w14:paraId="545B98BC">
      <w:pPr>
        <w:pStyle w:val="19"/>
      </w:pPr>
      <w:r>
        <w:t>原文 / 来源：</w:t>
      </w:r>
      <w:r>
        <w:fldChar w:fldCharType="begin"/>
      </w:r>
      <w:r>
        <w:instrText xml:space="preserve"> HYPERLINK "https://www.metmuseum.org/essays/pablo-picasso-1881-1973" \h </w:instrText>
      </w:r>
      <w:r>
        <w:fldChar w:fldCharType="separate"/>
      </w:r>
      <w:r>
        <w:rPr>
          <w:color w:val="3755A0"/>
          <w:sz w:val="19"/>
        </w:rPr>
        <w:t>https://www.metmuseum.org/essays/pablo-picasso-1881-1973</w:t>
      </w:r>
      <w:r>
        <w:rPr>
          <w:color w:val="3755A0"/>
          <w:sz w:val="19"/>
        </w:rPr>
        <w:fldChar w:fldCharType="end"/>
      </w:r>
    </w:p>
    <w:p w14:paraId="3BCF5E3B">
      <w:pPr>
        <w:pStyle w:val="20"/>
        <w:keepNext/>
      </w:pPr>
      <w:r>
        <w:t>[10] CENTENO S A, MAHON D. A Technical Study of John Singer Sargent’s Portrait of Madame Pierre Gautreau[J]. Metropolitan Museum Journal, 2005, 40: 121–129.</w:t>
      </w:r>
    </w:p>
    <w:p w14:paraId="3919C601">
      <w:pPr>
        <w:pStyle w:val="19"/>
      </w:pPr>
      <w:r>
        <w:t>原文 / 来源：</w:t>
      </w:r>
      <w:r>
        <w:fldChar w:fldCharType="begin"/>
      </w:r>
      <w:r>
        <w:instrText xml:space="preserve"> HYPERLINK "https://www.metmuseum.org/met-publications/technical-study-sargents-madame-pierre-gautreau-the-metropolitan-museum-journal-v-40-2005" \h </w:instrText>
      </w:r>
      <w:r>
        <w:fldChar w:fldCharType="separate"/>
      </w:r>
      <w:r>
        <w:rPr>
          <w:color w:val="3755A0"/>
          <w:sz w:val="19"/>
        </w:rPr>
        <w:t>https://www.metmuseum.org/met-publications/technical-study-sargents-madame-pierre-gautreau-the-metropolitan-museum-journal-v-40-2005</w:t>
      </w:r>
      <w:r>
        <w:rPr>
          <w:color w:val="3755A0"/>
          <w:sz w:val="19"/>
        </w:rPr>
        <w:fldChar w:fldCharType="end"/>
      </w:r>
    </w:p>
    <w:p w14:paraId="7A733383">
      <w:pPr>
        <w:snapToGrid w:val="0"/>
        <w:ind w:firstLine="480" w:firstLineChars="200"/>
        <w:jc w:val="left"/>
        <w:rPr>
          <w:rFonts w:eastAsia="华文楷体"/>
          <w:sz w:val="24"/>
        </w:rPr>
      </w:pPr>
    </w:p>
    <w:p w14:paraId="08DC5DC3">
      <w:pPr>
        <w:snapToGrid w:val="0"/>
        <w:ind w:firstLine="480" w:firstLineChars="200"/>
        <w:jc w:val="left"/>
        <w:rPr>
          <w:rFonts w:eastAsia="华文楷体"/>
          <w:sz w:val="24"/>
        </w:rPr>
      </w:pPr>
    </w:p>
    <w:p w14:paraId="63941DD9">
      <w:pPr>
        <w:snapToGrid w:val="0"/>
        <w:ind w:firstLine="480" w:firstLineChars="200"/>
        <w:jc w:val="left"/>
        <w:rPr>
          <w:rFonts w:eastAsia="华文楷体"/>
          <w:sz w:val="24"/>
        </w:rPr>
      </w:pPr>
    </w:p>
    <w:p w14:paraId="1567A3F8">
      <w:pPr>
        <w:snapToGrid w:val="0"/>
        <w:ind w:firstLine="480" w:firstLineChars="200"/>
        <w:jc w:val="left"/>
        <w:rPr>
          <w:rFonts w:eastAsia="华文楷体"/>
          <w:sz w:val="24"/>
        </w:rPr>
      </w:pPr>
    </w:p>
    <w:p w14:paraId="0AFB4784">
      <w:pPr>
        <w:snapToGrid w:val="0"/>
        <w:ind w:firstLine="480" w:firstLineChars="200"/>
        <w:jc w:val="left"/>
        <w:rPr>
          <w:rFonts w:eastAsia="华文楷体"/>
          <w:sz w:val="24"/>
        </w:rPr>
      </w:pPr>
    </w:p>
    <w:p w14:paraId="50AECF46">
      <w:pPr>
        <w:snapToGrid w:val="0"/>
        <w:ind w:firstLine="480" w:firstLineChars="200"/>
        <w:jc w:val="left"/>
        <w:rPr>
          <w:rFonts w:eastAsia="华文楷体"/>
          <w:sz w:val="24"/>
        </w:rPr>
      </w:pPr>
    </w:p>
    <w:p w14:paraId="49767C6F">
      <w:pPr>
        <w:snapToGrid w:val="0"/>
        <w:ind w:firstLine="480" w:firstLineChars="200"/>
        <w:jc w:val="left"/>
        <w:rPr>
          <w:rFonts w:eastAsia="华文楷体"/>
          <w:sz w:val="24"/>
        </w:rPr>
      </w:pPr>
    </w:p>
    <w:p w14:paraId="4AAAC829">
      <w:pPr>
        <w:snapToGrid w:val="0"/>
        <w:jc w:val="left"/>
        <w:rPr>
          <w:rFonts w:eastAsia="华文楷体"/>
          <w:sz w:val="24"/>
        </w:rPr>
      </w:pPr>
    </w:p>
    <w:p w14:paraId="551CC058">
      <w:pPr>
        <w:snapToGrid w:val="0"/>
        <w:jc w:val="left"/>
        <w:rPr>
          <w:rFonts w:eastAsia="华文楷体"/>
          <w:sz w:val="24"/>
        </w:rPr>
      </w:pPr>
    </w:p>
    <w:p w14:paraId="47393346">
      <w:pPr>
        <w:snapToGrid w:val="0"/>
        <w:jc w:val="left"/>
        <w:rPr>
          <w:rFonts w:eastAsia="华文楷体"/>
          <w:sz w:val="24"/>
        </w:rPr>
      </w:pPr>
    </w:p>
    <w:p w14:paraId="2B559151">
      <w:pPr>
        <w:snapToGrid w:val="0"/>
        <w:jc w:val="left"/>
        <w:rPr>
          <w:rFonts w:eastAsia="华文楷体"/>
          <w:sz w:val="24"/>
        </w:rPr>
      </w:pPr>
    </w:p>
    <w:p w14:paraId="04ABA769">
      <w:pPr>
        <w:snapToGrid w:val="0"/>
        <w:jc w:val="left"/>
        <w:rPr>
          <w:rFonts w:eastAsia="华文楷体"/>
          <w:sz w:val="24"/>
        </w:rPr>
      </w:pPr>
    </w:p>
    <w:permEnd w:id="15"/>
    <w:p w14:paraId="5784AE0A">
      <w:pPr>
        <w:numPr>
          <w:ilvl w:val="0"/>
          <w:numId w:val="2"/>
        </w:numPr>
        <w:adjustRightInd/>
        <w:spacing w:before="240" w:after="240" w:line="240" w:lineRule="auto"/>
        <w:textAlignment w:val="auto"/>
        <w:rPr>
          <w:rFonts w:eastAsia="仿宋_GB2312"/>
          <w:sz w:val="24"/>
        </w:rPr>
      </w:pPr>
      <w:r>
        <w:rPr>
          <w:rFonts w:hint="eastAsia" w:eastAsia="仿宋_GB2312"/>
          <w:b/>
          <w:sz w:val="24"/>
        </w:rPr>
        <w:t xml:space="preserve">成果清单 </w:t>
      </w:r>
      <w:r>
        <w:rPr>
          <w:rFonts w:eastAsia="仿宋_GB2312"/>
          <w:b/>
          <w:sz w:val="24"/>
        </w:rPr>
        <w:t>List of Achievements</w:t>
      </w:r>
      <w:r>
        <w:rPr>
          <w:rFonts w:hint="eastAsia" w:eastAsia="仿宋_GB2312"/>
          <w:b/>
          <w:sz w:val="24"/>
        </w:rPr>
        <w:t>。</w:t>
      </w:r>
      <w:r>
        <w:rPr>
          <w:rFonts w:hint="eastAsia" w:eastAsia="仿宋_GB2312"/>
          <w:sz w:val="24"/>
        </w:rPr>
        <w:t xml:space="preserve">请列出开题报告以来或上次年度进展报告以来新发表的学术论文、授权专利、国际会议论文、专著等成果清单。作者、标题、杂志、卷、期、页码等信息请填写完整。Please provide a list of academic publications (papers, patents, </w:t>
      </w:r>
      <w:r>
        <w:rPr>
          <w:rFonts w:eastAsia="仿宋_GB2312"/>
          <w:sz w:val="24"/>
        </w:rPr>
        <w:t xml:space="preserve">international academic </w:t>
      </w:r>
      <w:r>
        <w:rPr>
          <w:rFonts w:hint="eastAsia" w:eastAsia="仿宋_GB2312"/>
          <w:sz w:val="24"/>
        </w:rPr>
        <w:t xml:space="preserve">conference </w:t>
      </w:r>
      <w:r>
        <w:rPr>
          <w:rFonts w:eastAsia="仿宋_GB2312"/>
          <w:sz w:val="24"/>
        </w:rPr>
        <w:t xml:space="preserve">talks/presentations, monographs, etc.) since your thesis proposal. Information on author list, title, journal name, volume, number, and pages shall be complete. </w:t>
      </w:r>
    </w:p>
    <w:p w14:paraId="30CD988F">
      <w:pPr>
        <w:snapToGrid w:val="0"/>
        <w:ind w:firstLine="480" w:firstLineChars="200"/>
        <w:jc w:val="left"/>
        <w:rPr>
          <w:rFonts w:hint="default" w:eastAsia="华文楷体"/>
          <w:sz w:val="24"/>
          <w:lang w:val="en-US" w:eastAsia="zh-CN"/>
        </w:rPr>
      </w:pPr>
      <w:permStart w:id="16" w:edGrp="everyone"/>
      <w:r>
        <w:rPr>
          <w:rFonts w:hint="eastAsia" w:eastAsia="华文楷体"/>
          <w:sz w:val="24"/>
          <w:lang w:val="en-US" w:eastAsia="zh-CN"/>
        </w:rPr>
        <w:t>作品项目云部署体验地址：</w:t>
      </w:r>
      <w:r>
        <w:rPr>
          <w:rFonts w:hint="eastAsia" w:eastAsia="华文楷体"/>
          <w:sz w:val="24"/>
          <w:lang w:val="en-US" w:eastAsia="zh-CN"/>
        </w:rPr>
        <w:fldChar w:fldCharType="begin"/>
      </w:r>
      <w:r>
        <w:rPr>
          <w:rFonts w:hint="eastAsia" w:eastAsia="华文楷体"/>
          <w:sz w:val="24"/>
          <w:lang w:val="en-US" w:eastAsia="zh-CN"/>
        </w:rPr>
        <w:instrText xml:space="preserve"> HYPERLINK "https://startrace-306119-11-1416317231.sh.run.tcloudbase.com/" </w:instrText>
      </w:r>
      <w:r>
        <w:rPr>
          <w:rFonts w:hint="eastAsia" w:eastAsia="华文楷体"/>
          <w:sz w:val="24"/>
          <w:lang w:val="en-US" w:eastAsia="zh-CN"/>
        </w:rPr>
        <w:fldChar w:fldCharType="separate"/>
      </w:r>
      <w:r>
        <w:rPr>
          <w:rStyle w:val="9"/>
          <w:rFonts w:hint="eastAsia" w:eastAsia="华文楷体"/>
          <w:sz w:val="24"/>
          <w:lang w:val="en-US" w:eastAsia="zh-CN"/>
        </w:rPr>
        <w:t>https://startrace-306119-11-1416317231.sh.run.tcloudbase.com/</w:t>
      </w:r>
      <w:r>
        <w:rPr>
          <w:rFonts w:hint="eastAsia" w:eastAsia="华文楷体"/>
          <w:sz w:val="24"/>
          <w:lang w:val="en-US" w:eastAsia="zh-CN"/>
        </w:rPr>
        <w:fldChar w:fldCharType="end"/>
      </w:r>
    </w:p>
    <w:p w14:paraId="6CBD119C">
      <w:pPr>
        <w:snapToGrid w:val="0"/>
        <w:ind w:firstLine="480" w:firstLineChars="200"/>
        <w:jc w:val="left"/>
        <w:rPr>
          <w:rFonts w:eastAsia="华文楷体"/>
          <w:sz w:val="24"/>
        </w:rPr>
      </w:pPr>
    </w:p>
    <w:p w14:paraId="5F8832AB">
      <w:pPr>
        <w:snapToGrid w:val="0"/>
        <w:ind w:firstLine="480" w:firstLineChars="200"/>
        <w:jc w:val="left"/>
        <w:rPr>
          <w:rFonts w:eastAsia="华文楷体"/>
          <w:sz w:val="24"/>
        </w:rPr>
      </w:pPr>
    </w:p>
    <w:p w14:paraId="55061BBF">
      <w:pPr>
        <w:snapToGrid w:val="0"/>
        <w:ind w:firstLine="480" w:firstLineChars="200"/>
        <w:jc w:val="left"/>
        <w:rPr>
          <w:rFonts w:eastAsia="华文楷体"/>
          <w:sz w:val="24"/>
        </w:rPr>
      </w:pPr>
    </w:p>
    <w:p w14:paraId="58B6B86E">
      <w:pPr>
        <w:snapToGrid w:val="0"/>
        <w:ind w:firstLine="480" w:firstLineChars="200"/>
        <w:jc w:val="left"/>
        <w:rPr>
          <w:rFonts w:eastAsia="华文楷体"/>
          <w:sz w:val="24"/>
        </w:rPr>
      </w:pPr>
    </w:p>
    <w:permEnd w:id="16"/>
    <w:p w14:paraId="44F08121">
      <w:pPr>
        <w:snapToGrid w:val="0"/>
        <w:spacing w:before="120"/>
        <w:rPr>
          <w:rFonts w:ascii="仿宋_GB2312" w:eastAsia="仿宋_GB2312"/>
          <w:b/>
          <w:sz w:val="24"/>
        </w:rPr>
      </w:pPr>
    </w:p>
    <w:p w14:paraId="5443CD8D">
      <w:pPr>
        <w:snapToGrid w:val="0"/>
        <w:spacing w:before="120"/>
        <w:ind w:firstLine="482" w:firstLineChars="200"/>
        <w:rPr>
          <w:rFonts w:ascii="仿宋_GB2312" w:eastAsia="仿宋_GB2312"/>
          <w:b/>
          <w:sz w:val="24"/>
        </w:rPr>
      </w:pPr>
      <w:r>
        <w:rPr>
          <w:rFonts w:hint="eastAsia" w:ascii="仿宋_GB2312" w:eastAsia="仿宋_GB2312"/>
          <w:b/>
          <w:sz w:val="24"/>
        </w:rPr>
        <w:t>本人</w:t>
      </w:r>
      <w:r>
        <w:rPr>
          <w:rFonts w:ascii="仿宋_GB2312" w:eastAsia="仿宋_GB2312"/>
          <w:b/>
          <w:sz w:val="24"/>
        </w:rPr>
        <w:t>承诺：</w:t>
      </w:r>
      <w:r>
        <w:rPr>
          <w:rFonts w:hint="eastAsia" w:ascii="仿宋_GB2312" w:eastAsia="仿宋_GB2312"/>
          <w:b/>
          <w:sz w:val="24"/>
        </w:rPr>
        <w:t>报告中</w:t>
      </w:r>
      <w:r>
        <w:rPr>
          <w:rFonts w:ascii="仿宋_GB2312" w:eastAsia="仿宋_GB2312"/>
          <w:b/>
          <w:sz w:val="24"/>
        </w:rPr>
        <w:t>的内容</w:t>
      </w:r>
      <w:r>
        <w:rPr>
          <w:rFonts w:hint="eastAsia" w:ascii="仿宋_GB2312" w:eastAsia="仿宋_GB2312"/>
          <w:b/>
          <w:sz w:val="24"/>
        </w:rPr>
        <w:t>真实无误</w:t>
      </w:r>
      <w:r>
        <w:rPr>
          <w:rFonts w:ascii="仿宋_GB2312" w:eastAsia="仿宋_GB2312"/>
          <w:b/>
          <w:sz w:val="24"/>
        </w:rPr>
        <w:t>，若有不</w:t>
      </w:r>
      <w:r>
        <w:rPr>
          <w:rFonts w:hint="eastAsia" w:ascii="仿宋_GB2312" w:eastAsia="仿宋_GB2312"/>
          <w:b/>
          <w:sz w:val="24"/>
        </w:rPr>
        <w:t>实</w:t>
      </w:r>
      <w:r>
        <w:rPr>
          <w:rFonts w:ascii="仿宋_GB2312" w:eastAsia="仿宋_GB2312"/>
          <w:b/>
          <w:sz w:val="24"/>
        </w:rPr>
        <w:t>，愿承担相应的责任和后果。</w:t>
      </w:r>
      <w:bookmarkStart w:id="2" w:name="OLE_LINK22"/>
      <w:bookmarkStart w:id="3" w:name="OLE_LINK23"/>
      <w:r>
        <w:rPr>
          <w:rFonts w:hint="eastAsia" w:ascii="仿宋_GB2312" w:eastAsia="仿宋_GB2312"/>
          <w:b/>
          <w:sz w:val="24"/>
        </w:rPr>
        <w:t xml:space="preserve"> </w:t>
      </w:r>
      <w:r>
        <w:rPr>
          <w:rFonts w:eastAsia="仿宋_GB2312"/>
          <w:b/>
          <w:sz w:val="24"/>
        </w:rPr>
        <w:t xml:space="preserve">I </w:t>
      </w:r>
      <w:r>
        <w:rPr>
          <w:rFonts w:hint="eastAsia" w:eastAsia="仿宋_GB2312"/>
          <w:b/>
          <w:sz w:val="24"/>
        </w:rPr>
        <w:t xml:space="preserve">hereby </w:t>
      </w:r>
      <w:r>
        <w:rPr>
          <w:rFonts w:eastAsia="仿宋_GB2312"/>
          <w:b/>
          <w:sz w:val="24"/>
        </w:rPr>
        <w:t>declare and confirm that the details provided in this Form are valid and accurate.</w:t>
      </w:r>
      <w:bookmarkEnd w:id="2"/>
      <w:bookmarkEnd w:id="3"/>
      <w:r>
        <w:rPr>
          <w:rFonts w:eastAsia="仿宋_GB2312"/>
          <w:b/>
          <w:sz w:val="24"/>
        </w:rPr>
        <w:t xml:space="preserve"> </w:t>
      </w:r>
      <w:bookmarkStart w:id="4" w:name="OLE_LINK19"/>
      <w:bookmarkStart w:id="5" w:name="OLE_LINK18"/>
      <w:bookmarkStart w:id="6" w:name="OLE_LINK21"/>
      <w:bookmarkStart w:id="7" w:name="OLE_LINK20"/>
      <w:r>
        <w:rPr>
          <w:rFonts w:eastAsia="仿宋_GB2312"/>
          <w:b/>
          <w:sz w:val="24"/>
        </w:rPr>
        <w:t xml:space="preserve">If anything untruthful found, I will </w:t>
      </w:r>
      <w:r>
        <w:rPr>
          <w:rFonts w:hint="eastAsia" w:eastAsia="仿宋_GB2312"/>
          <w:b/>
          <w:sz w:val="24"/>
        </w:rPr>
        <w:t>bear</w:t>
      </w:r>
      <w:r>
        <w:rPr>
          <w:rFonts w:eastAsia="仿宋_GB2312"/>
          <w:b/>
          <w:sz w:val="24"/>
        </w:rPr>
        <w:t xml:space="preserve"> </w:t>
      </w:r>
      <w:r>
        <w:rPr>
          <w:rFonts w:hint="eastAsia" w:eastAsia="仿宋_GB2312"/>
          <w:b/>
          <w:sz w:val="24"/>
        </w:rPr>
        <w:t xml:space="preserve">the </w:t>
      </w:r>
      <w:r>
        <w:rPr>
          <w:rFonts w:eastAsia="仿宋_GB2312"/>
          <w:b/>
          <w:sz w:val="24"/>
        </w:rPr>
        <w:t xml:space="preserve">corresponding </w:t>
      </w:r>
      <w:r>
        <w:rPr>
          <w:rFonts w:hint="eastAsia" w:eastAsia="仿宋_GB2312"/>
          <w:b/>
          <w:sz w:val="24"/>
        </w:rPr>
        <w:t>liabilities</w:t>
      </w:r>
      <w:r>
        <w:rPr>
          <w:rFonts w:eastAsia="仿宋_GB2312"/>
          <w:b/>
          <w:sz w:val="24"/>
        </w:rPr>
        <w:t xml:space="preserve"> and consequences</w:t>
      </w:r>
      <w:bookmarkEnd w:id="4"/>
      <w:bookmarkEnd w:id="5"/>
      <w:r>
        <w:rPr>
          <w:rFonts w:eastAsia="仿宋_GB2312"/>
          <w:b/>
          <w:sz w:val="24"/>
        </w:rPr>
        <w:t>.</w:t>
      </w:r>
      <w:bookmarkEnd w:id="6"/>
      <w:bookmarkEnd w:id="7"/>
    </w:p>
    <w:p w14:paraId="30147006">
      <w:pPr>
        <w:snapToGrid w:val="0"/>
        <w:spacing w:before="120"/>
        <w:rPr>
          <w:rFonts w:ascii="仿宋_GB2312" w:eastAsia="仿宋_GB2312"/>
          <w:b/>
          <w:sz w:val="24"/>
        </w:rPr>
      </w:pPr>
    </w:p>
    <w:p w14:paraId="54E96E9B">
      <w:pPr>
        <w:snapToGrid w:val="0"/>
        <w:spacing w:before="120"/>
        <w:rPr>
          <w:rFonts w:eastAsia="仿宋_GB2312"/>
          <w:b/>
          <w:sz w:val="24"/>
        </w:rPr>
      </w:pPr>
      <w:r>
        <w:rPr>
          <w:rFonts w:eastAsia="仿宋_GB2312"/>
          <w:b/>
          <w:sz w:val="24"/>
        </w:rPr>
        <w:t xml:space="preserve">学生签字/Signature of Student： </w:t>
      </w:r>
      <w:permStart w:id="17" w:edGrp="everyone"/>
      <w:r>
        <w:rPr>
          <w:rFonts w:eastAsia="仿宋_GB2312"/>
          <w:b/>
          <w:sz w:val="24"/>
        </w:rPr>
        <w:t xml:space="preserve">             </w:t>
      </w:r>
      <w:permEnd w:id="17"/>
      <w:r>
        <w:rPr>
          <w:rFonts w:eastAsia="仿宋_GB2312"/>
          <w:b/>
          <w:sz w:val="24"/>
        </w:rPr>
        <w:t xml:space="preserve">             </w:t>
      </w:r>
    </w:p>
    <w:p w14:paraId="37AB8065">
      <w:pPr>
        <w:snapToGrid w:val="0"/>
        <w:spacing w:before="120"/>
        <w:rPr>
          <w:rFonts w:eastAsia="仿宋_GB2312"/>
          <w:b/>
          <w:sz w:val="24"/>
        </w:rPr>
      </w:pPr>
      <w:r>
        <w:rPr>
          <w:rFonts w:eastAsia="仿宋_GB2312"/>
          <w:b/>
          <w:sz w:val="24"/>
        </w:rPr>
        <w:t>导师签字</w:t>
      </w:r>
      <w:r>
        <w:rPr>
          <w:rFonts w:ascii="Times New Roman" w:hAnsi="Times New Roman" w:cs="Times New Roman"/>
          <w:b/>
          <w:sz w:val="24"/>
        </w:rPr>
        <w:t xml:space="preserve">/Signature of Supervisor:  </w:t>
      </w:r>
      <w:permStart w:id="18" w:edGrp="everyone"/>
      <w:r>
        <w:rPr>
          <w:rFonts w:ascii="Times New Roman" w:hAnsi="Times New Roman" w:cs="Times New Roman"/>
          <w:b/>
          <w:sz w:val="24"/>
        </w:rPr>
        <w:t xml:space="preserve">             </w:t>
      </w:r>
      <w:permEnd w:id="18"/>
      <w:r>
        <w:rPr>
          <w:rFonts w:ascii="Times New Roman" w:hAnsi="Times New Roman" w:cs="Times New Roman"/>
          <w:b/>
          <w:sz w:val="24"/>
        </w:rPr>
        <w:t xml:space="preserve">  </w:t>
      </w:r>
    </w:p>
    <w:p w14:paraId="3880217E">
      <w:pPr>
        <w:snapToGrid w:val="0"/>
        <w:spacing w:before="120"/>
        <w:rPr>
          <w:rFonts w:hint="eastAsia" w:ascii="宋体" w:hAnsi="宋体" w:eastAsia="仿宋_GB2312"/>
          <w:b/>
          <w:bCs/>
          <w:sz w:val="24"/>
          <w:lang w:val="en-US" w:eastAsia="zh-CN"/>
        </w:rPr>
      </w:pPr>
      <w:r>
        <w:rPr>
          <w:rFonts w:eastAsia="仿宋_GB2312"/>
          <w:b/>
          <w:sz w:val="24"/>
        </w:rPr>
        <w:t>日期/Date：</w:t>
      </w:r>
      <w:permStart w:id="19" w:edGrp="everyone"/>
      <w:r>
        <w:rPr>
          <w:rFonts w:eastAsia="仿宋_GB2312"/>
          <w:szCs w:val="21"/>
        </w:rPr>
        <w:t xml:space="preserve"> </w:t>
      </w:r>
      <w:r>
        <w:rPr>
          <w:rFonts w:eastAsia="仿宋_GB2312"/>
          <w:szCs w:val="21"/>
        </w:rPr>
        <w:fldChar w:fldCharType="begin"/>
      </w:r>
      <w:r>
        <w:rPr>
          <w:rFonts w:eastAsia="仿宋_GB2312"/>
          <w:szCs w:val="21"/>
        </w:rPr>
        <w:instrText xml:space="preserve"> DATE \@ "yyyy-MM-dd" </w:instrText>
      </w:r>
      <w:r>
        <w:rPr>
          <w:rFonts w:eastAsia="仿宋_GB2312"/>
          <w:szCs w:val="21"/>
        </w:rPr>
        <w:fldChar w:fldCharType="separate"/>
      </w:r>
      <w:r>
        <w:rPr>
          <w:rFonts w:eastAsia="仿宋_GB2312"/>
          <w:szCs w:val="21"/>
        </w:rPr>
        <w:t>2026-09-18</w:t>
      </w:r>
      <w:r>
        <w:rPr>
          <w:rFonts w:eastAsia="仿宋_GB2312"/>
          <w:szCs w:val="21"/>
        </w:rPr>
        <w:fldChar w:fldCharType="end"/>
      </w:r>
      <w:permEnd w:id="19"/>
    </w:p>
    <w:sectPr>
      <w:headerReference r:id="rId11" w:type="first"/>
      <w:footerReference r:id="rId12" w:type="first"/>
      <w:pgSz w:w="11907" w:h="16840"/>
      <w:pgMar w:top="1191" w:right="1134" w:bottom="851" w:left="1134" w:header="851" w:footer="567" w:gutter="0"/>
      <w:pgNumType w:start="1"/>
      <w:cols w:space="425" w:num="1"/>
      <w:docGrid w:linePitch="28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0000000000000000000"/>
    <w:charset w:val="86"/>
    <w:family w:val="modern"/>
    <w:pitch w:val="default"/>
    <w:sig w:usb0="00000000" w:usb1="00000000" w:usb2="00000010" w:usb3="00000000" w:csb0="00040000" w:csb1="00000000"/>
  </w:font>
  <w:font w:name="楷体">
    <w:altName w:val="汉仪楷体KW"/>
    <w:panose1 w:val="02010609060101010101"/>
    <w:charset w:val="86"/>
    <w:family w:val="auto"/>
    <w:pitch w:val="default"/>
    <w:sig w:usb0="00000000" w:usb1="00000000" w:usb2="00000016"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华文仿宋">
    <w:panose1 w:val="02010600040101010101"/>
    <w:charset w:val="86"/>
    <w:family w:val="auto"/>
    <w:pitch w:val="default"/>
    <w:sig w:usb0="00000287" w:usb1="080F0000" w:usb2="00000000" w:usb3="00000000" w:csb0="0004009F" w:csb1="DFD70000"/>
  </w:font>
  <w:font w:name="MS Gothic">
    <w:altName w:val="Hiragino Sans"/>
    <w:panose1 w:val="020B0609070205080204"/>
    <w:charset w:val="80"/>
    <w:family w:val="modern"/>
    <w:pitch w:val="default"/>
    <w:sig w:usb0="00000000" w:usb1="00000000" w:usb2="08000012" w:usb3="00000000" w:csb0="4002009F" w:csb1="DFD7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Arial Unicode MS">
    <w:panose1 w:val="020B0604020202020204"/>
    <w:charset w:val="86"/>
    <w:family w:val="auto"/>
    <w:pitch w:val="default"/>
    <w:sig w:usb0="FFFFFFFF" w:usb1="E9FFFFFF" w:usb2="0000003F" w:usb3="00000000" w:csb0="603F01FF" w:csb1="FFFF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F93AC">
    <w:pPr>
      <w:pStyle w:val="3"/>
      <w:jc w:val="center"/>
      <w:rPr>
        <w:b/>
        <w:sz w:val="20"/>
      </w:rPr>
    </w:pPr>
    <w:r>
      <w:rPr>
        <w:b/>
        <w:sz w:val="20"/>
      </w:rPr>
      <w:fldChar w:fldCharType="begin"/>
    </w:r>
    <w:r>
      <w:rPr>
        <w:b/>
        <w:sz w:val="20"/>
      </w:rPr>
      <w:instrText xml:space="preserve">PAGE   \* MERGEFORMAT</w:instrText>
    </w:r>
    <w:r>
      <w:rPr>
        <w:b/>
        <w:sz w:val="20"/>
      </w:rPr>
      <w:fldChar w:fldCharType="separate"/>
    </w:r>
    <w:r>
      <w:rPr>
        <w:b/>
        <w:sz w:val="20"/>
        <w:lang w:val="zh-CN"/>
      </w:rPr>
      <w:t>5</w:t>
    </w:r>
    <w:r>
      <w:rPr>
        <w:b/>
        <w:sz w:val="20"/>
      </w:rPr>
      <w:fldChar w:fldCharType="end"/>
    </w:r>
  </w:p>
  <w:p w14:paraId="7AB50F5D">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2481F">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separate"/>
    </w:r>
    <w:r>
      <w:rPr>
        <w:rStyle w:val="8"/>
      </w:rPr>
      <w:t>1</w:t>
    </w:r>
    <w:r>
      <w:rPr>
        <w:rStyle w:val="8"/>
      </w:rPr>
      <w:fldChar w:fldCharType="end"/>
    </w:r>
  </w:p>
  <w:p w14:paraId="42F59FE6">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7F08A">
    <w:pPr>
      <w:pStyle w:val="3"/>
      <w:jc w:val="center"/>
    </w:pPr>
    <w:r>
      <w:rPr>
        <w:b/>
        <w:bCs/>
      </w:rPr>
      <w:fldChar w:fldCharType="begin"/>
    </w:r>
    <w:r>
      <w:rPr>
        <w:b/>
        <w:bCs/>
      </w:rPr>
      <w:instrText xml:space="preserve">PAGE  \* Arabic  \* MERGEFORMAT</w:instrText>
    </w:r>
    <w:r>
      <w:rPr>
        <w:b/>
        <w:bCs/>
      </w:rPr>
      <w:fldChar w:fldCharType="separate"/>
    </w:r>
    <w:r>
      <w:rPr>
        <w:b/>
        <w:bCs/>
        <w:lang w:val="zh-CN"/>
      </w:rPr>
      <w:t>2</w:t>
    </w:r>
    <w:r>
      <w:rPr>
        <w:b/>
        <w:bCs/>
      </w:rPr>
      <w:fldChar w:fldCharType="end"/>
    </w:r>
    <w:r>
      <w:rPr>
        <w:lang w:val="zh-CN"/>
      </w:rPr>
      <w:t xml:space="preserve"> / </w:t>
    </w:r>
    <w:r>
      <w:rPr>
        <w:b/>
        <w:bCs/>
      </w:rPr>
      <w:fldChar w:fldCharType="begin"/>
    </w:r>
    <w:r>
      <w:rPr>
        <w:b/>
        <w:bCs/>
      </w:rPr>
      <w:instrText xml:space="preserve"> SECTIONPAGES   \* MERGEFORMAT </w:instrText>
    </w:r>
    <w:r>
      <w:rPr>
        <w:b/>
        <w:bCs/>
      </w:rPr>
      <w:fldChar w:fldCharType="separate"/>
    </w:r>
    <w:r>
      <w:rPr>
        <w:b/>
        <w:bCs/>
      </w:rPr>
      <w:t>2</w:t>
    </w:r>
    <w:r>
      <w:rPr>
        <w:b/>
        <w:bCs/>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FBAD5">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0A74C93D">
    <w:pPr>
      <w:pStyle w:val="3"/>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73896">
    <w:pPr>
      <w:pStyle w:val="3"/>
      <w:jc w:val="center"/>
    </w:pPr>
    <w:r>
      <w:rPr>
        <w:lang w:val="zh-CN"/>
      </w:rPr>
      <w:t xml:space="preserve"> </w:t>
    </w:r>
    <w:r>
      <w:rPr>
        <w:b/>
        <w:bCs/>
      </w:rPr>
      <w:fldChar w:fldCharType="begin"/>
    </w:r>
    <w:r>
      <w:rPr>
        <w:b/>
        <w:bCs/>
      </w:rPr>
      <w:instrText xml:space="preserve">PAGE  \* Arabic  \* MERGEFORMAT</w:instrText>
    </w:r>
    <w:r>
      <w:rPr>
        <w:b/>
        <w:bCs/>
      </w:rPr>
      <w:fldChar w:fldCharType="separate"/>
    </w:r>
    <w:r>
      <w:rPr>
        <w:b/>
        <w:bCs/>
        <w:lang w:val="zh-CN"/>
      </w:rPr>
      <w:t>0</w:t>
    </w:r>
    <w:r>
      <w:rPr>
        <w:b/>
        <w:bCs/>
      </w:rPr>
      <w:fldChar w:fldCharType="end"/>
    </w:r>
    <w:r>
      <w:rPr>
        <w:lang w:val="zh-CN"/>
      </w:rPr>
      <w:t xml:space="preserve"> / </w:t>
    </w:r>
    <w:r>
      <w:rPr>
        <w:b/>
        <w:bCs/>
      </w:rPr>
      <w:fldChar w:fldCharType="begin"/>
    </w:r>
    <w:r>
      <w:rPr>
        <w:b/>
        <w:bCs/>
      </w:rPr>
      <w:instrText xml:space="preserve"> SECTIONPAGES   \* MERGEFORMAT </w:instrText>
    </w:r>
    <w:r>
      <w:rPr>
        <w:b/>
        <w:bCs/>
      </w:rPr>
      <w:fldChar w:fldCharType="separate"/>
    </w:r>
    <w:r>
      <w:rPr>
        <w:b/>
        <w:bCs/>
      </w:rPr>
      <w:t>1</w:t>
    </w:r>
    <w:r>
      <w:rPr>
        <w:b/>
        <w:bC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AB547">
    <w:pPr>
      <w:pStyle w:val="3"/>
      <w:jc w:val="center"/>
    </w:pPr>
    <w:r>
      <w:rPr>
        <w:b/>
        <w:bCs/>
      </w:rPr>
      <w:fldChar w:fldCharType="begin"/>
    </w:r>
    <w:r>
      <w:rPr>
        <w:b/>
        <w:bCs/>
      </w:rPr>
      <w:instrText xml:space="preserve">PAGE  \* Arabic  \* MERGEFORMAT</w:instrText>
    </w:r>
    <w:r>
      <w:rPr>
        <w:b/>
        <w:bCs/>
      </w:rPr>
      <w:fldChar w:fldCharType="separate"/>
    </w:r>
    <w:r>
      <w:rPr>
        <w:b/>
        <w:bCs/>
        <w:lang w:val="zh-CN"/>
      </w:rPr>
      <w:t>1</w:t>
    </w:r>
    <w:r>
      <w:rPr>
        <w:b/>
        <w:bCs/>
      </w:rPr>
      <w:fldChar w:fldCharType="end"/>
    </w:r>
    <w:r>
      <w:rPr>
        <w:lang w:val="zh-CN"/>
      </w:rPr>
      <w:t xml:space="preserve"> / </w:t>
    </w:r>
    <w:r>
      <w:rPr>
        <w:b/>
        <w:bCs/>
      </w:rPr>
      <w:fldChar w:fldCharType="begin"/>
    </w:r>
    <w:r>
      <w:rPr>
        <w:b/>
        <w:bCs/>
      </w:rPr>
      <w:instrText xml:space="preserve"> SECTIONPAGES   \* MERGEFORMAT </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4CA50">
    <w:pPr>
      <w:pStyle w:val="4"/>
    </w:pPr>
    <w:r>
      <w:t>上海交通大学</w:t>
    </w:r>
    <w:r>
      <w:rPr>
        <w:rFonts w:hint="eastAsia"/>
      </w:rPr>
      <w:t>硕士论文中期检查</w:t>
    </w:r>
    <w:r>
      <w:t>报告</w:t>
    </w:r>
    <w:r>
      <w:rPr>
        <w:rFonts w:hint="eastAsia"/>
      </w:rPr>
      <w:t xml:space="preserve"> </w:t>
    </w:r>
    <w:r>
      <w:t>Mid-term Examination</w:t>
    </w:r>
    <w:r>
      <w:rPr>
        <w:rFonts w:hint="eastAsia"/>
      </w:rPr>
      <w:t xml:space="preserve"> for SJTU </w:t>
    </w:r>
    <w:r>
      <w:t>Master</w:t>
    </w:r>
    <w:r>
      <w:rPr>
        <w:rFonts w:hint="eastAsia"/>
      </w:rPr>
      <w:t xml:space="preserve"> Student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83AED">
    <w:pPr>
      <w:pStyle w:val="4"/>
    </w:pPr>
    <w:r>
      <w:t>上海交通大学</w:t>
    </w:r>
    <w:r>
      <w:rPr>
        <w:rFonts w:hint="eastAsia"/>
      </w:rPr>
      <w:t>硕士学位论文中期检查</w:t>
    </w:r>
    <w:r>
      <w:t>报告</w:t>
    </w:r>
    <w:r>
      <w:rPr>
        <w:rFonts w:hint="eastAsia"/>
      </w:rPr>
      <w:t xml:space="preserve"> </w:t>
    </w:r>
    <w:r>
      <w:t>Mid-term Examination</w:t>
    </w:r>
    <w:r>
      <w:rPr>
        <w:rFonts w:hint="eastAsia"/>
      </w:rPr>
      <w:t xml:space="preserve"> for SJTU </w:t>
    </w:r>
    <w:r>
      <w:t>Master</w:t>
    </w:r>
    <w:r>
      <w:rPr>
        <w:rFonts w:hint="eastAsia"/>
      </w:rPr>
      <w:t xml:space="preserve"> Student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E81871"/>
    <w:multiLevelType w:val="multilevel"/>
    <w:tmpl w:val="5FE81871"/>
    <w:lvl w:ilvl="0" w:tentative="0">
      <w:start w:val="1"/>
      <w:numFmt w:val="decimal"/>
      <w:lvlText w:val="%1、"/>
      <w:lvlJc w:val="left"/>
      <w:pPr>
        <w:ind w:left="390" w:hanging="39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73D45FAC"/>
    <w:multiLevelType w:val="multilevel"/>
    <w:tmpl w:val="73D45FA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1"/>
  <w:displayVerticalDrawingGridEvery w:val="1"/>
  <w:noPunctuationKerning w:val="1"/>
  <w:characterSpacingControl w:val="compressPunctuation"/>
  <w:noLineBreaksAfter w:lang="zh-CN" w:val="([{·‘“〈《「『【〔〖（．［｛"/>
  <w:noLineBreaksBefore w:lang="zh-CN" w:val="!),.:;?]}¨·ˇˉ—‖’”…∶、。〃々〉》」』】〕〗！＂＇），．：；？］｀｜｝～"/>
  <w:footnotePr>
    <w:footnote w:id="0"/>
    <w:footnote w:id="1"/>
  </w:footnotePr>
  <w:endnotePr>
    <w:endnote w:id="0"/>
    <w:endnote w:id="1"/>
  </w:endnotePr>
  <w:compat>
    <w:spaceForUL/>
    <w:balanceSingleByteDoubleByteWidth/>
    <w:doNotLeaveBackslashAlone/>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gyYzY1NmI5ZGFjNGE0YzE4MGU2Mzk2ZThlMTBmYTcifQ=="/>
  </w:docVars>
  <w:rsids>
    <w:rsidRoot w:val="00663B0B"/>
    <w:rsid w:val="0001192C"/>
    <w:rsid w:val="000203B5"/>
    <w:rsid w:val="0003575C"/>
    <w:rsid w:val="00043CC1"/>
    <w:rsid w:val="000571EB"/>
    <w:rsid w:val="000603DD"/>
    <w:rsid w:val="000679DF"/>
    <w:rsid w:val="000D3A70"/>
    <w:rsid w:val="000D41BF"/>
    <w:rsid w:val="000E3352"/>
    <w:rsid w:val="000E4A9F"/>
    <w:rsid w:val="001019D2"/>
    <w:rsid w:val="00106EC4"/>
    <w:rsid w:val="001365FC"/>
    <w:rsid w:val="0014636C"/>
    <w:rsid w:val="00152909"/>
    <w:rsid w:val="001570E3"/>
    <w:rsid w:val="00162C78"/>
    <w:rsid w:val="0017516E"/>
    <w:rsid w:val="0018161A"/>
    <w:rsid w:val="00182890"/>
    <w:rsid w:val="00194580"/>
    <w:rsid w:val="00197168"/>
    <w:rsid w:val="001B3344"/>
    <w:rsid w:val="001B4366"/>
    <w:rsid w:val="001D60D9"/>
    <w:rsid w:val="001E05FB"/>
    <w:rsid w:val="001F4254"/>
    <w:rsid w:val="0020069B"/>
    <w:rsid w:val="002052E2"/>
    <w:rsid w:val="00217625"/>
    <w:rsid w:val="00235244"/>
    <w:rsid w:val="00242693"/>
    <w:rsid w:val="00242E40"/>
    <w:rsid w:val="002608F0"/>
    <w:rsid w:val="002739B1"/>
    <w:rsid w:val="002831DA"/>
    <w:rsid w:val="00293D38"/>
    <w:rsid w:val="002951BD"/>
    <w:rsid w:val="00297020"/>
    <w:rsid w:val="002A22AF"/>
    <w:rsid w:val="002A5390"/>
    <w:rsid w:val="002A59F0"/>
    <w:rsid w:val="002B27E3"/>
    <w:rsid w:val="002B6121"/>
    <w:rsid w:val="002B6A13"/>
    <w:rsid w:val="002C4158"/>
    <w:rsid w:val="002C4F7E"/>
    <w:rsid w:val="002D5A0F"/>
    <w:rsid w:val="002E7705"/>
    <w:rsid w:val="002F1C03"/>
    <w:rsid w:val="00317C22"/>
    <w:rsid w:val="003363DC"/>
    <w:rsid w:val="00347AA1"/>
    <w:rsid w:val="00350711"/>
    <w:rsid w:val="0035363F"/>
    <w:rsid w:val="003652DD"/>
    <w:rsid w:val="00371906"/>
    <w:rsid w:val="00376FED"/>
    <w:rsid w:val="003B3C3A"/>
    <w:rsid w:val="003C71AB"/>
    <w:rsid w:val="003F7428"/>
    <w:rsid w:val="00400B0F"/>
    <w:rsid w:val="00404BC7"/>
    <w:rsid w:val="00414094"/>
    <w:rsid w:val="0043349A"/>
    <w:rsid w:val="004406C2"/>
    <w:rsid w:val="00441B50"/>
    <w:rsid w:val="00450C7C"/>
    <w:rsid w:val="00455043"/>
    <w:rsid w:val="00481028"/>
    <w:rsid w:val="00482B9A"/>
    <w:rsid w:val="0049515A"/>
    <w:rsid w:val="00496018"/>
    <w:rsid w:val="004A490D"/>
    <w:rsid w:val="004D3A28"/>
    <w:rsid w:val="004D7A87"/>
    <w:rsid w:val="004E0110"/>
    <w:rsid w:val="004E163F"/>
    <w:rsid w:val="004F0280"/>
    <w:rsid w:val="004F3BAB"/>
    <w:rsid w:val="004F7A2D"/>
    <w:rsid w:val="00503DC4"/>
    <w:rsid w:val="0051248F"/>
    <w:rsid w:val="00521512"/>
    <w:rsid w:val="005243E7"/>
    <w:rsid w:val="00542506"/>
    <w:rsid w:val="00550F98"/>
    <w:rsid w:val="0055308F"/>
    <w:rsid w:val="00572A33"/>
    <w:rsid w:val="00572AD9"/>
    <w:rsid w:val="00584765"/>
    <w:rsid w:val="00586F30"/>
    <w:rsid w:val="00587893"/>
    <w:rsid w:val="0059471B"/>
    <w:rsid w:val="00604FD7"/>
    <w:rsid w:val="006255D4"/>
    <w:rsid w:val="00632D10"/>
    <w:rsid w:val="006615F2"/>
    <w:rsid w:val="00663B0B"/>
    <w:rsid w:val="00676B9D"/>
    <w:rsid w:val="006901EB"/>
    <w:rsid w:val="006920C0"/>
    <w:rsid w:val="006B1A3F"/>
    <w:rsid w:val="006E3043"/>
    <w:rsid w:val="00706321"/>
    <w:rsid w:val="00711435"/>
    <w:rsid w:val="0071324F"/>
    <w:rsid w:val="007149B0"/>
    <w:rsid w:val="007241FD"/>
    <w:rsid w:val="00745076"/>
    <w:rsid w:val="0075311F"/>
    <w:rsid w:val="00756A92"/>
    <w:rsid w:val="00760557"/>
    <w:rsid w:val="00773B33"/>
    <w:rsid w:val="00783181"/>
    <w:rsid w:val="007A4B33"/>
    <w:rsid w:val="007A6D1A"/>
    <w:rsid w:val="007B42D8"/>
    <w:rsid w:val="007D435D"/>
    <w:rsid w:val="007F70CF"/>
    <w:rsid w:val="008478B2"/>
    <w:rsid w:val="00853C37"/>
    <w:rsid w:val="00876B8B"/>
    <w:rsid w:val="008817FE"/>
    <w:rsid w:val="00893404"/>
    <w:rsid w:val="008B12D0"/>
    <w:rsid w:val="008D172E"/>
    <w:rsid w:val="008F06BA"/>
    <w:rsid w:val="008F0E96"/>
    <w:rsid w:val="009218FC"/>
    <w:rsid w:val="009308CC"/>
    <w:rsid w:val="00961E91"/>
    <w:rsid w:val="00962726"/>
    <w:rsid w:val="0096771B"/>
    <w:rsid w:val="00994E28"/>
    <w:rsid w:val="009956C5"/>
    <w:rsid w:val="009A0FBF"/>
    <w:rsid w:val="009B1599"/>
    <w:rsid w:val="009B410F"/>
    <w:rsid w:val="009B7B1A"/>
    <w:rsid w:val="009D12E1"/>
    <w:rsid w:val="009D24E5"/>
    <w:rsid w:val="009D7810"/>
    <w:rsid w:val="009E4A05"/>
    <w:rsid w:val="009F53F9"/>
    <w:rsid w:val="009F6074"/>
    <w:rsid w:val="009F67DF"/>
    <w:rsid w:val="00A00798"/>
    <w:rsid w:val="00A03AAE"/>
    <w:rsid w:val="00A120E7"/>
    <w:rsid w:val="00A16626"/>
    <w:rsid w:val="00A16D66"/>
    <w:rsid w:val="00A266FB"/>
    <w:rsid w:val="00A3789F"/>
    <w:rsid w:val="00A645C7"/>
    <w:rsid w:val="00A65534"/>
    <w:rsid w:val="00A70232"/>
    <w:rsid w:val="00A74F8F"/>
    <w:rsid w:val="00A85ABA"/>
    <w:rsid w:val="00A93334"/>
    <w:rsid w:val="00A942E4"/>
    <w:rsid w:val="00A9699C"/>
    <w:rsid w:val="00AA7EF5"/>
    <w:rsid w:val="00AD05BD"/>
    <w:rsid w:val="00AD0698"/>
    <w:rsid w:val="00AD1850"/>
    <w:rsid w:val="00AD35A7"/>
    <w:rsid w:val="00AF2D58"/>
    <w:rsid w:val="00AF6E8F"/>
    <w:rsid w:val="00B04C76"/>
    <w:rsid w:val="00B22A90"/>
    <w:rsid w:val="00B31AC9"/>
    <w:rsid w:val="00B463C9"/>
    <w:rsid w:val="00B47A30"/>
    <w:rsid w:val="00B51238"/>
    <w:rsid w:val="00B54FEB"/>
    <w:rsid w:val="00BC4251"/>
    <w:rsid w:val="00BE00A4"/>
    <w:rsid w:val="00BE3107"/>
    <w:rsid w:val="00BE53A7"/>
    <w:rsid w:val="00BF1D27"/>
    <w:rsid w:val="00C06D37"/>
    <w:rsid w:val="00C10183"/>
    <w:rsid w:val="00C10C2A"/>
    <w:rsid w:val="00C45532"/>
    <w:rsid w:val="00C6550F"/>
    <w:rsid w:val="00C76E99"/>
    <w:rsid w:val="00C83F53"/>
    <w:rsid w:val="00CA3155"/>
    <w:rsid w:val="00CA7B6D"/>
    <w:rsid w:val="00CB4392"/>
    <w:rsid w:val="00CC0325"/>
    <w:rsid w:val="00CC1831"/>
    <w:rsid w:val="00CC7313"/>
    <w:rsid w:val="00CF2155"/>
    <w:rsid w:val="00CF68DB"/>
    <w:rsid w:val="00D04796"/>
    <w:rsid w:val="00D06F63"/>
    <w:rsid w:val="00D2570D"/>
    <w:rsid w:val="00D26C16"/>
    <w:rsid w:val="00D348B7"/>
    <w:rsid w:val="00D437B4"/>
    <w:rsid w:val="00D8329F"/>
    <w:rsid w:val="00DC00BE"/>
    <w:rsid w:val="00DD3BE5"/>
    <w:rsid w:val="00DE4503"/>
    <w:rsid w:val="00DF2D76"/>
    <w:rsid w:val="00E82765"/>
    <w:rsid w:val="00EB6D8F"/>
    <w:rsid w:val="00EB7B98"/>
    <w:rsid w:val="00EB7CDF"/>
    <w:rsid w:val="00EC6DCC"/>
    <w:rsid w:val="00F16A46"/>
    <w:rsid w:val="00F50D52"/>
    <w:rsid w:val="00F61E82"/>
    <w:rsid w:val="00F65008"/>
    <w:rsid w:val="00F75C47"/>
    <w:rsid w:val="00F8542C"/>
    <w:rsid w:val="00FA3005"/>
    <w:rsid w:val="00FB007D"/>
    <w:rsid w:val="00FB3554"/>
    <w:rsid w:val="00FB6397"/>
    <w:rsid w:val="00FB7721"/>
    <w:rsid w:val="138E4DA7"/>
    <w:rsid w:val="21725332"/>
    <w:rsid w:val="2C6216DD"/>
    <w:rsid w:val="2CA3146B"/>
    <w:rsid w:val="2F946722"/>
    <w:rsid w:val="31204797"/>
    <w:rsid w:val="34086670"/>
    <w:rsid w:val="360A0E5E"/>
    <w:rsid w:val="37B37A77"/>
    <w:rsid w:val="38CB11E8"/>
    <w:rsid w:val="39577622"/>
    <w:rsid w:val="3EB5E60F"/>
    <w:rsid w:val="4A3A17DC"/>
    <w:rsid w:val="4C1703B2"/>
    <w:rsid w:val="5A6C4CE3"/>
    <w:rsid w:val="5B1660B9"/>
    <w:rsid w:val="5D5E0913"/>
    <w:rsid w:val="66FB2B28"/>
    <w:rsid w:val="704C78A9"/>
    <w:rsid w:val="77141D8A"/>
    <w:rsid w:val="BF5F0058"/>
    <w:rsid w:val="CE7D3A58"/>
    <w:rsid w:val="F7DF7AF2"/>
    <w:rsid w:val="F7FF5F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312" w:lineRule="atLeast"/>
      <w:jc w:val="both"/>
      <w:textAlignment w:val="baseline"/>
    </w:pPr>
    <w:rPr>
      <w:rFonts w:ascii="Times New Roman" w:hAnsi="Times New Roman" w:eastAsia="宋体" w:cs="Times New Roman"/>
      <w:sz w:val="21"/>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footer"/>
    <w:basedOn w:val="1"/>
    <w:link w:val="11"/>
    <w:qFormat/>
    <w:uiPriority w:val="0"/>
    <w:pPr>
      <w:tabs>
        <w:tab w:val="center" w:pos="4153"/>
        <w:tab w:val="right" w:pos="8306"/>
      </w:tabs>
      <w:snapToGrid w:val="0"/>
      <w:spacing w:line="240" w:lineRule="atLeast"/>
      <w:jc w:val="left"/>
    </w:pPr>
    <w:rPr>
      <w:sz w:val="18"/>
    </w:rPr>
  </w:style>
  <w:style w:type="paragraph" w:styleId="4">
    <w:name w:val="header"/>
    <w:basedOn w:val="1"/>
    <w:link w:val="12"/>
    <w:qFormat/>
    <w:uiPriority w:val="0"/>
    <w:pPr>
      <w:pBdr>
        <w:bottom w:val="single" w:color="auto" w:sz="6" w:space="1"/>
      </w:pBdr>
      <w:tabs>
        <w:tab w:val="center" w:pos="4153"/>
        <w:tab w:val="right" w:pos="8306"/>
      </w:tabs>
      <w:snapToGrid w:val="0"/>
      <w:spacing w:line="240" w:lineRule="atLeast"/>
      <w:jc w:val="center"/>
    </w:pPr>
    <w:rPr>
      <w:sz w:val="18"/>
      <w:szCs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qFormat/>
    <w:uiPriority w:val="0"/>
  </w:style>
  <w:style w:type="character" w:styleId="9">
    <w:name w:val="FollowedHyperlink"/>
    <w:basedOn w:val="7"/>
    <w:uiPriority w:val="0"/>
    <w:rPr>
      <w:color w:val="800080"/>
      <w:u w:val="single"/>
    </w:rPr>
  </w:style>
  <w:style w:type="character" w:styleId="10">
    <w:name w:val="Hyperlink"/>
    <w:qFormat/>
    <w:uiPriority w:val="0"/>
    <w:rPr>
      <w:color w:val="0000FF"/>
      <w:u w:val="single"/>
    </w:rPr>
  </w:style>
  <w:style w:type="character" w:customStyle="1" w:styleId="11">
    <w:name w:val="页脚 Char"/>
    <w:link w:val="3"/>
    <w:qFormat/>
    <w:uiPriority w:val="99"/>
    <w:rPr>
      <w:sz w:val="18"/>
    </w:rPr>
  </w:style>
  <w:style w:type="character" w:customStyle="1" w:styleId="12">
    <w:name w:val="页眉 Char"/>
    <w:link w:val="4"/>
    <w:qFormat/>
    <w:uiPriority w:val="0"/>
    <w:rPr>
      <w:sz w:val="18"/>
      <w:szCs w:val="18"/>
    </w:rPr>
  </w:style>
  <w:style w:type="paragraph" w:styleId="13">
    <w:name w:val="List Paragraph"/>
    <w:basedOn w:val="1"/>
    <w:qFormat/>
    <w:uiPriority w:val="34"/>
    <w:pPr>
      <w:adjustRightInd/>
      <w:spacing w:line="240" w:lineRule="auto"/>
      <w:ind w:firstLine="420" w:firstLineChars="200"/>
      <w:textAlignment w:val="auto"/>
    </w:pPr>
    <w:rPr>
      <w:kern w:val="2"/>
      <w:szCs w:val="24"/>
    </w:rPr>
  </w:style>
  <w:style w:type="character" w:styleId="14">
    <w:name w:val="Placeholder Text"/>
    <w:basedOn w:val="7"/>
    <w:semiHidden/>
    <w:qFormat/>
    <w:uiPriority w:val="99"/>
    <w:rPr>
      <w:color w:val="808080"/>
    </w:rPr>
  </w:style>
  <w:style w:type="paragraph" w:customStyle="1" w:styleId="15">
    <w:name w:val="MidtermHeading"/>
    <w:basedOn w:val="1"/>
    <w:qFormat/>
    <w:uiPriority w:val="0"/>
    <w:pPr>
      <w:keepNext/>
      <w:widowControl/>
      <w:snapToGrid w:val="0"/>
      <w:spacing w:before="200" w:after="140" w:line="276" w:lineRule="auto"/>
      <w:ind w:firstLine="0"/>
      <w:jc w:val="left"/>
    </w:pPr>
    <w:rPr>
      <w:rFonts w:ascii="Times New Roman" w:hAnsi="Times New Roman" w:eastAsia="黑体"/>
      <w:b/>
      <w:color w:val="000000"/>
      <w:sz w:val="28"/>
    </w:rPr>
  </w:style>
  <w:style w:type="paragraph" w:customStyle="1" w:styleId="16">
    <w:name w:val="MidtermBody"/>
    <w:basedOn w:val="1"/>
    <w:uiPriority w:val="0"/>
    <w:pPr>
      <w:keepNext w:val="0"/>
      <w:widowControl/>
      <w:snapToGrid w:val="0"/>
      <w:spacing w:before="0" w:after="100" w:line="336" w:lineRule="auto"/>
      <w:ind w:firstLine="480"/>
      <w:jc w:val="both"/>
    </w:pPr>
    <w:rPr>
      <w:rFonts w:ascii="Times New Roman" w:hAnsi="Times New Roman" w:eastAsia="宋体"/>
      <w:color w:val="000000"/>
      <w:sz w:val="24"/>
    </w:rPr>
  </w:style>
  <w:style w:type="paragraph" w:customStyle="1" w:styleId="17">
    <w:name w:val="MidtermSubheading"/>
    <w:basedOn w:val="1"/>
    <w:uiPriority w:val="0"/>
    <w:pPr>
      <w:keepNext/>
      <w:widowControl/>
      <w:snapToGrid w:val="0"/>
      <w:spacing w:before="200" w:after="140" w:line="276" w:lineRule="auto"/>
      <w:ind w:firstLine="0"/>
      <w:jc w:val="left"/>
    </w:pPr>
    <w:rPr>
      <w:rFonts w:ascii="Times New Roman" w:hAnsi="Times New Roman" w:eastAsia="黑体"/>
      <w:b/>
      <w:color w:val="000000"/>
      <w:sz w:val="24"/>
    </w:rPr>
  </w:style>
  <w:style w:type="paragraph" w:customStyle="1" w:styleId="18">
    <w:name w:val="MidtermCaption"/>
    <w:basedOn w:val="1"/>
    <w:qFormat/>
    <w:uiPriority w:val="0"/>
    <w:pPr>
      <w:keepNext w:val="0"/>
      <w:widowControl/>
      <w:snapToGrid w:val="0"/>
      <w:spacing w:before="0" w:after="100" w:line="276" w:lineRule="auto"/>
      <w:ind w:firstLine="0"/>
      <w:jc w:val="center"/>
    </w:pPr>
    <w:rPr>
      <w:rFonts w:ascii="Times New Roman" w:hAnsi="Times New Roman" w:eastAsia="宋体"/>
      <w:color w:val="000000"/>
      <w:sz w:val="21"/>
    </w:rPr>
  </w:style>
  <w:style w:type="paragraph" w:customStyle="1" w:styleId="19">
    <w:name w:val="MidtermNote"/>
    <w:basedOn w:val="1"/>
    <w:uiPriority w:val="0"/>
    <w:pPr>
      <w:keepNext w:val="0"/>
      <w:widowControl/>
      <w:snapToGrid w:val="0"/>
      <w:spacing w:before="0" w:after="100" w:line="276" w:lineRule="auto"/>
      <w:ind w:firstLine="0"/>
      <w:jc w:val="left"/>
    </w:pPr>
    <w:rPr>
      <w:rFonts w:ascii="Times New Roman" w:hAnsi="Times New Roman" w:eastAsia="宋体"/>
      <w:color w:val="000000"/>
      <w:sz w:val="20"/>
    </w:rPr>
  </w:style>
  <w:style w:type="paragraph" w:customStyle="1" w:styleId="20">
    <w:name w:val="MidtermReference"/>
    <w:basedOn w:val="1"/>
    <w:qFormat/>
    <w:uiPriority w:val="0"/>
    <w:pPr>
      <w:keepNext w:val="0"/>
      <w:widowControl/>
      <w:snapToGrid w:val="0"/>
      <w:spacing w:before="0" w:after="100" w:line="276" w:lineRule="auto"/>
      <w:ind w:firstLine="0"/>
      <w:jc w:val="both"/>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glossaryDocument" Target="glossary/document.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6.xml"/><Relationship Id="rId11" Type="http://schemas.openxmlformats.org/officeDocument/2006/relationships/header" Target="header2.xml"/><Relationship Id="rId10" Type="http://schemas.openxmlformats.org/officeDocument/2006/relationships/footer" Target="footer5.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081868575"/>
        <w:style w:val=""/>
        <w:category>
          <w:name w:val="常规"/>
          <w:gallery w:val="placeholder"/>
        </w:category>
        <w:types>
          <w:type w:val="bbPlcHdr"/>
        </w:types>
        <w:behaviors>
          <w:behavior w:val="content"/>
        </w:behaviors>
        <w:description w:val=""/>
        <w:guid w:val="{6F50CF51-7AD7-49ED-8B19-160E61C3BFFB}"/>
      </w:docPartPr>
      <w:docPartBody>
        <w:p w14:paraId="4A0BBC70">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9C0"/>
    <w:rsid w:val="001D2797"/>
    <w:rsid w:val="001F4A3B"/>
    <w:rsid w:val="003D79C0"/>
    <w:rsid w:val="00533362"/>
    <w:rsid w:val="00567C2A"/>
    <w:rsid w:val="00823925"/>
    <w:rsid w:val="008246C4"/>
    <w:rsid w:val="00B60326"/>
    <w:rsid w:val="00E437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Manager>培养办</Manager>
  <Company>研究生院</Company>
  <Pages>16</Pages>
  <Words>7607</Words>
  <Characters>10996</Characters>
  <Lines>18</Lines>
  <Paragraphs>5</Paragraphs>
  <TotalTime>34</TotalTime>
  <ScaleCrop>false</ScaleCrop>
  <LinksUpToDate>false</LinksUpToDate>
  <CharactersWithSpaces>11603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2019-08-13T16:35:00Z</dcterms:created>
  <dc:creator>朱金霞</dc:creator>
  <cp:lastModifiedBy>haharrychen</cp:lastModifiedBy>
  <cp:lastPrinted>2004-10-27T09:21:00Z</cp:lastPrinted>
  <dcterms:modified xsi:type="dcterms:W3CDTF">2026-09-18T17:45:35Z</dcterms:modified>
  <dc:subject>过程管理-中期考核登记表</dc:subject>
  <dc:title>上海交通大学硕士学位研究生中期考核登记表</dc:title>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eyJoZGlkIjoiZDQ4YjdiYTUyNWY2NDk3MzcwYjM2MTE2ODE2YmU3MWEiLCJ1c2VySWQiOiIxMTA1ODQ4NyJ9</vt:lpwstr>
  </property>
  <property fmtid="{D5CDD505-2E9C-101B-9397-08002B2CF9AE}" pid="3" name="KSOProductBuildVer">
    <vt:lpwstr>2052-12.1.24031.24031</vt:lpwstr>
  </property>
  <property fmtid="{D5CDD505-2E9C-101B-9397-08002B2CF9AE}" pid="4" name="ICV">
    <vt:lpwstr>BB20C585BBB1BE053F08AD6A84E4F55F_43</vt:lpwstr>
  </property>
</Properties>
</file>