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星迹智绘论文写作蓝图</w:t>
      </w:r>
    </w:p>
    <w:p>
      <w:pPr>
        <w:pStyle w:val="Subtitle"/>
      </w:pPr>
      <w:r>
        <w:t>表达支持与证据链重构版</w:t>
      </w:r>
    </w:p>
    <w:p>
      <w:r>
        <w:t>论文题名：基于图像笔触拆解计算的创作表达工具交互设计。</w:t>
      </w:r>
    </w:p>
    <w:p>
      <w:r>
        <w:t>正文规划 45,000 字    2026 年 10 月 27 日</w:t>
      </w:r>
    </w:p>
    <w:p>
      <w:r>
        <w:t>研究中心：用户如何通过素材编排形成自己的表达，系统如何把这些决定转化为绘画。AI共创不要求用户手绘。</w:t>
      </w:r>
    </w:p>
    <w:p>
      <w:r>
        <w:t>本版保留产品定稿，允许实验专用程序适配；保留2×2，将因素明确为笔触执行方式与素材编排支持。旧蓝图和已写绪论原文件均保留。</w:t>
      </w:r>
    </w:p>
    <w:p>
      <w:pPr>
        <w:pStyle w:val="Heading2"/>
      </w:pPr>
      <w:r>
        <w:t>阅读导航</w:t>
      </w:r>
    </w:p>
    <w:p>
      <w:pPr>
        <w:tabs>
          <w:tab w:pos="9184" w:val="right"/>
        </w:tabs>
        <w:spacing w:after="140"/>
      </w:pPr>
      <w:r>
        <w:t>一  本次蓝图的研究定位</w:t>
      </w:r>
      <w:r>
        <w:tab/>
        <w:t>2</w:t>
      </w:r>
    </w:p>
    <w:p>
      <w:pPr>
        <w:tabs>
          <w:tab w:pos="9184" w:val="right"/>
        </w:tabs>
        <w:spacing w:after="140"/>
      </w:pPr>
      <w:r>
        <w:t>二  从需求到评价的证据链</w:t>
      </w:r>
      <w:r>
        <w:tab/>
        <w:t>4</w:t>
      </w:r>
    </w:p>
    <w:p>
      <w:pPr>
        <w:tabs>
          <w:tab w:pos="9184" w:val="right"/>
        </w:tabs>
        <w:spacing w:after="140"/>
      </w:pPr>
      <w:r>
        <w:t>三  全文章节与字数配置</w:t>
      </w:r>
      <w:r>
        <w:tab/>
        <w:t>6</w:t>
      </w:r>
    </w:p>
    <w:p>
      <w:pPr>
        <w:tabs>
          <w:tab w:pos="9184" w:val="right"/>
        </w:tabs>
        <w:spacing w:after="140"/>
      </w:pPr>
      <w:r>
        <w:t>四  为什么由用户编排而由系统绘制</w:t>
      </w:r>
      <w:r>
        <w:tab/>
        <w:t>7</w:t>
      </w:r>
    </w:p>
    <w:p>
      <w:pPr>
        <w:tabs>
          <w:tab w:pos="9184" w:val="right"/>
        </w:tabs>
        <w:spacing w:after="140"/>
      </w:pPr>
      <w:r>
        <w:t>五  逐章标题与写作安排</w:t>
      </w:r>
      <w:r>
        <w:tab/>
        <w:t>10</w:t>
      </w:r>
    </w:p>
    <w:p>
      <w:pPr>
        <w:tabs>
          <w:tab w:pos="9184" w:val="right"/>
        </w:tabs>
        <w:spacing w:after="140"/>
      </w:pPr>
      <w:r>
        <w:t>六  2×2实验的具体落地</w:t>
      </w:r>
      <w:r>
        <w:tab/>
        <w:t>20</w:t>
      </w:r>
    </w:p>
    <w:p>
      <w:pPr>
        <w:tabs>
          <w:tab w:pos="9184" w:val="right"/>
        </w:tabs>
        <w:spacing w:after="140"/>
      </w:pPr>
      <w:r>
        <w:t>七  设计证据与写作执行</w:t>
      </w:r>
      <w:r>
        <w:tab/>
        <w:t>24</w:t>
      </w:r>
    </w:p>
    <w:p>
      <w:pPr>
        <w:tabs>
          <w:tab w:pos="9184" w:val="right"/>
        </w:tabs>
        <w:spacing w:after="140"/>
      </w:pPr>
      <w:r>
        <w:t>八  核心文献与使用边界</w:t>
      </w:r>
      <w:r>
        <w:tab/>
        <w:t>27</w:t>
      </w:r>
    </w:p>
    <w:p>
      <w:r>
        <w:t>使用方式：先阅读第一、二、四部分确定论证立场；第五部分可直接用于章节写作；第六部分用于后续实验实施。表中的待验证判断不构成研究结果。</w:t>
      </w:r>
    </w:p>
    <w:p>
      <w:r>
        <w:br w:type="page"/>
      </w:r>
    </w:p>
    <w:p>
      <w:pPr>
        <w:pStyle w:val="Heading1"/>
      </w:pPr>
      <w:r>
        <w:t>一  本次蓝图的研究定位</w:t>
      </w:r>
    </w:p>
    <w:p>
      <w:pPr/>
      <w:r>
        <w:t>本蓝图围绕“初学者如何把表达意图落实为绘画”重组全文。研究对象为以个人照片或共同参考图为起点、具有表达愿望但缺少熟练手绘技能的成年用户；研究内容为素材编排与可介入的自动笔触执行如何共同支持创作。产品本体以现有版本为设计案例，后续只为实验条件、数据记录和测量流程调整实验程序。</w:t>
      </w:r>
    </w:p>
    <w:p>
      <w:pPr/>
      <w:r>
        <w:t>论文题名：基于图像笔触拆解计算的创作表达工具交互设计。绪论须将“图像笔触拆解计算”界定为从图像目标计算笔触参数并组织绘制序列的方法。当前系统采用本地程序化绘画方法，产品中的“AI 共创”是界面称谓，不代表新增模型推理、语义理解或生成式接口。题名中的技术是设计媒介，论证重心是表达支持的交互机制与评价。</w:t>
      </w:r>
    </w:p>
    <w:p>
      <w:pPr/>
      <w:r>
        <w:t>核心研究问题：在日常数字绘画表达中，把素材编排与自动笔触执行结合，能否帮助缺少手绘技能的用户落实自己的表达意图，并形成可接受的操作负担和自主体验？“能够运行”“画面更细腻”“用户喜欢”分别属于实现、视觉表现和体验证据，不能互相替代。</w:t>
      </w:r>
    </w:p>
    <w:p>
      <w:pPr>
        <w:pStyle w:val="Heading2"/>
      </w:pPr>
      <w:r>
        <w:t>1  从用户的阻力建立问题</w:t>
      </w:r>
    </w:p>
    <w:p>
      <w:pPr/>
      <w:r>
        <w:t>建议将痛点写为：部分初学者具有记录生活、表达感受或重组日常经验的愿望，也能判断想放入什么内容、怎样安排关系，却难以稳定完成造型与运笔。表达意图在转为画面的过程中受到手绘执行和工具操作的共同限制；如果辅助工具只给出固定步骤或自动结果，用户又可能难以继续改变画面的内容与关系。后半句针对具体交互安排，不是对所有传统算法的概括。</w:t>
      </w:r>
    </w:p>
    <w:p>
      <w:pPr/>
      <w:r>
        <w:t>这一定义保留三个可被反驳的问题：目标用户是否确实希望用绘画表达；困难主要发生在构思、手绘执行还是界面操作；他们希望交给系统哪些工作，又希望保留哪些决定。第二章需要回答这些问题，不能把“不会画，所以一定需要本产品”作为推论。照片、拼贴、模板及普通画布都是合理替代方案；本文的价值在于说明何种用户与任务适合这一支持方式，而非证明只有这一种解法。</w:t>
      </w:r>
    </w:p>
    <w:p>
      <w:pPr>
        <w:pStyle w:val="Heading2"/>
      </w:pPr>
      <w:r>
        <w:t>2  贡献承诺与当前证据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"/>
        <w:gridCol w:w="3599"/>
        <w:gridCol w:w="4379"/>
      </w:tblGrid>
      <w:tr>
        <w:trPr>
          <w:cantSplit/>
          <w:tblHeader/>
        </w:trPr>
        <w:tc>
          <w:tcPr>
            <w:tcW w:type="dxa" w:w="1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type="dxa" w:w="35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</w:pPr>
            <w:r>
              <w:rPr>
                <w:b/>
              </w:rPr>
              <w:t>论文可以承担的贡献</w:t>
            </w:r>
          </w:p>
        </w:tc>
        <w:tc>
          <w:tcPr>
            <w:tcW w:type="dxa" w:w="43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</w:pPr>
            <w:r>
              <w:rPr>
                <w:b/>
              </w:rPr>
              <w:t>需要的证据及现状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设计贡献</w:t>
            </w:r>
          </w:p>
        </w:tc>
        <w:tc>
          <w:tcPr>
            <w:tcW w:type="dxa" w:w="35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提出并实现由用户组织内容与关系、系统执行笔触、用户观察后继续介入的交互方案。</w:t>
            </w:r>
          </w:p>
        </w:tc>
        <w:tc>
          <w:tcPr>
            <w:tcW w:type="dxa" w:w="43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已有产品与代码可支持实现说明；其适用需求需由真实材料支持。不能把组合方案称为首创一般共创模式。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方法性贡献</w:t>
            </w:r>
          </w:p>
        </w:tc>
        <w:tc>
          <w:tcPr>
            <w:tcW w:type="dxa" w:w="35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建立表达要素、可操作决定、画面反馈与评价指标之间的映射，公开设计取舍及适用边界。</w:t>
            </w:r>
          </w:p>
        </w:tc>
        <w:tc>
          <w:tcPr>
            <w:tcW w:type="dxa" w:w="43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第三章形成映射；第四章以流程、状态、对照图和失败案例落实。该映射是本研究综合推导。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经验贡献</w:t>
            </w:r>
          </w:p>
        </w:tc>
        <w:tc>
          <w:tcPr>
            <w:tcW w:type="dxa" w:w="35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通过2×2实验估计自动笔触与素材编排的作用及相互关系，解释何时支持表达、何时形成新阻力。</w:t>
            </w:r>
          </w:p>
        </w:tc>
        <w:tc>
          <w:tcPr>
            <w:tcW w:type="dxa" w:w="43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尚无本轮正式实验结果。蓝图规定检验方式，最终贡献强度由结果决定。算法效果图不能替代用户证据。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/>
      <w:r>
        <w:t>可直接用于绪论的目的表述：本研究以绘画初学者的个人表达为目标，将内容与构图决定和手绘执行适度分离，探索以素材编排组织表达意图、以程序化笔触形成画面的辅助方式，并通过对照实验考察其对表达实现、感知选择和任务负担的影响。研究同时关注观察中间画面后的意图变化，以说明交互支持的作用条件。</w:t>
      </w:r>
    </w:p>
    <w:p>
      <w:pPr>
        <w:pStyle w:val="Heading2"/>
      </w:pPr>
      <w:r>
        <w:t>3  真实研究过程与论文叙述顺序</w:t>
      </w:r>
    </w:p>
    <w:p>
      <w:pPr/>
      <w:r>
        <w:t>产品先于本轮论证重组形成，这是可以如实交代的研究条件。第四章记录从笔触跟随到表达支持的实际演变；第二章若补做访谈，应称为现有方案背景下的需求再核查，先讨论用户自己的创作经历，再展示系统。不要将后来获得的访谈或理论写成当初设计的历史依据。论文可以按问题、依据、设计、评价组织，但各项研究活动的实际日期必须一致。</w:t>
      </w:r>
    </w:p>
    <w:p>
      <w:pPr/>
      <w:r>
        <w:t>本次将 academic-paper 用于结构与论据规划，将 academic-pipeline 用于阶段和证据状态核对；PaperSpine 用于约束贡献、证据与章节的对应关系。这是蓝图重构与审校，不是已完成的正式论文实验或期刊审稿。软件技能本身不列入支撑研究结论的学术文献。</w:t>
      </w:r>
    </w:p>
    <w:p>
      <w:pPr>
        <w:pStyle w:val="Heading1"/>
      </w:pPr>
      <w:r>
        <w:t>二  从需求到评价的证据链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3849407"/>
            <wp:docPr id="1" name="Picture 1" descr="图A  论文论证顺序与证据回流。来源：本蓝图绘制；箭头表示论证承接，不表示各项研究已按此时间顺序完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4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图A  论文论证顺序与证据回流。来源：本蓝图绘制；箭头表示论证承接，不表示各项研究已按此时间顺序完成。</w:t>
      </w:r>
    </w:p>
    <w:p>
      <w:pPr>
        <w:pStyle w:val="Heading2"/>
      </w:pPr>
      <w:r>
        <w:t>1  每个环节必须回答的问题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659"/>
        <w:gridCol w:w="4139"/>
      </w:tblGrid>
      <w:tr>
        <w:trPr>
          <w:cantSplit/>
          <w:tblHeader/>
        </w:trPr>
        <w:tc>
          <w:tcPr>
            <w:tcW w:type="dxa" w:w="15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论证环节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</w:pPr>
            <w:r>
              <w:rPr>
                <w:b/>
              </w:rPr>
              <w:t>本项目需要建立的判断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证据与反证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需求及阻力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特定初学者的表达愿望受到执行或操作困难阻碍。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匿名经历、普通画布任务、卡点与求助；保留不愿绘画、已有替代工具足够的案例。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既有研究与机会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现有方法分别支持落笔、图像转绘或创意协作；本项目需要检验表达决策与自动执行的具体组合。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最接近工作的任务、控制方式、目标用户和评价指标比较。不能用“尚无星迹智绘”代替研究缺口。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机制与原则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素材操作可使关系可见，渐进反馈可提供判断材料，执行支持需要保留用户选择。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理论原文及迁移条件；标明这些是设计推导，不是本系统的效果证明。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设计及实现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当前方案把这些要求转成实际操作、状态及笔触响应。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版本化界面、状态图、源码、同条件算法对照；显示尚不支持的行为。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效果与解释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两个功能包是否改善表达实现，是否改变自主体验和负担。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随机分配的2×2比较、作品独立评分、问卷、日志及回顾访谈；保留无差异与负面结果。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>
        <w:pStyle w:val="Heading2"/>
      </w:pPr>
      <w:r>
        <w:t>2  研究问题与全文关系</w:t>
      </w:r>
    </w:p>
    <w:p>
      <w:pPr/>
      <w:r>
        <w:t>将旧蓝图仅按实验因素设置的三个问题，调整为贯穿需求、设计、评价的三个研究问题。原实验因素保留，作为RQ3的三个子问题，避免第一、二章只为实验变量作背景铺垫。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9"/>
        <w:gridCol w:w="2279"/>
        <w:gridCol w:w="2819"/>
      </w:tblGrid>
      <w:tr>
        <w:trPr>
          <w:cantSplit/>
          <w:tblHeader/>
        </w:trPr>
        <w:tc>
          <w:tcPr>
            <w:tcW w:type="dxa" w:w="41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研究问题</w:t>
            </w:r>
          </w:p>
        </w:tc>
        <w:tc>
          <w:tcPr>
            <w:tcW w:type="dxa" w:w="22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主要回答章节</w:t>
            </w:r>
          </w:p>
        </w:tc>
        <w:tc>
          <w:tcPr>
            <w:tcW w:type="dxa" w:w="28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交付证据</w:t>
            </w:r>
          </w:p>
        </w:tc>
      </w:tr>
      <w:tr>
        <w:trPr>
          <w:cantSplit/>
        </w:trPr>
        <w:tc>
          <w:tcPr>
            <w:tcW w:type="dxa" w:w="41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RQ1 初学者希望表达什么，表达转化过程在哪些位置受阻？</w:t>
            </w:r>
          </w:p>
        </w:tc>
        <w:tc>
          <w:tcPr>
            <w:tcW w:type="dxa" w:w="22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第一章界定，第二章回答。</w:t>
            </w:r>
          </w:p>
        </w:tc>
        <w:tc>
          <w:tcPr>
            <w:tcW w:type="dxa" w:w="28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表达场景、任务片段、阻力分类及目标用户边界。</w:t>
            </w:r>
          </w:p>
        </w:tc>
      </w:tr>
      <w:tr>
        <w:trPr>
          <w:cantSplit/>
        </w:trPr>
        <w:tc>
          <w:tcPr>
            <w:tcW w:type="dxa" w:w="41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RQ2 如何把表达需要转成用户可操作的决定，并由笔触计算承接？</w:t>
            </w:r>
          </w:p>
        </w:tc>
        <w:tc>
          <w:tcPr>
            <w:tcW w:type="dxa" w:w="22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第三章解释，第四章落实。</w:t>
            </w:r>
          </w:p>
        </w:tc>
        <w:tc>
          <w:tcPr>
            <w:tcW w:type="dxa" w:w="28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理论与原则映射、交互状态、画面转化和设计取舍。</w:t>
            </w:r>
          </w:p>
        </w:tc>
      </w:tr>
      <w:tr>
        <w:trPr>
          <w:cantSplit/>
        </w:trPr>
        <w:tc>
          <w:tcPr>
            <w:tcW w:type="dxa" w:w="41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RQ3 自动笔触与素材编排分别及共同带来什么影响？</w:t>
            </w:r>
          </w:p>
        </w:tc>
        <w:tc>
          <w:tcPr>
            <w:tcW w:type="dxa" w:w="22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第五章检验，第六章归纳。</w:t>
            </w:r>
          </w:p>
        </w:tc>
        <w:tc>
          <w:tcPr>
            <w:tcW w:type="dxa" w:w="28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RQ3a自动辅助效应；RQ3b编排支持效应；RQ3c交互作用。对表达实现和感知选择分别估计。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>
        <w:pStyle w:val="Heading2"/>
      </w:pPr>
      <w:r>
        <w:t>3  关键论点的证据登记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9"/>
        <w:gridCol w:w="4259"/>
        <w:gridCol w:w="2639"/>
      </w:tblGrid>
      <w:tr>
        <w:trPr>
          <w:cantSplit/>
          <w:tblHeader/>
        </w:trPr>
        <w:tc>
          <w:tcPr>
            <w:tcW w:type="dxa" w:w="23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论点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现有依据与缺口</w:t>
            </w:r>
          </w:p>
        </w:tc>
        <w:tc>
          <w:tcPr>
            <w:tcW w:type="dxa" w:w="2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允许写到的程度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C1 表达需要与执行能力之间存在张力。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创造力支持与绘画辅助研究提供研究动机[1][4][5]；本项目目标群体的原始记录仍需核查或补采。</w:t>
            </w:r>
          </w:p>
        </w:tc>
        <w:tc>
          <w:tcPr>
            <w:tcW w:type="dxa" w:w="2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作为待核查的研究问题；取得材料后限定到相应用户与情境，不写成全民需求。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C2 笔触计算可承接部分落笔工作。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Haeberli与Hertzmann说明笔触表示和绘画式渲染[2][3]；项目实现支持工程可行性。</w:t>
            </w:r>
          </w:p>
        </w:tc>
        <w:tc>
          <w:tcPr>
            <w:tcW w:type="dxa" w:w="2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可写技术潜力与实现。传统工作已有交互性，不能说本文首次赋予其用户控制。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C3 素材与反馈可能支持构思发展。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外部认知、设计中的观看及自我决定理论提供解释[6—8]；当前作品与用户过程数据尚不能验证此机制。</w:t>
            </w:r>
          </w:p>
        </w:tc>
        <w:tc>
          <w:tcPr>
            <w:tcW w:type="dxa" w:w="2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第三章提出设计命题；第五章用过程证据讨论，不能仅用问卷相关或点击次数证明心理机制。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C4 完整方案能够改善表达实现。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需要四条件的主结局与不确定性；现有代码、演示及自动测试不提供此结论。</w:t>
            </w:r>
          </w:p>
        </w:tc>
        <w:tc>
          <w:tcPr>
            <w:tcW w:type="dxa" w:w="2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正式实验前写“考察”“检验”；实验后按效应方向与区间写结果。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C5 设计认识可迁移到其他工具。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需要设计决策、任务边界和失败案例的解释[9]；单一原型与短时样本外推有限。</w:t>
            </w:r>
          </w:p>
        </w:tc>
        <w:tc>
          <w:tcPr>
            <w:tcW w:type="dxa" w:w="2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提出可供相似任务参考的设计认识，不宣布普适设计定律。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>
        <w:pStyle w:val="Heading2"/>
      </w:pPr>
      <w:r>
        <w:t>4  旧蓝图需要修复的连接</w:t>
      </w:r>
    </w:p>
    <w:p>
      <w:pPr/>
      <w:r>
        <w:t>第二章不再提前提出一套与第三章重复的设计原则，而是输出“用户需求与评价要求”；第三章据此形成一套统一编号的原则。第三章减少逐个堆叠理论的篇幅，第四章增加对具体交互决定及其后果的解释。第五章结果按研究问题组织，不按收到了哪些数据逐项罗列。</w:t>
      </w:r>
    </w:p>
    <w:p>
      <w:pPr/>
      <w:r>
        <w:t>“降低门槛”“减轻负担”“更有创意”分别改为可观察的任务条件、直接负担测量和明确的表达结果。本文优先研究表达实现，不把笔触少、画面漂亮或高SUS分数当作核心结论。视觉规范、星月叙事与转场纳入设计说明，但不作为2×2实验中被单独验证的因素。</w:t>
      </w:r>
    </w:p>
    <w:p>
      <w:pPr>
        <w:pStyle w:val="Heading1"/>
      </w:pPr>
      <w:r>
        <w:t>三  全文章节与字数配置</w:t>
      </w:r>
    </w:p>
    <w:p>
      <w:pPr/>
      <w:r>
        <w:t>正文目标45,000字，摘要、目录、参考文献和附录另计；最终以学校与Word的计数口径核对。下列二级预算等于所列三级预算之和，无三级的小结单独计入。理论仍是重要板块，但把较多篇幅用于具体设计与评价，使“依据—操作—证据”的联系可被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9"/>
        <w:gridCol w:w="900"/>
        <w:gridCol w:w="3539"/>
      </w:tblGrid>
      <w:tr>
        <w:trPr>
          <w:cantSplit/>
          <w:tblHeader/>
        </w:trPr>
        <w:tc>
          <w:tcPr>
            <w:tcW w:type="dxa" w:w="48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章节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字数</w:t>
            </w:r>
          </w:p>
        </w:tc>
        <w:tc>
          <w:tcPr>
            <w:tcW w:type="dxa" w:w="35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</w:pPr>
            <w:r>
              <w:rPr>
                <w:b/>
              </w:rPr>
              <w:t>本章输出及下一章用途</w:t>
            </w:r>
          </w:p>
        </w:tc>
      </w:tr>
      <w:tr>
        <w:trPr>
          <w:cantSplit/>
        </w:trPr>
        <w:tc>
          <w:tcPr>
            <w:tcW w:type="dxa" w:w="48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第一章 绪论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4,500</w:t>
            </w:r>
          </w:p>
        </w:tc>
        <w:tc>
          <w:tcPr>
            <w:tcW w:type="dxa" w:w="35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建立问题、研究对象与贡献承诺；为第二章指定必须核查的需求。</w:t>
            </w:r>
          </w:p>
        </w:tc>
      </w:tr>
      <w:tr>
        <w:trPr>
          <w:cantSplit/>
        </w:trPr>
        <w:tc>
          <w:tcPr>
            <w:tcW w:type="dxa" w:w="48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第二章 绘画初学者的表达需求与创作阻力研究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6,500</w:t>
            </w:r>
          </w:p>
        </w:tc>
        <w:tc>
          <w:tcPr>
            <w:tcW w:type="dxa" w:w="35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输出需求及评价要求；第三章解释其可由哪些机制回应。</w:t>
            </w:r>
          </w:p>
        </w:tc>
      </w:tr>
      <w:tr>
        <w:trPr>
          <w:cantSplit/>
        </w:trPr>
        <w:tc>
          <w:tcPr>
            <w:tcW w:type="dxa" w:w="48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第三章 面向表达支持的协同绘画理论与交互设计原则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8,000</w:t>
            </w:r>
          </w:p>
        </w:tc>
        <w:tc>
          <w:tcPr>
            <w:tcW w:type="dxa" w:w="35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输出原则、映射及待检验命题；第四章逐项落实。</w:t>
            </w:r>
          </w:p>
        </w:tc>
      </w:tr>
      <w:tr>
        <w:trPr>
          <w:cantSplit/>
        </w:trPr>
        <w:tc>
          <w:tcPr>
            <w:tcW w:type="dxa" w:w="48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第四章 星迹智绘的交互机制与视觉设计实践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13,500</w:t>
            </w:r>
          </w:p>
        </w:tc>
        <w:tc>
          <w:tcPr>
            <w:tcW w:type="dxa" w:w="35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输出可核验的设计方案、算法适配和取舍；第五章将两个支持模块变为因素。</w:t>
            </w:r>
          </w:p>
        </w:tc>
      </w:tr>
      <w:tr>
        <w:trPr>
          <w:cantSplit/>
        </w:trPr>
        <w:tc>
          <w:tcPr>
            <w:tcW w:type="dxa" w:w="48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第五章 协同绘画支持效果的实验评价与讨论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10,500</w:t>
            </w:r>
          </w:p>
        </w:tc>
        <w:tc>
          <w:tcPr>
            <w:tcW w:type="dxa" w:w="35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回答效果、过程与局限；第六章据实限定贡献。</w:t>
            </w:r>
          </w:p>
        </w:tc>
      </w:tr>
      <w:tr>
        <w:trPr>
          <w:cantSplit/>
        </w:trPr>
        <w:tc>
          <w:tcPr>
            <w:tcW w:type="dxa" w:w="48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第六章 结论与展望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2,000</w:t>
            </w:r>
          </w:p>
        </w:tc>
        <w:tc>
          <w:tcPr>
            <w:tcW w:type="dxa" w:w="35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闭合三个研究问题，区分设计贡献与经验结论。</w:t>
            </w:r>
          </w:p>
        </w:tc>
      </w:tr>
      <w:tr>
        <w:trPr>
          <w:cantSplit/>
        </w:trPr>
        <w:tc>
          <w:tcPr>
            <w:tcW w:type="dxa" w:w="48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合计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45,000</w:t>
            </w:r>
          </w:p>
        </w:tc>
        <w:tc>
          <w:tcPr>
            <w:tcW w:type="dxa" w:w="35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六章均围绕表达意图如何形成画面展开。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>
        <w:pStyle w:val="Heading1"/>
      </w:pPr>
      <w:r>
        <w:t>四  为什么由用户编排而由系统绘制</w:t>
      </w:r>
    </w:p>
    <w:p>
      <w:pPr>
        <w:pStyle w:val="Heading2"/>
      </w:pPr>
      <w:r>
        <w:t>1  产品定位与研究对象</w:t>
      </w:r>
    </w:p>
    <w:p>
      <w:pPr/>
      <w:r>
        <w:t>本项目定位为“以绘画为表现形式的协同创作表达工具”。在AI共创中，用户不需要亲手落笔，其参与集中于素材选择、空间编排、表现取舍和后续补充；系统把目标画面的变化转成笔触。这一定义既不否定手绘中的创造性，也不把任何点击都等同于创作。本文研究的是非熟练手绘者可通过哪些决定参与画面形成，而非证明他们掌握了绘画技巧。</w:t>
      </w:r>
    </w:p>
    <w:p>
      <w:pPr/>
      <w:r>
        <w:t>“绘画”在本文中有三个需要分开的层面：作为手部动作的亲手落笔；作为视觉形式的笔触与画面组织；作为意图形成、选择和判断的创作活动。系统承担第一层中的笔迹执行，作品采用第二层的绘画表现，用户通过第三层参与。是否具有表达价值，需要考察这些决定对画面的作用，而不是单凭作品中有笔触或系统被称为AI来判断。</w:t>
      </w:r>
    </w:p>
    <w:p>
      <w:pPr/>
      <w:r>
        <w:t>题名已明确为“基于图像笔触拆解计算的创作表达工具交互设计”。其中，“创作表达工具”界定研究对象及目的，“图像笔触拆解计算”交代支撑画面形成的技术路径，“交互设计”限定主要贡献。“星迹智绘”作为正文中的设计实践项目介绍。论文须把创作表达落实为用户选择、编排与判断对作品的可辨认作用，而不能仅以题名变化回避参与不足的问题。</w:t>
      </w:r>
    </w:p>
    <w:p>
      <w:pPr>
        <w:pStyle w:val="Heading2"/>
      </w:pPr>
      <w:r>
        <w:t>2  这一分工如何回应痛点</w:t>
      </w:r>
    </w:p>
    <w:p>
      <w:pPr/>
      <w:r>
        <w:t>方案的出发点不是让用户少做事，而是让他们能够把精力投入当前愿意且能够承担的创作决定。对于已有内容和关系想法、却难以稳定画出形态的用户，要求先掌握造型和运笔才表达，会使执行困难挡在意图之前。将可复用的视觉素材交给用户编排，可以让这些决定先成为可见关系；系统再把关系落实为笔迹，降低对手绘熟练度的依赖。此理由须由第二章的用户材料支持，不能推广到所有初学者。</w:t>
      </w:r>
    </w:p>
    <w:p>
      <w:pPr/>
      <w:r>
        <w:t>该分工有一项核心要求：用户决定必须对画面产生可辨认的后果。移动素材后，位置关系应进入目标图；确认后，后续笔触应在相应区域形成变化；观看后，用户应能判断是否继续补充。若最终画面主要由固定照片决定，用户的编排几乎不可见，或者只能接受不可预测的结果，就没有充分实现这项设计目标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7872"/>
            <wp:docPr id="2" name="Picture 2" descr="图B  用户编排与系统绘制的分工。来源：依据定稿产品整理绘制；“继续判断”表示可提供的交互机会，不预设每位用户都会产生新想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图B  用户编排与系统绘制的分工。来源：依据定稿产品整理绘制；“继续判断”表示可提供的交互机会，不预设每位用户都会产生新想法。</w:t>
      </w:r>
    </w:p>
    <w:p>
      <w:pPr/>
      <w:r>
        <w:t>因此，研究要检验的是表达决定能否被执行支持承接。用户看得久、点得多，甚至说动画很好看，都不足以证明这一点。需要把决策记录、目标变化、成品和用户解释联系起来，辨认作品中哪些关系来自用户。对于选择保留原画面的用户，也应记录其判断，不能将“没有新增素材”自动归为没有参与。</w:t>
      </w:r>
    </w:p>
    <w:p>
      <w:pPr>
        <w:pStyle w:val="Heading2"/>
      </w:pPr>
      <w:r>
        <w:t>3  各个方案选择的必要理由与代价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39"/>
        <w:gridCol w:w="3659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方案选择</w:t>
            </w:r>
          </w:p>
        </w:tc>
        <w:tc>
          <w:tcPr>
            <w:tcW w:type="dxa" w:w="38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为什么采用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仍需检验的代价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以照片为起点</w:t>
            </w:r>
          </w:p>
        </w:tc>
        <w:tc>
          <w:tcPr>
            <w:tcW w:type="dxa" w:w="38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照片带入具体经历与可辨认场景，为非熟练者提供内容起点，减少从完全空白组织画面的要求。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现有自动转绘可能过度保留原图；照片也可能限制想象。当前产品不支持AI空白共创，应限定适用任务。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由用户选择并编排素材</w:t>
            </w:r>
          </w:p>
        </w:tc>
        <w:tc>
          <w:tcPr>
            <w:tcW w:type="dxa" w:w="38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位置、尺度与并置把构图关系变成直接可比较的对象；用户可以先试排，再决定是否采用[6]。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有限母题会限制题材；预览清楚不保证成画忠实。需观察失败的表达意图和查找成本。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由系统执行笔触</w:t>
            </w:r>
          </w:p>
        </w:tc>
        <w:tc>
          <w:tcPr>
            <w:tcW w:type="dxa" w:w="38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用户不必为每个选定形态逐笔描画；笔触计算提供可控的程序化执行方式[2][3]。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低层笔迹控制减少，自动画风可能不合意；不能声称系统理解素材的情感或语义。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把素材转成画面中的笔触</w:t>
            </w:r>
          </w:p>
        </w:tc>
        <w:tc>
          <w:tcPr>
            <w:tcW w:type="dxa" w:w="38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素材作为绘制目标而非永久贴在成品上的独立图层，尝试形成较连贯的色彩、边缘与笔触关系。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程序化融合可能模糊形态或改变用户原意。应评估关系保留和视觉协调，不能预设优于直接拼贴。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逐步形成并允许继续编排</w:t>
            </w:r>
          </w:p>
        </w:tc>
        <w:tc>
          <w:tcPr>
            <w:tcW w:type="dxa" w:w="38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中间画面提供观察材料，用户可据此补充后续内容；观看与行动存在连接机会[7]。</w:t>
            </w:r>
          </w:p>
        </w:tc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若用户没有新判断或不愿继续，过程可能只是等待。该机制需由事件链解释，主实验不单独验证动画时长。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>
        <w:pStyle w:val="Heading2"/>
      </w:pPr>
      <w:r>
        <w:t>4  为什么不直接生成或只做拼贴</w:t>
      </w:r>
    </w:p>
    <w:p>
      <w:pPr/>
      <w:r>
        <w:t>直接生成、普通拼贴与本方案各有适用情境。直接成图适合快速取得结果；拼贴擅长明确保留素材形态与布局。星迹智绘选择把素材当作可操作的绘画目标，是希望将内容编排、笔触表现和过程中的继续介入组织为同一次创作活动。其价值需要同时满足两点：用户决定在转绘后仍然可辨认，形成过程又提供了有用反馈。缺少其中任何一点，额外绘制过程都可能只是装饰。</w:t>
      </w:r>
    </w:p>
    <w:p>
      <w:pPr/>
      <w:r>
        <w:t>现有2×2中的“编排后手绘”不等于成熟的直接拼贴应用。因此，该实验可以评价编排与执行配置的组合，不能据此声称优于所有拼贴工具、提示词工具或专业绘画软件。若后续要提出“笔触融合比直接拼贴更好”，须另做同布局、同素材的呈现对照；该结论不作为本论文主实验必须取得的结果。</w:t>
      </w:r>
    </w:p>
    <w:p>
      <w:pPr>
        <w:pStyle w:val="Heading2"/>
      </w:pPr>
      <w:r>
        <w:t>5  如何回答专家的核心质疑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9"/>
        <w:gridCol w:w="4319"/>
        <w:gridCol w:w="2879"/>
      </w:tblGrid>
      <w:tr>
        <w:trPr>
          <w:cantSplit/>
          <w:tblHeader/>
        </w:trPr>
        <w:tc>
          <w:tcPr>
            <w:tcW w:type="dxa" w:w="20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可能的质疑</w:t>
            </w:r>
          </w:p>
        </w:tc>
        <w:tc>
          <w:tcPr>
            <w:tcW w:type="dxa" w:w="43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论文的回答重点</w:t>
            </w:r>
          </w:p>
        </w:tc>
        <w:tc>
          <w:tcPr>
            <w:tcW w:type="dxa" w:w="28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应指向的证据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用户没有手绘，为什么仍是创作？</w:t>
            </w:r>
          </w:p>
        </w:tc>
        <w:tc>
          <w:tcPr>
            <w:tcW w:type="dxa" w:w="43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用户是否有内容与构图决定，以及这些决定是否进入作品，是本研究的参与标准；不把操作次数或自动成图认定为创造力。</w:t>
            </w:r>
          </w:p>
        </w:tc>
        <w:tc>
          <w:tcPr>
            <w:tcW w:type="dxa" w:w="28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第四章决策到画面的映射；第五章意图与作品对应、回顾解释。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这只是观看AI画画吗？</w:t>
            </w:r>
          </w:p>
        </w:tc>
        <w:tc>
          <w:tcPr>
            <w:tcW w:type="dxa" w:w="43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无编排的自动转绘是对照；实验检验编排机会是否及如何影响表达与选择体验，也接受没有额外收益的结果。</w:t>
            </w:r>
          </w:p>
        </w:tc>
        <w:tc>
          <w:tcPr>
            <w:tcW w:type="dxa" w:w="28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A1B1与A1B0的比较；感知选择及可追踪决策，而非观看时间。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为什么不用普通画布？</w:t>
            </w:r>
          </w:p>
        </w:tc>
        <w:tc>
          <w:tcPr>
            <w:tcW w:type="dxa" w:w="43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普通画布提供直接笔迹控制，但执行要求可能阻碍部分目标用户；本方案选择另一种分工，比较其收益与代价。</w:t>
            </w:r>
          </w:p>
        </w:tc>
        <w:tc>
          <w:tcPr>
            <w:tcW w:type="dxa" w:w="28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A1B1与A0B1、A0B0的预定比较；表达实现、负担及求助。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用户只是搬运预制素材，个性在哪里？</w:t>
            </w:r>
          </w:p>
        </w:tc>
        <w:tc>
          <w:tcPr>
            <w:tcW w:type="dxa" w:w="43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个性可能来自选择、取舍与关系组织，也可能被有限库限制；论文不预设所有组合都具有独创性。</w:t>
            </w:r>
          </w:p>
        </w:tc>
        <w:tc>
          <w:tcPr>
            <w:tcW w:type="dxa" w:w="28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意图贴合、同任务不同决定的案例及无法表达的反例。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系统画得漂亮，为什么算用户受益？</w:t>
            </w:r>
          </w:p>
        </w:tc>
        <w:tc>
          <w:tcPr>
            <w:tcW w:type="dxa" w:w="43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作品视觉质量与用户表达实现分开评价。成品漂亮但不符合意图，不能支持核心目标。</w:t>
            </w:r>
          </w:p>
        </w:tc>
        <w:tc>
          <w:tcPr>
            <w:tcW w:type="dxa" w:w="28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意图对应评分与用户回顾，视觉协调只作辅助证据。</w:t>
            </w:r>
          </w:p>
        </w:tc>
      </w:tr>
      <w:tr>
        <w:trPr>
          <w:cantSplit/>
        </w:trPr>
        <w:tc>
          <w:tcPr>
            <w:tcW w:type="dxa" w:w="20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为什么仍称AI？</w:t>
            </w:r>
          </w:p>
        </w:tc>
        <w:tc>
          <w:tcPr>
            <w:tcW w:type="dxa" w:w="43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界面使用AI共创称谓；论文明确技术是本地非学习式笔触计算，主张不依赖拟人化称呼。</w:t>
            </w:r>
          </w:p>
        </w:tc>
        <w:tc>
          <w:tcPr>
            <w:tcW w:type="dxa" w:w="28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算法来源与实现说明；不提出语义理解、自主构思或艺术判断能力。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>
        <w:pStyle w:val="Heading2"/>
      </w:pPr>
      <w:r>
        <w:t>6  可用于正文的设计立场</w:t>
      </w:r>
    </w:p>
    <w:p>
      <w:pPr/>
      <w:r>
        <w:t>本研究并不以用户是否亲手完成每一笔作为参与创作的唯一标准，而关注其能否对画面内容和关系作出具有后果的决定。对于手绘执行尚不熟练的用户，素材编排提供了组织意图的可操作对象，笔触计算则承担将目标转为绘画表现的执行工作。两者的结合，使用户有机会在不逐笔描画的条件下参与画面形成，并根据中间结果继续判断和补充。该方案的合理性最终取决于表达意图的落实程度、用户对自身决定的认同以及完成任务所需的负担，而不是系统自动绘制的数量或画面的表面完成度。</w:t>
      </w:r>
    </w:p>
    <w:p>
      <w:pPr>
        <w:pStyle w:val="Heading1"/>
      </w:pPr>
      <w:r>
        <w:t>五  逐章标题与写作安排</w:t>
      </w:r>
    </w:p>
    <w:p>
      <w:pPr>
        <w:pStyle w:val="Heading2"/>
      </w:pPr>
      <w:r>
        <w:t>第一章 绪论  4,500字</w:t>
      </w:r>
    </w:p>
    <w:p>
      <w:pPr/>
      <w:r>
        <w:t>本章任务：提出表达支持问题，公平说明现有工作的进展，再确定本文可承担的研究承诺。保持参考论文“课题背景—研究现状—目的与意义—方法与框架”的结构[23]。</w:t>
      </w:r>
    </w:p>
    <w:p>
      <w:pPr>
        <w:pStyle w:val="Heading3"/>
      </w:pPr>
      <w:r>
        <w:t>1.1 课题背景  1,100字</w:t>
      </w:r>
    </w:p>
    <w:p>
      <w:pPr>
        <w:pStyle w:val="PlanDetail"/>
      </w:pPr>
      <w:r>
        <w:rPr>
          <w:b/>
        </w:rPr>
        <w:t>1.1.1 日常视觉表达与数字绘画的参与需求（350字）。</w:t>
      </w:r>
      <w:r>
        <w:t>从生活记录、情绪表达与经验重组切入。区分想得到一张图与想参与画面形成两类诉求，以创造力支持研究及真实材料展开，不以宏观数字化趋势代替用户证据[1][5]。</w:t>
      </w:r>
    </w:p>
    <w:p>
      <w:pPr>
        <w:pStyle w:val="PlanDetail"/>
      </w:pPr>
      <w:r>
        <w:rPr>
          <w:b/>
        </w:rPr>
        <w:t>1.1.2 绘画初学者表达中的执行阻力（400字）。</w:t>
      </w:r>
      <w:r>
        <w:t>界定构思、造型运笔、工具操作三类困难，说明本文主要回应后两者与表达决策之间的关系。提出目标用户的待核查条件，不把没有专业训练等同于没有审美判断。</w:t>
      </w:r>
    </w:p>
    <w:p>
      <w:pPr>
        <w:pStyle w:val="PlanDetail"/>
      </w:pPr>
      <w:r>
        <w:rPr>
          <w:b/>
        </w:rPr>
        <w:t>1.1.3 笔触拆解计算的表达支持潜力（350字）。</w:t>
      </w:r>
      <w:r>
        <w:t>说明图像可转为具有位置、方向、尺度和颜色的笔触序列[2][3]。技术潜力在于承接落笔并呈现形成过程；它是否成为创作支持，取决于用户可以决定和改变什么。</w:t>
      </w:r>
    </w:p>
    <w:p>
      <w:pPr>
        <w:pStyle w:val="Heading3"/>
      </w:pPr>
      <w:r>
        <w:t>1.2 研究现状  1,800字</w:t>
      </w:r>
    </w:p>
    <w:p>
      <w:pPr>
        <w:pStyle w:val="PlanDetail"/>
      </w:pPr>
      <w:r>
        <w:rPr>
          <w:b/>
        </w:rPr>
        <w:t>1.2.1 面向初学者的数字绘画与表达支持（550字）。</w:t>
      </w:r>
      <w:r>
        <w:t>比较普通画布、动态参照、素材拼贴和创意支持工具，按表达决定、执行要求及反馈方式归纳[1][4]。承认替代工具已有价值，明确本文关注照片基础上的图像表达。</w:t>
      </w:r>
    </w:p>
    <w:p>
      <w:pPr>
        <w:pStyle w:val="PlanDetail"/>
      </w:pPr>
      <w:r>
        <w:rPr>
          <w:b/>
        </w:rPr>
        <w:t>1.2.2 笔触计算与人机协同绘画研究（850字）。</w:t>
      </w:r>
      <w:r>
        <w:t>分述绘画式渲染的技术谱系与共创交互的参与组织[2—5][10]。前者解释怎样形成笔迹，后者解释谁在何时贡献；不要混写成线性的技术升级史。</w:t>
      </w:r>
    </w:p>
    <w:p>
      <w:pPr>
        <w:pStyle w:val="PlanDetail"/>
      </w:pPr>
      <w:r>
        <w:rPr>
          <w:b/>
        </w:rPr>
        <w:t>1.2.3 研究现状评述与本文切入点（400字）。</w:t>
      </w:r>
      <w:r>
        <w:t>以最接近研究比较得出需检验的关系：降低手绘执行要求时，素材布局决定能否保留并转化为表达结果。避免“现有研究均未考虑用户”或“填补国内空白”等无法由定向检索证明的断言。</w:t>
      </w:r>
    </w:p>
    <w:p>
      <w:pPr>
        <w:pStyle w:val="Heading3"/>
      </w:pPr>
      <w:r>
        <w:t>1.3 研究目的与意义  800字</w:t>
      </w:r>
    </w:p>
    <w:p>
      <w:pPr>
        <w:pStyle w:val="PlanDetail"/>
      </w:pPr>
      <w:r>
        <w:rPr>
          <w:b/>
        </w:rPr>
        <w:t>1.3.1 研究目的与研究问题（450字）。</w:t>
      </w:r>
      <w:r>
        <w:t>写入本蓝图的RQ1—RQ3，明确自动辅助、编排及交互是RQ3的子问题。将观察中发展想法作为过程研究内容，不另加第三个实验因素。</w:t>
      </w:r>
    </w:p>
    <w:p>
      <w:pPr>
        <w:pStyle w:val="PlanDetail"/>
      </w:pPr>
      <w:r>
        <w:rPr>
          <w:b/>
        </w:rPr>
        <w:t>1.3.2 研究意义与贡献范围（350字）。</w:t>
      </w:r>
      <w:r>
        <w:t>阐明从执行支持转向可参与的表达支持，对设计学的交互知识和艺术实践的参与方式各有什么意义。算法适配服务设计，作品评价服务表达，不主张普遍提升绘画技能或一般创造力。</w:t>
      </w:r>
    </w:p>
    <w:p>
      <w:pPr>
        <w:pStyle w:val="Heading3"/>
      </w:pPr>
      <w:r>
        <w:t>1.4 研究方法与框架  800字</w:t>
      </w:r>
    </w:p>
    <w:p>
      <w:pPr>
        <w:pStyle w:val="PlanDetail"/>
      </w:pPr>
      <w:r>
        <w:rPr>
          <w:b/>
        </w:rPr>
        <w:t>1.4.1 研究方法与证据分工（450字）。</w:t>
      </w:r>
      <w:r>
        <w:t>说明文献研究、需求核查、案例走查、设计案例分析、工程对照和2×2评价的不同用途。参考通过设计开展研究的思路[9]，保留真实迭代时间，说明既有产品与后续验证的关系。</w:t>
      </w:r>
    </w:p>
    <w:p>
      <w:pPr>
        <w:pStyle w:val="PlanDetail"/>
      </w:pPr>
      <w:r>
        <w:rPr>
          <w:b/>
        </w:rPr>
        <w:t>1.4.2 研究框架与章节安排（350字）。</w:t>
      </w:r>
      <w:r>
        <w:t>用一张图标出各章的输入和输出；定义核心术语。说明正文共六章，评价单列第五章以完整回应中期对平行任务、评分、伦理与负担的要求。</w:t>
      </w:r>
    </w:p>
    <w:p>
      <w:pPr/>
      <w:r>
        <w:t>图表与证据：工具支持方式比较表、研究范围图及全文框架图。第一章不提前放正式实验结论，也不把产品介绍当作背景综述。</w:t>
      </w:r>
    </w:p>
    <w:p>
      <w:pPr/>
      <w:r>
        <w:t>与下一章的衔接：“上述研究提示，执行支持与用户参与需要同时考虑，但其重要性取决于具体用户与任务。下一章因此从初学者自己的创作经历和操作过程出发，核查本文所讨论的表达需要与阻力。”</w:t>
      </w:r>
    </w:p>
    <w:p>
      <w:pPr>
        <w:pStyle w:val="Heading2"/>
      </w:pPr>
      <w:r>
        <w:t>第二章 绘画初学者的表达需求与创作阻力研究  6,500字</w:t>
      </w:r>
    </w:p>
    <w:p>
      <w:pPr/>
      <w:r>
        <w:t>本章任务：回答RQ1，形成可追溯的需求，不在此章重复第三章的完整理论或原则。产品已定稿不意味着需求已经得到实证确认。</w:t>
      </w:r>
    </w:p>
    <w:p>
      <w:pPr>
        <w:pStyle w:val="Heading3"/>
      </w:pPr>
      <w:r>
        <w:t>2.1 研究对象与需求核查方法  1,400字</w:t>
      </w:r>
    </w:p>
    <w:p>
      <w:pPr>
        <w:pStyle w:val="PlanDetail"/>
      </w:pPr>
      <w:r>
        <w:rPr>
          <w:b/>
        </w:rPr>
        <w:t>2.1.1 目标用户与表达场景（400字）。</w:t>
      </w:r>
      <w:r>
        <w:t>明确成年人、非专业绘画经历、当前熟练度与表达愿望的招募口径；记录数字工具经验，避免仅用自称新手筛选。不要先筛出只喜欢本产品的人。</w:t>
      </w:r>
    </w:p>
    <w:p>
      <w:pPr>
        <w:pStyle w:val="PlanDetail"/>
      </w:pPr>
      <w:r>
        <w:rPr>
          <w:b/>
        </w:rPr>
        <w:t>2.1.2 访谈与任务观察设计（650字）。</w:t>
      </w:r>
      <w:r>
        <w:t>先问近期真实表达经历及已有替代方法，再做普通画布开放表达任务；记录意图、卡点、求助和放弃原因。后展示产品的段落与先前需求材料分开，降低功能暗示。</w:t>
      </w:r>
    </w:p>
    <w:p>
      <w:pPr>
        <w:pStyle w:val="PlanDetail"/>
      </w:pPr>
      <w:r>
        <w:rPr>
          <w:b/>
        </w:rPr>
        <w:t>2.1.3 资料分析与研究伦理（350字）。</w:t>
      </w:r>
      <w:r>
        <w:t>交代转写、编码、主题形成及反例处理。采用何种主题分析要前后一致；样本量、日期、同意与审批据实填写，不用自动生成的画像替代资料。</w:t>
      </w:r>
    </w:p>
    <w:p>
      <w:pPr>
        <w:pStyle w:val="Heading3"/>
      </w:pPr>
      <w:r>
        <w:t>2.2 表达需求与绘画阻力的分析  2,500字</w:t>
      </w:r>
    </w:p>
    <w:p>
      <w:pPr>
        <w:pStyle w:val="PlanDetail"/>
      </w:pPr>
      <w:r>
        <w:rPr>
          <w:b/>
        </w:rPr>
        <w:t>2.2.1 表达动机与希望保留的创作决定（800字）。</w:t>
      </w:r>
      <w:r>
        <w:t>依据实际材料区分记录、抒情、装饰和再解释等需要；识别题材、构图、色彩与完成判断中用户重视的选择。不要把所有人组织为同一条理想旅程。</w:t>
      </w:r>
    </w:p>
    <w:p>
      <w:pPr>
        <w:pStyle w:val="PlanDetail"/>
      </w:pPr>
      <w:r>
        <w:rPr>
          <w:b/>
        </w:rPr>
        <w:t>2.2.2 从想法到笔迹的阻力及其差异（950字）。</w:t>
      </w:r>
      <w:r>
        <w:t>以连续行为片段解释造型、运笔、操作理解和效果判断困难。将执行失败与主动探索分开编码，并展示熟练度、设备和任务造成的差异。</w:t>
      </w:r>
    </w:p>
    <w:p>
      <w:pPr>
        <w:pStyle w:val="PlanDetail"/>
      </w:pPr>
      <w:r>
        <w:rPr>
          <w:b/>
        </w:rPr>
        <w:t>2.2.3 自动辅助的接受范围与替代方案（750字）。</w:t>
      </w:r>
      <w:r>
        <w:t>分析哪些工作愿意交给系统、哪些代替会削弱参与感；记录照片、拼贴、模板已足够的情况。区分访谈中的期待和任务中实际表现。</w:t>
      </w:r>
    </w:p>
    <w:p>
      <w:pPr>
        <w:pStyle w:val="Heading3"/>
      </w:pPr>
      <w:r>
        <w:t>2.3 绘画产品的支持方式比较  1,300字</w:t>
      </w:r>
    </w:p>
    <w:p>
      <w:pPr>
        <w:pStyle w:val="PlanDetail"/>
      </w:pPr>
      <w:r>
        <w:rPr>
          <w:b/>
        </w:rPr>
        <w:t>2.3.1 Procreate的直接绘画与工具组织（450字）。</w:t>
      </w:r>
      <w:r>
        <w:t>按官方手册与相同任务走查分析画布、工具弹层、变换和画廊[16]。其成熟手绘生态既是参考也说明本文不是要替代专业绘画工具。</w:t>
      </w:r>
    </w:p>
    <w:p>
      <w:pPr>
        <w:pStyle w:val="PlanDetail"/>
      </w:pPr>
      <w:r>
        <w:rPr>
          <w:b/>
        </w:rPr>
        <w:t>2.3.2 Feather的画布优先与情境操作（400字）。</w:t>
      </w:r>
      <w:r>
        <w:t>分析工具靠边、面板按需出现与作品管理[17]；限定三维绘画向二维网页迁移的范围。形式借鉴不能证明本项目更易用。</w:t>
      </w:r>
    </w:p>
    <w:p>
      <w:pPr>
        <w:pStyle w:val="PlanDetail"/>
      </w:pPr>
      <w:r>
        <w:rPr>
          <w:b/>
        </w:rPr>
        <w:t>2.3.3 素材拼贴与自动转绘的支持边界（450字）。</w:t>
      </w:r>
      <w:r>
        <w:t>用选定版本的实际操作比较内容复用、布局自由、成品控制和过程介入。画世界如保留为案例，先补版本与一手资料；未核验的功能不列入结论。</w:t>
      </w:r>
    </w:p>
    <w:p>
      <w:pPr>
        <w:pStyle w:val="Heading3"/>
      </w:pPr>
      <w:r>
        <w:t>2.4 用户需求与评价要求  1,300字</w:t>
      </w:r>
    </w:p>
    <w:p>
      <w:pPr>
        <w:pStyle w:val="PlanDetail"/>
      </w:pPr>
      <w:r>
        <w:rPr>
          <w:b/>
        </w:rPr>
        <w:t>2.4.1 需求归纳与证据强弱（500字）。</w:t>
      </w:r>
      <w:r>
        <w:t>按表达决定、执行支持、过程理解、继续介入四类整理证据，每条需求对应来源和反例。区分实地发现、文献启发与设计者假设，不靠出现次数直接决定重要性。</w:t>
      </w:r>
    </w:p>
    <w:p>
      <w:pPr>
        <w:pStyle w:val="PlanDetail"/>
      </w:pPr>
      <w:r>
        <w:rPr>
          <w:b/>
        </w:rPr>
        <w:t>2.4.2 需求向设计要求及评价要求的转化（550字）。</w:t>
      </w:r>
      <w:r>
        <w:t>将需求转成可观察要求：能调整位置关系、能辨认预览与已落笔、能说明何时求助等。列出表达实现、感知选择及负担的测量需求，暂不规定每个UI形状。</w:t>
      </w:r>
    </w:p>
    <w:p>
      <w:pPr>
        <w:pStyle w:val="PlanDetail"/>
      </w:pPr>
      <w:r>
        <w:rPr>
          <w:b/>
        </w:rPr>
        <w:t>2.4.3 本章小结（250字）。</w:t>
      </w:r>
      <w:r>
        <w:t>明确适用人群、问题优先级与未覆盖需求；不在此处宣布产品已经有效。</w:t>
      </w:r>
    </w:p>
    <w:p>
      <w:pPr/>
      <w:r>
        <w:t>图表与证据：招募与研究时序表、匿名观察片段、需求编码表、表达旅程、案例比较矩阵及需求—评价要求表。没有原始材料时先写方法，结果节保留为写作计划。</w:t>
      </w:r>
    </w:p>
    <w:p>
      <w:pPr/>
      <w:r>
        <w:t>与下一章的衔接：“本章识别的是用户需要保留哪些决定，以及表达在哪些环节受阻。下一章将结合认知与动机理论解释这些要求，并界定它们转化为交互原则的条件。”</w:t>
      </w:r>
    </w:p>
    <w:p>
      <w:pPr>
        <w:pStyle w:val="Heading2"/>
      </w:pPr>
      <w:r>
        <w:t>第三章 面向表达支持的协同绘画理论与交互设计原则  8,000字</w:t>
      </w:r>
    </w:p>
    <w:p>
      <w:pPr/>
      <w:r>
        <w:t>本章任务：回答RQ2的解释层。采用外部认知、反思性设计与自我决定三条主线，交互框架和视觉规范各司其职；文献概念通过迁移推理进入设计，不能直接跳到效果结论。</w:t>
      </w:r>
    </w:p>
    <w:p>
      <w:pPr>
        <w:pStyle w:val="Heading3"/>
      </w:pPr>
      <w:r>
        <w:t>3.1 外部认知与素材编排  1,500字</w:t>
      </w:r>
    </w:p>
    <w:p>
      <w:pPr>
        <w:pStyle w:val="PlanDetail"/>
      </w:pPr>
      <w:r>
        <w:rPr>
          <w:b/>
        </w:rPr>
        <w:t>3.1.1 外部表征参与构思的理论依据（500字）。</w:t>
      </w:r>
      <w:r>
        <w:t>解释内部想法与外部可见图形的相互作用[6]，介绍原研究问题和适用条件。不要将认知卸载、自动绘制与图形美化混为一谈。</w:t>
      </w:r>
    </w:p>
    <w:p>
      <w:pPr>
        <w:pStyle w:val="PlanDetail"/>
      </w:pPr>
      <w:r>
        <w:rPr>
          <w:b/>
        </w:rPr>
        <w:t>3.1.2 空间操作与表达关系的形成（600字）。</w:t>
      </w:r>
      <w:r>
        <w:t>分析移动、缩放、旋转和并置如何使位置、主次与疏密可被比较。用本项目可操作对象举例，指出素材有限或预览失真时可能反而增加构思成本。</w:t>
      </w:r>
    </w:p>
    <w:p>
      <w:pPr>
        <w:pStyle w:val="PlanDetail"/>
      </w:pPr>
      <w:r>
        <w:rPr>
          <w:b/>
        </w:rPr>
        <w:t>3.1.3 素材编排的设计命题与验证边界（400字）。</w:t>
      </w:r>
      <w:r>
        <w:t>提出编排有望帮助落实内容和关系的命题；RQ3b检验支持模块效果，操作回顾补充解释。即使效果显著，也不直接证明认知卸载这一中介机制。</w:t>
      </w:r>
    </w:p>
    <w:p>
      <w:pPr>
        <w:pStyle w:val="Heading3"/>
      </w:pPr>
      <w:r>
        <w:t>3.2 反思性设计与渐进画面反馈  1,400字</w:t>
      </w:r>
    </w:p>
    <w:p>
      <w:pPr>
        <w:pStyle w:val="PlanDetail"/>
      </w:pPr>
      <w:r>
        <w:rPr>
          <w:b/>
        </w:rPr>
        <w:t>3.2.1 观看与行动的相互作用（500字）。</w:t>
      </w:r>
      <w:r>
        <w:t>依据Schön与Wiggins关于设计中观看的讨论[7]解释画面反馈的作用；原文全文尚需细读时，不擅自加入未读实验细节。</w:t>
      </w:r>
    </w:p>
    <w:p>
      <w:pPr>
        <w:pStyle w:val="PlanDetail"/>
      </w:pPr>
      <w:r>
        <w:rPr>
          <w:b/>
        </w:rPr>
        <w:t>3.2.2 中间画面与表达意图的发展（500字）。</w:t>
      </w:r>
      <w:r>
        <w:t>将看见关系、作出判断、改变意图与继续操作分开，提出可从录像回顾识别的过程单元。区分新想法、按原计划推进和修正系统错误。</w:t>
      </w:r>
    </w:p>
    <w:p>
      <w:pPr>
        <w:pStyle w:val="PlanDetail"/>
      </w:pPr>
      <w:r>
        <w:rPr>
          <w:b/>
        </w:rPr>
        <w:t>3.2.3 持续介入的条件及节奏取舍（400字）。</w:t>
      </w:r>
      <w:r>
        <w:t>讨论可见反馈与可行动入口必须配合；过慢增加等待，过快可能失去判断机会。动效是实现条件，2×2未独立操纵动效，因此只作过程解释。</w:t>
      </w:r>
    </w:p>
    <w:p>
      <w:pPr>
        <w:pStyle w:val="Heading3"/>
      </w:pPr>
      <w:r>
        <w:t>3.3 自我决定与自动辅助中的自主体验  1,400字</w:t>
      </w:r>
    </w:p>
    <w:p>
      <w:pPr>
        <w:pStyle w:val="PlanDetail"/>
      </w:pPr>
      <w:r>
        <w:rPr>
          <w:b/>
        </w:rPr>
        <w:t>3.3.1 自主性与胜任感的概念（450字）。</w:t>
      </w:r>
      <w:r>
        <w:t>依据自我决定理论[8]解释自愿选择与感到能够影响结果的区别。自动执行不必然削弱自主性，亲手完成每笔也不等于感到自主。</w:t>
      </w:r>
    </w:p>
    <w:p>
      <w:pPr>
        <w:pStyle w:val="PlanDetail"/>
      </w:pPr>
      <w:r>
        <w:rPr>
          <w:b/>
        </w:rPr>
        <w:t>3.3.2 执行分工与用户贡献的辨认（550字）。</w:t>
      </w:r>
      <w:r>
        <w:t>分析系统承接落笔与用户保留主题、布局、采用和结束判断的关系。提出辅助也可能导致旁观感的相反路径，使研究具备可证伪性。</w:t>
      </w:r>
    </w:p>
    <w:p>
      <w:pPr>
        <w:pStyle w:val="PlanDetail"/>
      </w:pPr>
      <w:r>
        <w:rPr>
          <w:b/>
        </w:rPr>
        <w:t>3.3.3 主观体验与测量概念的对应（400字）。</w:t>
      </w:r>
      <w:r>
        <w:t>以IMI感知选择作为自主体验的一个指标，以兴趣、能力、压力补充[11]；作品归属用访谈探索。感知选择不是完整主体性，能力感也不是技能测试。</w:t>
      </w:r>
    </w:p>
    <w:p>
      <w:pPr>
        <w:pStyle w:val="Heading3"/>
      </w:pPr>
      <w:r>
        <w:t>3.4 人机分工与协作过程的交互框架  1,000字</w:t>
      </w:r>
    </w:p>
    <w:p>
      <w:pPr>
        <w:pStyle w:val="PlanDetail"/>
      </w:pPr>
      <w:r>
        <w:rPr>
          <w:b/>
        </w:rPr>
        <w:t>3.4.1 贡献类型与控制交接（500字）。</w:t>
      </w:r>
      <w:r>
        <w:t>采用COFI的贡献、轮次与通信视角[10]分析用户和系统的行动。系统负责程序化执行，不能因“共创”称谓就赋予其自主构思能力。</w:t>
      </w:r>
    </w:p>
    <w:p>
      <w:pPr>
        <w:pStyle w:val="PlanDetail"/>
      </w:pPr>
      <w:r>
        <w:rPr>
          <w:b/>
        </w:rPr>
        <w:t>3.4.2 用户主导的协同绘画模型（500字）。</w:t>
      </w:r>
      <w:r>
        <w:t>构建意图、编排目标、当前成画、反馈及再次介入的关系图。明确预览对象和已确认像素不是同一种可编辑对象，为第四章状态说明提供框架。</w:t>
      </w:r>
    </w:p>
    <w:p>
      <w:pPr>
        <w:pStyle w:val="Heading3"/>
      </w:pPr>
      <w:r>
        <w:t>3.5 视觉组织与界面规范的依据  900字</w:t>
      </w:r>
    </w:p>
    <w:p>
      <w:pPr>
        <w:pStyle w:val="PlanDetail"/>
      </w:pPr>
      <w:r>
        <w:rPr>
          <w:b/>
        </w:rPr>
        <w:t>3.5.1 知觉分组与画布层级（300字）。</w:t>
      </w:r>
      <w:r>
        <w:t>借助图底与知觉分组研究[18]说明工具、面板和作品的分离；不从理论推导紫色或某个圆角必然最佳。</w:t>
      </w:r>
    </w:p>
    <w:p>
      <w:pPr>
        <w:pStyle w:val="PlanDetail"/>
      </w:pPr>
      <w:r>
        <w:rPr>
          <w:b/>
        </w:rPr>
        <w:t>3.5.2 一致性与可访问性的规范依据（350字）。</w:t>
      </w:r>
      <w:r>
        <w:t>依据WCAG及官方设计指南[19][20]界定对比、状态辨识、触控和排版要求；标准给出约束，品牌与布局由设计决定。</w:t>
      </w:r>
    </w:p>
    <w:p>
      <w:pPr>
        <w:pStyle w:val="PlanDetail"/>
      </w:pPr>
      <w:r>
        <w:rPr>
          <w:b/>
        </w:rPr>
        <w:t>3.5.3 绘画产品案例的迁移条件（250字）。</w:t>
      </w:r>
      <w:r>
        <w:t>将Procreate和Feather作为实践参照[16][17]，说明为何使用边缘工具与按需面板，以及网页和移动端的空间限制。</w:t>
      </w:r>
    </w:p>
    <w:p>
      <w:pPr>
        <w:pStyle w:val="Heading3"/>
      </w:pPr>
      <w:r>
        <w:t>3.6 设计原则与表达要素映射  1,800字</w:t>
      </w:r>
    </w:p>
    <w:p>
      <w:pPr>
        <w:pStyle w:val="PlanDetail"/>
      </w:pPr>
      <w:r>
        <w:rPr>
          <w:b/>
        </w:rPr>
        <w:t>3.6.1 面向表达支持的六项交互原则（700字）。</w:t>
      </w:r>
      <w:r>
        <w:t>统一提出P1表达决定可操作、P2执行支持可理解、P3过程反馈可辨认、P4创作介入可持续、P5操作后果可预期、P6工具视觉适度退让。每项关联第二章需求和上述理论，不称为已验证定律。</w:t>
      </w:r>
    </w:p>
    <w:p>
      <w:pPr>
        <w:pStyle w:val="PlanDetail"/>
      </w:pPr>
      <w:r>
        <w:rPr>
          <w:b/>
        </w:rPr>
        <w:t>3.6.2 内容与构图向操作的映射（450字）。</w:t>
      </w:r>
      <w:r>
        <w:t>将内容、位置、尺度、方向、主次与疏密映射至素材选择和空间变换；同一操作允许多种审美意图，不给颜色或位置设唯一情绪答案。</w:t>
      </w:r>
    </w:p>
    <w:p>
      <w:pPr>
        <w:pStyle w:val="PlanDetail"/>
      </w:pPr>
      <w:r>
        <w:rPr>
          <w:b/>
        </w:rPr>
        <w:t>3.6.3 笔触与反馈向评价的映射（400字）。</w:t>
      </w:r>
      <w:r>
        <w:t>将自动执行、预览成画差异、局部优先续绘和节奏控制对应到表达落实、状态理解及操作困难。星月角色用于说明分工，效果单独保留为探索性解释。</w:t>
      </w:r>
    </w:p>
    <w:p>
      <w:pPr>
        <w:pStyle w:val="PlanDetail"/>
      </w:pPr>
      <w:r>
        <w:rPr>
          <w:b/>
        </w:rPr>
        <w:t>3.6.4 本章小结（250字）。</w:t>
      </w:r>
      <w:r>
        <w:t>汇总可检验命题、未检验机制与实现约束；将原则编号交给第四章，不重复所有文献。</w:t>
      </w:r>
    </w:p>
    <w:p>
      <w:pPr/>
      <w:r>
        <w:t>图表与证据：理论角色图、原研究与迁移条件表、统一原则矩阵、表达要素映射图、设计命题与测量对照表。每条核心理论至少有可定位的原文依据。</w:t>
      </w:r>
    </w:p>
    <w:p>
      <w:pPr/>
      <w:r>
        <w:t>与下一章的衔接：“上述原则规定了应保留的用户决定、系统执行边界及反馈方式。第四章将把这些原则落到具体页面、操作和笔触响应，并说明实现中的取舍。”</w:t>
      </w:r>
    </w:p>
    <w:p>
      <w:pPr>
        <w:pStyle w:val="Heading2"/>
      </w:pPr>
      <w:r>
        <w:t>第四章 星迹智绘的交互机制与视觉设计实践  13,500字</w:t>
      </w:r>
    </w:p>
    <w:p>
      <w:pPr/>
      <w:r>
        <w:t>本章任务：回答RQ2的实现层。以关键创作决定为组织单位，说明为何这样设计、用户怎样行动、系统怎样回应、哪里会失败。避免按前端组件或页面截图顺序写成软件说明书。</w:t>
      </w:r>
    </w:p>
    <w:p>
      <w:pPr>
        <w:pStyle w:val="Heading3"/>
      </w:pPr>
      <w:r>
        <w:t>4.1 设计定位与方案形成  1,400字</w:t>
      </w:r>
    </w:p>
    <w:p>
      <w:pPr>
        <w:pStyle w:val="PlanDetail"/>
      </w:pPr>
      <w:r>
        <w:rPr>
          <w:b/>
        </w:rPr>
        <w:t>4.1.1 设计目标与约束（400字）。</w:t>
      </w:r>
      <w:r>
        <w:t>首先解释用户组织表达、系统承担笔迹执行的设计理由，明确共创不要求手绘。承接需求与P1—P6，说明照片起点、轻量运行与有限素材的约束；实验适配独立管理。</w:t>
      </w:r>
    </w:p>
    <w:p>
      <w:pPr>
        <w:pStyle w:val="PlanDetail"/>
      </w:pPr>
      <w:r>
        <w:rPr>
          <w:b/>
        </w:rPr>
        <w:t>4.1.2 从笔触跟随到表达支持的演变（600字）。</w:t>
      </w:r>
      <w:r>
        <w:t>按真实版本说明中期反馈如何改变研究目标与产品。保留被放弃的千笔跟随逻辑及其问题，不把后来补做的需求核查冒写成最早设计原因。</w:t>
      </w:r>
    </w:p>
    <w:p>
      <w:pPr>
        <w:pStyle w:val="PlanDetail"/>
      </w:pPr>
      <w:r>
        <w:rPr>
          <w:b/>
        </w:rPr>
        <w:t>4.1.3 信息架构与创作闭环（400字）。</w:t>
      </w:r>
      <w:r>
        <w:t>交代作品工作台、创建、共创、自由画布、保存与回看。区分公开产品与研究工作台，避免功能数量成为贡献论据。</w:t>
      </w:r>
    </w:p>
    <w:p>
      <w:pPr>
        <w:pStyle w:val="Heading3"/>
      </w:pPr>
      <w:r>
        <w:t>4.2 表达决定与创作过程的交互设计  3,100字</w:t>
      </w:r>
    </w:p>
    <w:p>
      <w:pPr>
        <w:pStyle w:val="PlanDetail"/>
      </w:pPr>
      <w:r>
        <w:rPr>
          <w:b/>
        </w:rPr>
        <w:t>4.2.1 照片起点与两条创作路径（550字）。</w:t>
      </w:r>
      <w:r>
        <w:t>说明共创须上传照片、移动端相机及自由画布空白起点；从用户任务解释路径差异。照片提供内容起点，也可能造成构图固着，作为设计代价说明。</w:t>
      </w:r>
    </w:p>
    <w:p>
      <w:pPr>
        <w:pStyle w:val="PlanDetail"/>
      </w:pPr>
      <w:r>
        <w:rPr>
          <w:b/>
        </w:rPr>
        <w:t>4.2.2 素材查找与连续加入（650字）。</w:t>
      </w:r>
      <w:r>
        <w:t>展示分类、搜索、最近与收藏、重复实例与拖入。当前只有花、云、太阳三类母题及变体；说明有限库的设计边界，不写“丰富素材覆盖各类表达”。</w:t>
      </w:r>
    </w:p>
    <w:p>
      <w:pPr>
        <w:pStyle w:val="PlanDetail"/>
      </w:pPr>
      <w:r>
        <w:rPr>
          <w:b/>
        </w:rPr>
        <w:t>4.2.3 布局操作与表达关系的外化（700字）。</w:t>
      </w:r>
      <w:r>
        <w:t>用同一素材的移动、等比缩放、旋转、复制和删除序列，解释位置、尺度与方向决定。将待确认预览与成品层分开标注，不用静态截图代替操作逻辑。</w:t>
      </w:r>
    </w:p>
    <w:p>
      <w:pPr>
        <w:pStyle w:val="PlanDetail"/>
      </w:pPr>
      <w:r>
        <w:rPr>
          <w:b/>
        </w:rPr>
        <w:t>4.2.4 确认转绘与持续介入（800字）。</w:t>
      </w:r>
      <w:r>
        <w:t>展示待确认对象、隐藏目标图与当前成画三者关系。确认后对象变成目标像素，再由自动笔触续绘；已确认素材不能重新独立选中。说明继续加入如何保留并改变现有画面。</w:t>
      </w:r>
    </w:p>
    <w:p>
      <w:pPr>
        <w:pStyle w:val="PlanDetail"/>
      </w:pPr>
      <w:r>
        <w:rPr>
          <w:b/>
        </w:rPr>
        <w:t>4.2.5 重制与作品保存的边界（400字）。</w:t>
      </w:r>
      <w:r>
        <w:t>按实际版本区分待确认布局回退、自由画布撤销、共创已落笔不可逆和重制。保存的是位图与画廊记录，不是可恢复工程；不新增撤销或恢复功能。</w:t>
      </w:r>
    </w:p>
    <w:p>
      <w:pPr>
        <w:pStyle w:val="Heading3"/>
      </w:pPr>
      <w:r>
        <w:t>4.3 笔触拆解计算的交互适配  2,800字</w:t>
      </w:r>
    </w:p>
    <w:p>
      <w:pPr>
        <w:pStyle w:val="PlanDetail"/>
      </w:pPr>
      <w:r>
        <w:rPr>
          <w:b/>
        </w:rPr>
        <w:t>4.3.1 算法谱系与项目改造范围（600字）。</w:t>
      </w:r>
      <w:r>
        <w:t>分别交代经典方法[2][3]、项目旧实现和当前实现。说明借鉴的多尺度曲线思想，以及面向可介入绘制的组合、参数和执行流程改造。</w:t>
      </w:r>
    </w:p>
    <w:p>
      <w:pPr>
        <w:pStyle w:val="PlanDetail"/>
      </w:pPr>
      <w:r>
        <w:rPr>
          <w:b/>
        </w:rPr>
        <w:t>4.3.2 笔触路径及空间覆盖的调整（750字）。</w:t>
      </w:r>
      <w:r>
        <w:t>按源码解释方向估计、路径延伸、停止条件、长度宽度及端部变化。用局部对照图指出这些改动怎样影响可读笔迹，而不将曲线笔触本身称为原创算法。</w:t>
      </w:r>
    </w:p>
    <w:p>
      <w:pPr>
        <w:pStyle w:val="PlanDetail"/>
      </w:pPr>
      <w:r>
        <w:rPr>
          <w:b/>
        </w:rPr>
        <w:t>4.3.3 素材融合与局部优先续绘（750字）。</w:t>
      </w:r>
      <w:r>
        <w:t>说明邻近颜色协调、边缘柔化、目标更新与误差驱动的后续笔触。局部权重优先不等于区域外不变；此处是像素及程序化处理，不是语义场景融合。</w:t>
      </w:r>
    </w:p>
    <w:p>
      <w:pPr>
        <w:pStyle w:val="PlanDetail"/>
      </w:pPr>
      <w:r>
        <w:rPr>
          <w:b/>
        </w:rPr>
        <w:t>4.3.4 笔触预算与运行节奏（700字）。</w:t>
      </w:r>
      <w:r>
        <w:t>明确约2000为每轮规划预算上限，实际输出可能更少，多轮总数可超过2000。报告计算与播放的独立耗时、设备和分辨率；光速的短播放不等于端到端必在10秒内完成。</w:t>
      </w:r>
    </w:p>
    <w:p>
      <w:pPr>
        <w:pStyle w:val="Heading3"/>
      </w:pPr>
      <w:r>
        <w:t>4.4 过程反馈与星月叙事  1,800字</w:t>
      </w:r>
    </w:p>
    <w:p>
      <w:pPr>
        <w:pStyle w:val="PlanDetail"/>
      </w:pPr>
      <w:r>
        <w:rPr>
          <w:b/>
        </w:rPr>
        <w:t>4.4.1 画笔运动与笔迹生成的同步（650字）。</w:t>
      </w:r>
      <w:r>
        <w:t>以关键帧显示正在绘制的一笔、画笔位置和约3秒消退的临时丝纹。解释反馈意图及遮挡风险，丝纹不进入保存的作品像素。</w:t>
      </w:r>
    </w:p>
    <w:p>
      <w:pPr>
        <w:pStyle w:val="PlanDetail"/>
      </w:pPr>
      <w:r>
        <w:rPr>
          <w:b/>
        </w:rPr>
        <w:t>4.4.2 绘制节奏与状态过渡（650字）。</w:t>
      </w:r>
      <w:r>
        <w:t>说明准备、规划、绘制、暂停、待确认与完成状态；速度改变和素材加入的触发规则。状态图标注可执行动作及不可逆边界。</w:t>
      </w:r>
    </w:p>
    <w:p>
      <w:pPr>
        <w:pStyle w:val="PlanDetail"/>
      </w:pPr>
      <w:r>
        <w:rPr>
          <w:b/>
        </w:rPr>
        <w:t>4.4.3 星月角色与入场转场（500字）。</w:t>
      </w:r>
      <w:r>
        <w:t>以星代表用户贡献、月光代表系统执行、夜空代表共同画面，说明文案、矢量图形和三类入场动画的对应。叙事与能力说明共存，不把系统写成理解情绪的伙伴。</w:t>
      </w:r>
    </w:p>
    <w:p>
      <w:pPr>
        <w:pStyle w:val="Heading3"/>
      </w:pPr>
      <w:r>
        <w:t>4.5 界面视觉规范与跨设备应用  2,600字</w:t>
      </w:r>
    </w:p>
    <w:p>
      <w:pPr>
        <w:pStyle w:val="PlanDetail"/>
      </w:pPr>
      <w:r>
        <w:rPr>
          <w:b/>
        </w:rPr>
        <w:t>4.5.1 页面尺寸与响应式空间分配（400字）。</w:t>
      </w:r>
      <w:r>
        <w:t>区分网页逻辑尺寸、测试视窗与画布像素；按源码列断点、内容宽度、侧栏和面板收缩规则，并用桌面、平板、手机图说明。</w:t>
      </w:r>
    </w:p>
    <w:p>
      <w:pPr>
        <w:pStyle w:val="PlanDetail"/>
      </w:pPr>
      <w:r>
        <w:rPr>
          <w:b/>
        </w:rPr>
        <w:t>4.5.2 色彩系统与信息层级（400字）。</w:t>
      </w:r>
      <w:r>
        <w:t>说明零饱和度灰黑表面、高饱和紫色主操作、文字与状态色。给出实际色值及对比检查，强调界面色不改变画作颜色。</w:t>
      </w:r>
    </w:p>
    <w:p>
      <w:pPr>
        <w:pStyle w:val="PlanDetail"/>
      </w:pPr>
      <w:r>
        <w:rPr>
          <w:b/>
        </w:rPr>
        <w:t>4.5.3 字体系统与阅读层级（350字）。</w:t>
      </w:r>
      <w:r>
        <w:t>列字体栈、标题、正文、按钮和辅助文字的字号、字重及行高。中文回退字体和放大后的布局需记录，不以细小文字换取精致感。</w:t>
      </w:r>
    </w:p>
    <w:p>
      <w:pPr>
        <w:pStyle w:val="PlanDetail"/>
      </w:pPr>
      <w:r>
        <w:rPr>
          <w:b/>
        </w:rPr>
        <w:t>4.5.4 圆角系统与间距规范（350字）。</w:t>
      </w:r>
      <w:r>
        <w:t>说明现有6、8、12像素层级及4、8像素间距节奏的使用范围，给出组件实例；这些是设计取值，不是理论常数。</w:t>
      </w:r>
    </w:p>
    <w:p>
      <w:pPr>
        <w:pStyle w:val="PlanDetail"/>
      </w:pPr>
      <w:r>
        <w:rPr>
          <w:b/>
        </w:rPr>
        <w:t>4.5.5 图标系统与按钮状态（450字）。</w:t>
      </w:r>
      <w:r>
        <w:t>依据图标网格与视觉重量规则[21]说明星月自绘图形和工具图标，区分图标尺寸与点击面积。覆盖默认、悬停、选中、焦点、禁用和加载状态。</w:t>
      </w:r>
    </w:p>
    <w:p>
      <w:pPr>
        <w:pStyle w:val="PlanDetail"/>
      </w:pPr>
      <w:r>
        <w:rPr>
          <w:b/>
        </w:rPr>
        <w:t>4.5.6 弹层组织与关键页面应用（400字）。</w:t>
      </w:r>
      <w:r>
        <w:t>说明高不透明度毛玻璃、关闭与焦点返回、素材面板的分类和预览关系；将规范落实到首页、创建页和画布，展示当前真实截图。</w:t>
      </w:r>
    </w:p>
    <w:p>
      <w:pPr>
        <w:pStyle w:val="PlanDetail"/>
      </w:pPr>
      <w:r>
        <w:rPr>
          <w:b/>
        </w:rPr>
        <w:t>4.5.7 可访问性检查及适配限制（250字）。</w:t>
      </w:r>
      <w:r>
        <w:t>按WCAG条目[19]报告已检查范围及未通过问题；源代码规则不等于实机通过，界面风格偏好不等于创作效果。</w:t>
      </w:r>
    </w:p>
    <w:p>
      <w:pPr>
        <w:pStyle w:val="Heading3"/>
      </w:pPr>
      <w:r>
        <w:t>4.6 设计证据与评价接口  1,800字</w:t>
      </w:r>
    </w:p>
    <w:p>
      <w:pPr>
        <w:pStyle w:val="PlanDetail"/>
      </w:pPr>
      <w:r>
        <w:rPr>
          <w:b/>
        </w:rPr>
        <w:t>4.6.1 算法效果的受控对照（650字）。</w:t>
      </w:r>
      <w:r>
        <w:t>固定输入、尺寸、预算口径及版本，呈现旧实现与当前版、局部与形成阶段、失败样例。绘画感、协调性和重建保真分开评价。</w:t>
      </w:r>
    </w:p>
    <w:p>
      <w:pPr>
        <w:pStyle w:val="PlanDetail"/>
      </w:pPr>
      <w:r>
        <w:rPr>
          <w:b/>
        </w:rPr>
        <w:t>4.6.2 设计取舍与尚存阻力（550字）。</w:t>
      </w:r>
      <w:r>
        <w:t>对照P1—P6记录证据、收益与代价，重点讨论有限素材、照片起点、确认后难改和等待。负面结果可以界定适用范围，不要求重新包装为优势。</w:t>
      </w:r>
    </w:p>
    <w:p>
      <w:pPr>
        <w:pStyle w:val="PlanDetail"/>
      </w:pPr>
      <w:r>
        <w:rPr>
          <w:b/>
        </w:rPr>
        <w:t>4.6.3 产品定稿与实验版本的区别（350字）。</w:t>
      </w:r>
      <w:r>
        <w:t>明确共创不要求手绘的设计分工；自由模式尚无实验所需的素材参考层与照片参照，须在实验程序补齐。新增实验能力不倒写为公开产品现状。</w:t>
      </w:r>
    </w:p>
    <w:p>
      <w:pPr>
        <w:pStyle w:val="PlanDetail"/>
      </w:pPr>
      <w:r>
        <w:rPr>
          <w:b/>
        </w:rPr>
        <w:t>4.6.4 本章小结（250字）。</w:t>
      </w:r>
      <w:r>
        <w:t>总结已经实现的机制与仍需用户证据的判断，明确第五章检验的两个因素。</w:t>
      </w:r>
    </w:p>
    <w:p>
      <w:pPr/>
      <w:r>
        <w:t>图表与证据：信息架构、三层画面关系图、素材完整操作序列、笔触算法来源及版本对照、局部续绘前后、画笔关键帧、七类UI规范、设计取舍与实验适配表。</w:t>
      </w:r>
    </w:p>
    <w:p>
      <w:pPr/>
      <w:r>
        <w:t>与下一章的衔接：“本章说明了设计怎样实现，但实现与视觉对照尚不能说明它是否支持初学者表达。第五章将自动笔触与素材编排分别操纵，评价其作用和组合关系。”</w:t>
      </w:r>
    </w:p>
    <w:p>
      <w:pPr>
        <w:pStyle w:val="Heading2"/>
      </w:pPr>
      <w:r>
        <w:t>第五章 协同绘画支持效果的实验评价与讨论  10,500字</w:t>
      </w:r>
    </w:p>
    <w:p>
      <w:pPr/>
      <w:r>
        <w:t>本章任务：回答RQ3，保留既定2×2，将自动辅助操作化为笔触执行方式（手动／自动），另一因素为素材编排支持（无／有）。自动条件不要求手绘。主实验检验功能模块，过程与访谈解释体验；算法效果、叙事和视觉规范不混成同一因果结论。</w:t>
      </w:r>
    </w:p>
    <w:p>
      <w:pPr>
        <w:pStyle w:val="Heading3"/>
      </w:pPr>
      <w:r>
        <w:t>5.1 研究问题与实验操作化  1,800字</w:t>
      </w:r>
    </w:p>
    <w:p>
      <w:pPr>
        <w:pStyle w:val="PlanDetail"/>
      </w:pPr>
      <w:r>
        <w:rPr>
          <w:b/>
        </w:rPr>
        <w:t>5.1.1 设计命题与预定检验（500字）。</w:t>
      </w:r>
      <w:r>
        <w:t>把RQ3a—c对应到表达实现与感知选择；直接负担为重点次要结局。方向性预期需有依据，交互作用双侧估计，不能预设组合一定最好。</w:t>
      </w:r>
    </w:p>
    <w:p>
      <w:pPr>
        <w:pStyle w:val="PlanDetail"/>
      </w:pPr>
      <w:r>
        <w:rPr>
          <w:b/>
        </w:rPr>
        <w:t>5.1.2 两个因素与四条件定义（800字）。</w:t>
      </w:r>
      <w:r>
        <w:t>明确编排是独立目标/参考层，关闭自动时需要手绘实现，开启自动时由笔触计算承接。列手动两格的手绘工具、自动两格的笔触引擎，以及共同参考、素材范围、叙事和阶段编辑政策。</w:t>
      </w:r>
    </w:p>
    <w:p>
      <w:pPr>
        <w:pStyle w:val="PlanDetail"/>
      </w:pPr>
      <w:r>
        <w:rPr>
          <w:b/>
        </w:rPr>
        <w:t>5.1.3 实验版本与变量控制（500字）。</w:t>
      </w:r>
      <w:r>
        <w:t>以统一实验工作区承载四种配置；手动两格由用户落笔，自动两格无手绘入口，编排目标独立于成品层。记录版本、功能开关及异常检测，不复用旧配对引导协议作为本轮实验。</w:t>
      </w:r>
    </w:p>
    <w:p>
      <w:pPr>
        <w:pStyle w:val="Heading3"/>
      </w:pPr>
      <w:r>
        <w:t>5.2 预试与正式协议  1,700字</w:t>
      </w:r>
    </w:p>
    <w:p>
      <w:pPr>
        <w:pStyle w:val="PlanDetail"/>
      </w:pPr>
      <w:r>
        <w:rPr>
          <w:b/>
        </w:rPr>
        <w:t>5.2.1 任务与负担的预试（600字）。</w:t>
      </w:r>
      <w:r>
        <w:t>验证四条件能被理解、两轮时间可承受、素材足以回应任务且任务不强迫用素材；分别记录计算、播放和用户活动。</w:t>
      </w:r>
    </w:p>
    <w:p>
      <w:pPr>
        <w:pStyle w:val="PlanDetail"/>
      </w:pPr>
      <w:r>
        <w:rPr>
          <w:b/>
        </w:rPr>
        <w:t>5.2.2 平行任务与测量校准（600字）。</w:t>
      </w:r>
      <w:r>
        <w:t>匹配不同照片的复杂度与表达空间，试填量表、试评作品并校准独立意图编码。避免同图记忆，预试作品不进入正式评分结果。</w:t>
      </w:r>
    </w:p>
    <w:p>
      <w:pPr>
        <w:pStyle w:val="PlanDetail"/>
      </w:pPr>
      <w:r>
        <w:rPr>
          <w:b/>
        </w:rPr>
        <w:t>5.2.3 样本规划与伦理（500字）。</w:t>
      </w:r>
      <w:r>
        <w:t>以主要交互估计所需功效或精度规划样本，并做敏感性分析。写明招募、退出、作品与照片隐私、录屏同意和实际伦理状态。</w:t>
      </w:r>
    </w:p>
    <w:p>
      <w:pPr>
        <w:pStyle w:val="Heading3"/>
      </w:pPr>
      <w:r>
        <w:t>5.3 实验流程与多源数据  1,800字</w:t>
      </w:r>
    </w:p>
    <w:p>
      <w:pPr>
        <w:pStyle w:val="PlanDetail"/>
      </w:pPr>
      <w:r>
        <w:rPr>
          <w:b/>
        </w:rPr>
        <w:t>5.3.1 分组与任务顺序（600字）。</w:t>
      </w:r>
      <w:r>
        <w:t>建议自动因素组间、编排因素组内，两轮使用不同照片，条件顺序和任务对应共同平衡；每人只完成两个条件。正式协议冻结前检查分配表。</w:t>
      </w:r>
    </w:p>
    <w:p>
      <w:pPr>
        <w:pStyle w:val="PlanDetail"/>
      </w:pPr>
      <w:r>
        <w:rPr>
          <w:b/>
        </w:rPr>
        <w:t>5.3.2 意图与创作过程记录（650字）。</w:t>
      </w:r>
      <w:r>
        <w:t>条件教学前分别记录两张任务照片的初始主题及重要内容或关系，可为保留原场景，不强制新增或固定数量；教学后另记本轮可执行计划。过程记录事件与版本，完成后补记新意图，不用事后解释改写原始目标。</w:t>
      </w:r>
    </w:p>
    <w:p>
      <w:pPr>
        <w:pStyle w:val="PlanDetail"/>
      </w:pPr>
      <w:r>
        <w:rPr>
          <w:b/>
        </w:rPr>
        <w:t>5.3.3 问卷与回顾访谈（550字）。</w:t>
      </w:r>
      <w:r>
        <w:t>每轮完成IMI、SUS及负担测量，结束后结合录像访谈；问题针对决定、困难和变化原因。研究者帮助用统一脚本并记入日志。</w:t>
      </w:r>
    </w:p>
    <w:p>
      <w:pPr>
        <w:pStyle w:val="Heading3"/>
      </w:pPr>
      <w:r>
        <w:t>5.4 评分与分析方法  1,900字</w:t>
      </w:r>
    </w:p>
    <w:p>
      <w:pPr>
        <w:pStyle w:val="PlanDetail"/>
      </w:pPr>
      <w:r>
        <w:rPr>
          <w:b/>
        </w:rPr>
        <w:t>5.4.1 表达实现的评分细则与信度（750字）。</w:t>
      </w:r>
      <w:r>
        <w:t>采用意图对应的内容落实、关系组织和表达线索评分，写出1、3、5分锚点；两位评分者训练后独立评分，保留原始分数并报告适合的绝对一致性指标[14]。</w:t>
      </w:r>
    </w:p>
    <w:p>
      <w:pPr>
        <w:pStyle w:val="PlanDetail"/>
      </w:pPr>
      <w:r>
        <w:rPr>
          <w:b/>
        </w:rPr>
        <w:t>5.4.2 问卷计分与数据质量（550字）。</w:t>
      </w:r>
      <w:r>
        <w:t>按IMI分量表和标准SUS计分[11][12]，明确反向题、缺答和中文适配。若采用NASA-TLX，注明版本与加权方式[13]，不把SUS或压力当成负担总指标。</w:t>
      </w:r>
    </w:p>
    <w:p>
      <w:pPr>
        <w:pStyle w:val="PlanDetail"/>
      </w:pPr>
      <w:r>
        <w:rPr>
          <w:b/>
        </w:rPr>
        <w:t>5.4.3 因素效应与过程分析（600字）。</w:t>
      </w:r>
      <w:r>
        <w:t>以适合重复测量的模型估计A、B及A×B，纳入任务和轮次；报告效应量与区间，预定多重比较规则。过程编码与量化结果合并解释，不用点击次数替代创作质量。</w:t>
      </w:r>
    </w:p>
    <w:p>
      <w:pPr>
        <w:pStyle w:val="Heading3"/>
      </w:pPr>
      <w:r>
        <w:t>5.5 实验结果  1,800字</w:t>
      </w:r>
    </w:p>
    <w:p>
      <w:pPr>
        <w:pStyle w:val="PlanDetail"/>
      </w:pPr>
      <w:r>
        <w:rPr>
          <w:b/>
        </w:rPr>
        <w:t>5.5.1 表达实现与感知选择的因素效应（800字）。</w:t>
      </w:r>
      <w:r>
        <w:t>先报告样本和缺失，再给四格分布及三个效应；重点比较完整共创与自动转绘，检验编排参与的价值。交互作用用差异之差说明，完整组最高不等于交互成立。</w:t>
      </w:r>
    </w:p>
    <w:p>
      <w:pPr>
        <w:pStyle w:val="PlanDetail"/>
      </w:pPr>
      <w:r>
        <w:rPr>
          <w:b/>
        </w:rPr>
        <w:t>5.5.2 负担与可用性的变化（550字）。</w:t>
      </w:r>
      <w:r>
        <w:t>分别报告直接负担、求助类型、兴趣与SUS；关注表达更好但负担更高等不一致结果，不用满意度替换主结局。</w:t>
      </w:r>
    </w:p>
    <w:p>
      <w:pPr>
        <w:pStyle w:val="PlanDetail"/>
      </w:pPr>
      <w:r>
        <w:rPr>
          <w:b/>
        </w:rPr>
        <w:t>5.5.3 创作介入与意图发展的过程证据（450字）。</w:t>
      </w:r>
      <w:r>
        <w:t>呈现按原计划推进、产生新关系及纠错的具体事件链，结合访谈解释，保留失败案例和反例。</w:t>
      </w:r>
    </w:p>
    <w:p>
      <w:pPr>
        <w:pStyle w:val="Heading3"/>
      </w:pPr>
      <w:r>
        <w:t>5.6 讨论与本章小结  1,500字</w:t>
      </w:r>
    </w:p>
    <w:p>
      <w:pPr>
        <w:pStyle w:val="PlanDetail"/>
      </w:pPr>
      <w:r>
        <w:rPr>
          <w:b/>
        </w:rPr>
        <w:t>5.6.1 对研究问题及设计命题的回应（550字）。</w:t>
      </w:r>
      <w:r>
        <w:t>按RQ3a—c答复，回到第三章的设计命题。区分功能包的因果效应、过程中的解释与未直接检验的心理机制。</w:t>
      </w:r>
    </w:p>
    <w:p>
      <w:pPr>
        <w:pStyle w:val="PlanDetail"/>
      </w:pPr>
      <w:r>
        <w:rPr>
          <w:b/>
        </w:rPr>
        <w:t>5.6.2 设计启示与替代解释（450字）。</w:t>
      </w:r>
      <w:r>
        <w:t>解释素材限制、系统画风、自动背景及短时新奇效应等可能影响；指出哪些原则得到支持、哪些仍只有设计理由。</w:t>
      </w:r>
    </w:p>
    <w:p>
      <w:pPr>
        <w:pStyle w:val="PlanDetail"/>
      </w:pPr>
      <w:r>
        <w:rPr>
          <w:b/>
        </w:rPr>
        <w:t>5.6.3 研究局限与本章小结（500字）。</w:t>
      </w:r>
      <w:r>
        <w:t>讨论样本、设备、有限母题、两任务及不完全盲评的限制；实验不显著不等于等效。以结果强度结束，不把愿景写成结论。</w:t>
      </w:r>
    </w:p>
    <w:p>
      <w:pPr/>
      <w:r>
        <w:t>图表与证据：四条件矩阵、平行任务与分配表、评分锚点、样本流转、四格结果分布和交互区间、评分者信度、过程与访谈对应表。结果图表在采集真实数据后生成。</w:t>
      </w:r>
    </w:p>
    <w:p>
      <w:pPr/>
      <w:r>
        <w:t>与下一章的衔接：“第五章据具体任务估计了支持效果及其限制。第六章据此区分已经成立的设计贡献、得到支持的经验判断与尚未解决的问题。”</w:t>
      </w:r>
    </w:p>
    <w:p>
      <w:pPr>
        <w:pStyle w:val="Heading2"/>
      </w:pPr>
      <w:r>
        <w:t>第六章 结论与展望  2,000字</w:t>
      </w:r>
    </w:p>
    <w:p>
      <w:pPr/>
      <w:r>
        <w:t>本章任务：依次回答三个研究问题，保留理论、设计与经验贡献的证据层级。</w:t>
      </w:r>
    </w:p>
    <w:p>
      <w:pPr>
        <w:pStyle w:val="Heading3"/>
      </w:pPr>
      <w:r>
        <w:t>6.1 研究结论与贡献  1,100字</w:t>
      </w:r>
    </w:p>
    <w:p>
      <w:pPr>
        <w:pStyle w:val="PlanDetail"/>
      </w:pPr>
      <w:r>
        <w:rPr>
          <w:b/>
        </w:rPr>
        <w:t>6.1.1 表达需求与创作阻力的认识（300字）。</w:t>
      </w:r>
      <w:r>
        <w:t>归纳第二章得到证据支持的需要与差异，回答RQ1。</w:t>
      </w:r>
    </w:p>
    <w:p>
      <w:pPr>
        <w:pStyle w:val="PlanDetail"/>
      </w:pPr>
      <w:r>
        <w:rPr>
          <w:b/>
        </w:rPr>
        <w:t>6.1.2 交互设计机制及其实现（400字）。</w:t>
      </w:r>
      <w:r>
        <w:t>概括用户决定、系统执行与再次介入的映射，回答RQ2；明确算法借鉴与本研究适配。</w:t>
      </w:r>
    </w:p>
    <w:p>
      <w:pPr>
        <w:pStyle w:val="PlanDetail"/>
      </w:pPr>
      <w:r>
        <w:rPr>
          <w:b/>
        </w:rPr>
        <w:t>6.1.3 实验发现及适用条件（400字）。</w:t>
      </w:r>
      <w:r>
        <w:t>依据第五章结果回答RQ3，报告支持、不支持和不确定之处，不混入技能训练或长期习惯结论。</w:t>
      </w:r>
    </w:p>
    <w:p>
      <w:pPr>
        <w:pStyle w:val="Heading3"/>
      </w:pPr>
      <w:r>
        <w:t>6.2 研究不足  500字</w:t>
      </w:r>
    </w:p>
    <w:p>
      <w:pPr/>
      <w:r>
        <w:t>围绕最影响解释的缺口讨论：目标用户范围、素材题材、短期任务、图像与画风、介入成本和实验功能包。避免罗列与研究无关的系统缺点。</w:t>
      </w:r>
    </w:p>
    <w:p>
      <w:pPr>
        <w:pStyle w:val="Heading3"/>
      </w:pPr>
      <w:r>
        <w:t>6.3 后续研究展望  400字</w:t>
      </w:r>
    </w:p>
    <w:p>
      <w:pPr/>
      <w:r>
        <w:t>从本研究未解决的证据问题提出后续验证，如更广题材、长期使用或其他设备。展望不作为当前产品改造清单，也不把用户未授权的撤销、恢复功能列成必做项。</w:t>
      </w:r>
    </w:p>
    <w:p>
      <w:pPr/>
      <w:r>
        <w:t>图表与证据：研究问题—核心结论—证据位置简表。没有结果时不预写结论数字。</w:t>
      </w:r>
    </w:p>
    <w:p>
      <w:pPr/>
      <w:r>
        <w:t>与下一章的衔接：全文在相同用户、任务和版本范围内闭合，不在结尾引入未研究的新功能或新理论。</w:t>
      </w:r>
    </w:p>
    <w:p>
      <w:pPr>
        <w:pStyle w:val="Heading1"/>
      </w:pPr>
      <w:r>
        <w:t>六  2×2实验的具体落地</w:t>
      </w:r>
    </w:p>
    <w:p>
      <w:pPr/>
      <w:r>
        <w:t>因子设计考察各水平的组合[15]。保留此前选定的两个因素，将“自动笔触辅助”精确定义为笔触执行方式：A0用户手动执行，A1系统自动执行；B0无素材编排，B1有素材编排。自动条件均不要求手绘，也不为实验给共创增加手绘层。这是对既定因素的操作性澄清，不是改为叙事或动画实验。</w:t>
      </w:r>
    </w:p>
    <w:p>
      <w:pPr>
        <w:pStyle w:val="Heading2"/>
      </w:pPr>
      <w:r>
        <w:t>1  四个条件分别在检验什么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4259"/>
        <w:gridCol w:w="2999"/>
      </w:tblGrid>
      <w:tr>
        <w:trPr>
          <w:cantSplit/>
          <w:tblHeader/>
        </w:trPr>
        <w:tc>
          <w:tcPr>
            <w:tcW w:type="dxa" w:w="20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条件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画面目标与执行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用于回答的问题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A0B0 普通手绘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查看共同照片S，自主构思与手绘；无素材编排。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在常规数字画布执行要求下，目标用户能否表达及遇到哪些阻力？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A0B1 编排后手绘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在S上编排素材得到独立目标T；由用户参考T手绘。编排图不直接成为导出成品。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把内容和关系先外化，对手动执行的表达和体验有什么帮助或负担？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A1B0 自动转绘基线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系统将S转为笔触；不开放素材编排、不要求手绘，仅保留协议规定的共同观看、停止等控制。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自动输出本身能够满足多少表达需要？没有过程编排时体验如何？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A1B1 素材驱动共创</w:t>
            </w:r>
          </w:p>
        </w:tc>
        <w:tc>
          <w:tcPr>
            <w:tcW w:type="dxa" w:w="42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用户编排S得到T并可继续补充；系统由当前画面向更新目标自动续绘，不要求用户手绘。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自动执行能否承接编排决定？相比自动转绘和手动执行，各有什么收益及代价？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/>
      <w:r>
        <w:t>四条件共用目标组织逻辑：B0的目标为照片S，B1可形成编排目标T；A0把目标用作参考，A1把目标交给笔触计算。B1两格应有同样的素材范围、变换和确认规则，并均允许任务中继续编排。A0B1不能只允许开头一次布局而A1B1不限次，也不能把前者偷换成素材直接贴进成品。</w:t>
      </w:r>
    </w:p>
    <w:p>
      <w:pPr/>
      <w:r>
        <w:t>A1B0宜称“自动转绘基线”，不称“完全没有参与”。若允许选择照片或决定结束，这些仍是用户行为。其较少的操作是实验配置本身的特征，不应靠无意义点击凑出等量劳动。</w:t>
      </w:r>
    </w:p>
    <w:p>
      <w:pPr>
        <w:pStyle w:val="Heading2"/>
      </w:pPr>
      <w:r>
        <w:t>2  可用于预试的共同任务</w:t>
      </w:r>
    </w:p>
    <w:p>
      <w:pPr/>
      <w:r>
        <w:t>任务指导语建议：请以提供的照片为起点，完成一幅用于记录或分享这一场景的绘画画面。作品可以保留原有场景，也可以按照当前界面允许的方式调整内容与关系。开始前，请说明希望画面传达的主题或感受，以及对你重要的内容或关系；结束后，再说明结果与想法的关系。</w:t>
      </w:r>
    </w:p>
    <w:p>
      <w:pPr/>
      <w:r>
        <w:t>任务不能规定必须新增某种物体、必须改变构图、必须使用三件素材或达到最低操作次数，否则A1B0的失败由功能定义预先决定。预试应确认照片本身也能承载合理表达，同时允许用户有超出源图的想法。若自动转绘已满足某些人，这同样是有价值的结果。</w:t>
      </w:r>
    </w:p>
    <w:p>
      <w:pPr/>
      <w:r>
        <w:t>使用内容不同、复杂度和表达空间匹配的平行照片。避免只为花、云、太阳设计“放花加云”的任务；应先界定目标场景，再报告现有三类母题能覆盖和不能覆盖的需求。两轮不能重复同图，不能让某一张图固定对应编排条件。</w:t>
      </w:r>
    </w:p>
    <w:p>
      <w:pPr>
        <w:pStyle w:val="Heading2"/>
      </w:pPr>
      <w:r>
        <w:t>3  分组与流程</w:t>
      </w:r>
    </w:p>
    <w:p>
      <w:pPr/>
      <w:r>
        <w:t>建议保持混合设计：执行方式A在参与者间随机分配，编排支持B在参与者内比较。每人完成两轮，每轮使用一张不同照片。在每个A组内平衡四种序列：B0甲→B1乙、B1甲→B0乙、B0乙→B1甲、B1乙→B0甲。人数不能整除时尽量均衡，并保留分配记录。</w:t>
      </w:r>
    </w:p>
    <w:p>
      <w:pPr/>
      <w:r>
        <w:t>流程为知情同意与背景记录、在任何条件教学前分别记录两张任务照片的初始表达意图、条件说明与工具练习、本轮可执行计划、创作、问卷、休息、第二轮、录像回顾访谈。主要作品评分依据教学前的初始意图；了解条件后的计划和过程中新想法另行保存与分析，不因条件能力不同事后降低评分目标。各条件明确说明可用操作，避免徒劳寻找不存在的手绘或素材功能。</w:t>
      </w:r>
    </w:p>
    <w:p>
      <w:pPr/>
      <w:r>
        <w:t>先按可承受的单轮任务窗口预试，再冻结正式上限、提前结束和超时规则。分别记录手绘、编排、计算等待、自动播放、观察与求助，不强迫等待固定笔数。正式样本量以两个主要结局的效应或交互精度规划，做合理效应范围的敏感性分析；不能把小规模预试的显著性或旧实验人数作为充分依据。</w:t>
      </w:r>
    </w:p>
    <w:p>
      <w:pPr>
        <w:pStyle w:val="Heading2"/>
      </w:pPr>
      <w:r>
        <w:t>4  测量分工及评分锚点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3719"/>
        <w:gridCol w:w="2999"/>
      </w:tblGrid>
      <w:tr>
        <w:trPr>
          <w:cantSplit/>
          <w:tblHeader/>
        </w:trPr>
        <w:tc>
          <w:tcPr>
            <w:tcW w:type="dxa" w:w="25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指标及地位</w:t>
            </w:r>
          </w:p>
        </w:tc>
        <w:tc>
          <w:tcPr>
            <w:tcW w:type="dxa" w:w="37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数据来源与时点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主要解释边界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表达实现 共同主要结局</w:t>
            </w:r>
          </w:p>
        </w:tc>
        <w:tc>
          <w:tcPr>
            <w:tcW w:type="dxa" w:w="37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统一评审包：源照片、前置主题与关键意图、匿名最终作品；两位评分者独立评价。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评价画面是否支持意图，不按素材数量或新增像素数打分；背景细节多不等于表达更充分。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IMI感知选择 共同主要结局</w:t>
            </w:r>
          </w:p>
        </w:tc>
        <w:tc>
          <w:tcPr>
            <w:tcW w:type="dxa" w:w="37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每轮完成后按来源分量表计分[11]。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反映感知选择，不等于完整主体性或作品法律归属。未显著下降不能直接声称“不损害自主性”。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直接负担 重点次要结局</w:t>
            </w:r>
          </w:p>
        </w:tc>
        <w:tc>
          <w:tcPr>
            <w:tcW w:type="dxa" w:w="37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建议每轮使用来源明确的NASA-TLX，并冻结版本及加权方式[13]。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新增测量需预试；如不纳入，只能报告行为困难与自述，收窄“降低负担”的结论。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兴趣、能力与压力 次要结局</w:t>
            </w:r>
          </w:p>
        </w:tc>
        <w:tc>
          <w:tcPr>
            <w:tcW w:type="dxa" w:w="37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IMI相关分量表分别计分；可采用标准22项活动评价版本并核对中文适配[11]。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不得合并成自创总分；能力感不是实际技能，压力不是完整任务负担。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SUS 次要结局</w:t>
            </w:r>
          </w:p>
        </w:tc>
        <w:tc>
          <w:tcPr>
            <w:tcW w:type="dxa" w:w="37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每轮对本轮使用的界面作标准10项5点评价[12]。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0—100分不是百分比；少操作条件可能易用，但未必有较大表达空间。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行为及访谈 解释性证据</w:t>
            </w:r>
          </w:p>
        </w:tc>
        <w:tc>
          <w:tcPr>
            <w:tcW w:type="dxa" w:w="37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记录求助类型、错误、暂停、编排与确认；最后按录像回顾具体判断。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手绘笔数不与自动笔数当作等价努力；观察时间不直接等于投入，操作增加不直接等于创意。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/>
      <w:r>
        <w:t>表达实现量规为本研究拟定的工具，须先用预试作品检查可理解性和信度，不能称为成熟量表。建议各维度1—5分，2、4分介于相邻锚点。先在预试中检查各维度的内容解释、适用性与评分一致性，再于正式采集前冻结主指标、合成及缺项规则。若预试不支持合成，应预先选择有理由的单一主要维度或明确多维分析方案，并相应固定检验家族，不能查看正式结果后选择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79"/>
        <w:gridCol w:w="3119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43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1分与3分锚点</w:t>
            </w:r>
          </w:p>
        </w:tc>
        <w:tc>
          <w:tcPr>
            <w:tcW w:type="dxa" w:w="31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5分锚点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内容落实</w:t>
            </w:r>
          </w:p>
        </w:tc>
        <w:tc>
          <w:tcPr>
            <w:tcW w:type="dxa" w:w="43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1分：关键内容缺失或与预先意图冲突。3分：部分关键内容可辨认，但存在明显遗漏或歧义。</w:t>
            </w:r>
          </w:p>
        </w:tc>
        <w:tc>
          <w:tcPr>
            <w:tcW w:type="dxa" w:w="31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关键内容清楚可辨，足以支持所述主题；不要求照片级写实。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关系组织</w:t>
            </w:r>
          </w:p>
        </w:tc>
        <w:tc>
          <w:tcPr>
            <w:tcW w:type="dxa" w:w="43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1分：重要位置、尺度或主次关系不支持意图。3分：部分关系成立，但有影响理解的混乱。</w:t>
            </w:r>
          </w:p>
        </w:tc>
        <w:tc>
          <w:tcPr>
            <w:tcW w:type="dxa" w:w="31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对意图重要的关系清楚、一致；不要求唯一构图答案。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表达线索</w:t>
            </w:r>
          </w:p>
        </w:tc>
        <w:tc>
          <w:tcPr>
            <w:tcW w:type="dxa" w:w="437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1分：缺少能支持所述主题的可见线索，或明显相反。3分：有相关线索但整体表达不充分。</w:t>
            </w:r>
          </w:p>
        </w:tc>
        <w:tc>
          <w:tcPr>
            <w:tcW w:type="dxa" w:w="31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相关线索形成连贯表达；不要求每位观看者产生相同情绪。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/>
      <w:r>
        <w:t>对于超出源图的新决定，另记录决定内容及其是否落实，作为过程证据；没有提出新决定时记为不适用，不将0/0算满分或失败。这样既能检查用户贡献，又不会让自动转绘基线在主评分中因“没有新素材”而必然得零。用户的表达贴合自评可作补充，与独立评分分别报告。</w:t>
      </w:r>
    </w:p>
    <w:p>
      <w:pPr/>
      <w:r>
        <w:t>两位评分者先用预试样本训练，再对正式作品独立评分；作品匿名、随机排列并移除界面和条件标签。画风仍可能暴露条件，应记录盲评限制。合成分的信度可采用与两位指定评分者相符的双向混合、绝对一致性、平均测量ICC，报告完整模型和95%区间；若结论要推广至其他评分者，需另论随机评分者假定[14]。单项等级评分可报告加权一致性，不用相关系数替代一致性。</w:t>
      </w:r>
    </w:p>
    <w:p>
      <w:pPr>
        <w:pStyle w:val="Heading2"/>
      </w:pPr>
      <w:r>
        <w:t>5  分析怎样回答设计问题</w:t>
      </w:r>
    </w:p>
    <w:p>
      <w:pPr/>
      <w:r>
        <w:t>对每个主要结局估计A、B和A×B，同时显示四条件分布及区间。混合模型需处理同一参与者两轮的相关性，并纳入任务版本与轮次；连续合成分、等级单项和求助计数依据其分布选择方法。每人两幅作品及每幅两位评分者不会使参与者样本量翻倍。</w:t>
      </w:r>
    </w:p>
    <w:p>
      <w:pPr/>
      <w:r>
        <w:t>交互作用的直观量是（A1B1−A1B0）−（A0B1−A0B0）：编排在自动执行和手动执行中的效果是否不同。完整共创平均最高不等于交互显著；一组显著、另一组不显著也不等于两组有显著差异。同时呈现编排在两种执行方式内的简单效应，才能解释分工的具体价值。</w:t>
      </w:r>
    </w:p>
    <w:p>
      <w:pPr/>
      <w:r>
        <w:t>建议将两个主要结局的三个因素检验组成预定检验家族，采用Holm等明确的多重比较规则；关键配置比较及次要指标另外声明其验证或探索地位。报告估计差值、效应量和区间，预先规定缺答、技术失败、超时及退出的处理，不能事后按结果删样本。若要正式声称自主体验不降低，需另设有依据的非劣效界值和相应样本规划，普通不显著结果不支持该表述。</w:t>
      </w:r>
    </w:p>
    <w:p>
      <w:pPr/>
      <w:r>
        <w:t>A因素同时改变了低层控制、落笔劳动、等待和参与方式；B在自动条件中提供主要内容控制，在手动条件中增加目标组织支持。因此，实验估计的是两类执行配置与编排功能包的组合价值，不能称为等量劳动下纯自动化的效应，也不能单独证明外部认知、反思或内在动机是中介机制。</w:t>
      </w:r>
    </w:p>
    <w:p>
      <w:pPr>
        <w:pStyle w:val="Heading2"/>
      </w:pPr>
      <w:r>
        <w:t>6  实验程序的后续修改范围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9"/>
        <w:gridCol w:w="6778"/>
      </w:tblGrid>
      <w:tr>
        <w:trPr>
          <w:cantSplit/>
          <w:tblHeader/>
        </w:trPr>
        <w:tc>
          <w:tcPr>
            <w:tcW w:type="dxa" w:w="25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必须补齐的内容</w:t>
            </w:r>
          </w:p>
        </w:tc>
        <w:tc>
          <w:tcPr>
            <w:tcW w:type="dxa" w:w="677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本轮确定的要求</w:t>
            </w:r>
          </w:p>
        </w:tc>
      </w:tr>
      <w:tr>
        <w:trPr>
          <w:cantSplit/>
        </w:trPr>
        <w:tc>
          <w:tcPr>
            <w:tcW w:type="dxa" w:w="25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独立实验工作区</w:t>
            </w:r>
          </w:p>
        </w:tc>
        <w:tc>
          <w:tcPr>
            <w:tcW w:type="dxa" w:w="677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保留公开产品，实验程序统一入口、任务、照片显示比例、画布尺寸、说明与问卷；自动两格不增手绘。</w:t>
            </w:r>
          </w:p>
        </w:tc>
      </w:tr>
      <w:tr>
        <w:trPr>
          <w:cantSplit/>
        </w:trPr>
        <w:tc>
          <w:tcPr>
            <w:tcW w:type="dxa" w:w="25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编排目标与成品分离</w:t>
            </w:r>
          </w:p>
        </w:tc>
        <w:tc>
          <w:tcPr>
            <w:tcW w:type="dxa" w:w="677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B1共用素材模块；A0B1确认后保留独立参考目标，A1B1确认后转入自动执行。参照像素不得无意写入手动成品。</w:t>
            </w:r>
          </w:p>
        </w:tc>
      </w:tr>
      <w:tr>
        <w:trPr>
          <w:cantSplit/>
        </w:trPr>
        <w:tc>
          <w:tcPr>
            <w:tcW w:type="dxa" w:w="25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因素开关与控制政策</w:t>
            </w:r>
          </w:p>
        </w:tc>
        <w:tc>
          <w:tcPr>
            <w:tcW w:type="dxa" w:w="677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记录A/B开关、任务和序列。自动两格同算法、每轮预算、种子及速度政策；编排两格同素材与变换范围。共同重制、退出和阶段编辑政策说明一致。</w:t>
            </w:r>
          </w:p>
        </w:tc>
      </w:tr>
      <w:tr>
        <w:trPr>
          <w:cantSplit/>
        </w:trPr>
        <w:tc>
          <w:tcPr>
            <w:tcW w:type="dxa" w:w="25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叙事与界面</w:t>
            </w:r>
          </w:p>
        </w:tc>
        <w:tc>
          <w:tcPr>
            <w:tcW w:type="dxa" w:w="677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统一实验引导及入场政策，避免直接使用产品两条不同转场造成额外差异；画笔和丝纹在自动两格保持相同。</w:t>
            </w:r>
          </w:p>
        </w:tc>
      </w:tr>
      <w:tr>
        <w:trPr>
          <w:cantSplit/>
        </w:trPr>
        <w:tc>
          <w:tcPr>
            <w:tcW w:type="dxa" w:w="25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事件和结果归档</w:t>
            </w:r>
          </w:p>
        </w:tc>
        <w:tc>
          <w:tcPr>
            <w:tcW w:type="dxa" w:w="677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记录前置意图、可执行计划、后续决定、编排和确认、计算与播放、求助、结束原因、目标版本及成品。原始数据与合成测试记录分开。</w:t>
            </w:r>
          </w:p>
        </w:tc>
      </w:tr>
      <w:tr>
        <w:trPr>
          <w:cantSplit/>
        </w:trPr>
        <w:tc>
          <w:tcPr>
            <w:tcW w:type="dxa" w:w="25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替换历史实验假设</w:t>
            </w:r>
          </w:p>
        </w:tc>
        <w:tc>
          <w:tcPr>
            <w:tcW w:type="dxa" w:w="677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现有工作台仍是两条件引导研究。新增四条件标识及分析接口，旧盆栽完成度、AB/BA符号检验不能直接当成本轮表达评价。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/>
      <w:r>
        <w:t>预试必须通过三个检查再开始正式采集：四格均能完成开放任务；参与者理解编排预览与最终作品的区别；两位评分者能依据同一量规对四格评分。若其中一项失败，优先修实验协议和适配程序，不能用预设差距制造有利结果。</w:t>
      </w:r>
    </w:p>
    <w:p>
      <w:pPr>
        <w:pStyle w:val="Heading1"/>
      </w:pPr>
      <w:r>
        <w:t>七  设计证据与写作执行</w:t>
      </w:r>
    </w:p>
    <w:p>
      <w:pPr>
        <w:pStyle w:val="Heading2"/>
      </w:pPr>
      <w:r>
        <w:t>1  统一原则的证据落点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9"/>
        <w:gridCol w:w="3299"/>
        <w:gridCol w:w="2999"/>
      </w:tblGrid>
      <w:tr>
        <w:trPr>
          <w:cantSplit/>
          <w:tblHeader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原则及依据</w:t>
            </w:r>
          </w:p>
        </w:tc>
        <w:tc>
          <w:tcPr>
            <w:tcW w:type="dxa" w:w="32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当前设计落点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</w:pPr>
            <w:r>
              <w:rPr>
                <w:b/>
              </w:rPr>
              <w:t>需要回答的评价问题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P1 表达决定可操作</w:t>
              <w:br/>
              <w:t>外部认知与创造力支持[6][22]</w:t>
            </w:r>
          </w:p>
        </w:tc>
        <w:tc>
          <w:tcPr>
            <w:tcW w:type="dxa" w:w="32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素材选择、位置、尺度、方向与关系编排。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用户想表达的关系能否被操作并在成品中辨认？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P2 执行支持可理解</w:t>
              <w:br/>
              <w:t>自我决定与贡献框架[8][10]</w:t>
            </w:r>
          </w:p>
        </w:tc>
        <w:tc>
          <w:tcPr>
            <w:tcW w:type="dxa" w:w="32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用户设定目标，系统按目标执行；共创无需手绘。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用户是否理解自己的决定及系统负责的部分？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P3 过程反馈可辨认</w:t>
              <w:br/>
              <w:t>观看与行动、界面规范[7][19]</w:t>
            </w:r>
          </w:p>
        </w:tc>
        <w:tc>
          <w:tcPr>
            <w:tcW w:type="dxa" w:w="32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预览、规划、绘制、暂停和完成的区分，沿笔迹的画笔反馈。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能否判断已完成和仍可编辑内容？动画是否遮挡或造成等待？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P4 创作介入可持续</w:t>
              <w:br/>
              <w:t>反思性设计[7]</w:t>
            </w:r>
          </w:p>
        </w:tc>
        <w:tc>
          <w:tcPr>
            <w:tcW w:type="dxa" w:w="32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观察当前画面，加入后续素材并继续绘制。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实际发生的是新想法、原计划推进还是错误修复？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P5 操作后果可预期</w:t>
              <w:br/>
              <w:t>探索支持与贡献边界[10][22]</w:t>
            </w:r>
          </w:p>
        </w:tc>
        <w:tc>
          <w:tcPr>
            <w:tcW w:type="dxa" w:w="32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确认前编排、确认后像素化、重制与保存边界。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预览与成画差异是否可接受？不可逆操作是否抑制尝试？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P6 工具视觉适度退让</w:t>
              <w:br/>
              <w:t>知觉分组及绘画案例[16—20]</w:t>
            </w:r>
          </w:p>
        </w:tc>
        <w:tc>
          <w:tcPr>
            <w:tcW w:type="dxa" w:w="32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画布居中、工具靠边、按需弹层和一致组件。</w:t>
            </w:r>
          </w:p>
        </w:tc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关键入口是否可发现，跨设备是否遮挡作品？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/>
      <w:r>
        <w:t>六项原则是本研究的综合推导。P1可由主实验获得功能包层面的表达证据；P2主要依靠状态理解与贡献辨认访谈，主结局仅提供相关体验背景；P3—P6主要通过预试、过程观察和规范检查讨论。对每项原则说明支持、部分支持或仍缺证据的状态，不把一个显著交互推广为六项原则均已验证。</w:t>
      </w:r>
    </w:p>
    <w:p>
      <w:pPr>
        <w:pStyle w:val="Heading2"/>
      </w:pPr>
      <w:r>
        <w:t>2  第四章怎样写出设计研究的深度</w:t>
      </w:r>
    </w:p>
    <w:p>
      <w:pPr/>
      <w:r>
        <w:t>每个核心交互段落采用同一论述顺序：指出用户正在处理的表达决定；引用需求或理论解释为何需要支持；描述操作和画面反馈；说明采用此方案及放弃其他做法的理由；最后指出验证证据与边界。页面截图只负责显示形态，状态序列负责显示规则，研究数据负责说明体验与效果。</w:t>
      </w:r>
    </w:p>
    <w:p>
      <w:pPr/>
      <w:r>
        <w:t>例如，素材移动不是因为“拖拽更直观”便成立。应说明用户需要比较主体位置与留白关系，移动让这一关系先成为可见结果；随后展示从待确认实例到目标图、再到笔触成画的对应；最后讨论如果转绘模糊了关系，界面预览将怎样失去可预测性。这种写法将功能介绍转成设计论证。</w:t>
      </w:r>
    </w:p>
    <w:p>
      <w:pPr/>
      <w:r>
        <w:t>算法对照至少包括整体、局部、形成阶段及失败案例。旧版与新版统一输入、画布尺寸和笔数口径，同时报告实际输出与耗时；涉及随机性时保留种子及波动。局部采样权重不应写成严格保护区。重建误差可解释图像保真，不能独立解释绘画感、个人表达或创意。</w:t>
      </w:r>
    </w:p>
    <w:p>
      <w:pPr>
        <w:pStyle w:val="Heading2"/>
      </w:pPr>
      <w:r>
        <w:t>3  实际版本与需要更正的旧表述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9"/>
        <w:gridCol w:w="6298"/>
      </w:tblGrid>
      <w:tr>
        <w:trPr>
          <w:cantSplit/>
          <w:tblHeader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</w:pPr>
            <w:r>
              <w:rPr>
                <w:b/>
              </w:rPr>
              <w:t>旧表述或容易产生的误解</w:t>
            </w:r>
          </w:p>
        </w:tc>
        <w:tc>
          <w:tcPr>
            <w:tcW w:type="dxa" w:w="629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</w:pPr>
            <w:r>
              <w:rPr>
                <w:b/>
              </w:rPr>
              <w:t>本版采用的事实边界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共创用户可以手绘补充</w:t>
            </w:r>
          </w:p>
        </w:tc>
        <w:tc>
          <w:tcPr>
            <w:tcW w:type="dxa" w:w="629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当前共创没有手绘层；按用户定位保留此分工，自动实验条件同样不要求手绘。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  <w:jc w:val="center"/>
            </w:pPr>
            <w:r>
              <w:rPr>
                <w:b w:val="0"/>
              </w:rPr>
              <w:t>全站没有撤销</w:t>
            </w:r>
          </w:p>
        </w:tc>
        <w:tc>
          <w:tcPr>
            <w:tcW w:type="dxa" w:w="629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当前自由画布有撤销上一笔，待确认素材有布局撤销/重做；已确认共创内容不能逐对象回退。这里只记录事实，不新增功能。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一幅作品固定2000笔</w:t>
            </w:r>
          </w:p>
        </w:tc>
        <w:tc>
          <w:tcPr>
            <w:tcW w:type="dxa" w:w="629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约2000是每轮规划预算上限，实际输出及多轮累计另计。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新增素材仅修改局部</w:t>
            </w:r>
          </w:p>
        </w:tc>
        <w:tc>
          <w:tcPr>
            <w:tcW w:type="dxa" w:w="629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当前为局部优先续绘，区域外仍可能继续绘制；不得承诺其余像素完全不变。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已有丰富素材库和可恢复工程</w:t>
            </w:r>
          </w:p>
        </w:tc>
        <w:tc>
          <w:tcPr>
            <w:tcW w:type="dxa" w:w="629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当前为三类母题及变体；保存位图和画廊元数据，不代表可恢复素材与笔触工程。</w:t>
            </w:r>
          </w:p>
        </w:tc>
      </w:tr>
      <w:tr>
        <w:trPr>
          <w:cantSplit/>
        </w:trPr>
        <w:tc>
          <w:tcPr>
            <w:tcW w:type="dxa" w:w="299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目前两种入口就是正式2×2</w:t>
            </w:r>
          </w:p>
        </w:tc>
        <w:tc>
          <w:tcPr>
            <w:tcW w:type="dxa" w:w="629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公开入口与旧研究工作台均不等于新四条件；须按第六部分适配实验程序并预试。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/>
      <w:r>
        <w:t>上述事实基于2026年10月27日对f463a4c版本相关源码的只读核查。定位包括CoCreationStudio.tsx、FreeDrawingStudio.tsx、useMaterialLayout.tsx、expressive-painter.ts、creative-material.ts及study/protocol.ts。源码证明实现方式，实机走查和用户研究分别证明可运行性与实际使用情况；本次未修改产品。</w:t>
      </w:r>
    </w:p>
    <w:p>
      <w:pPr>
        <w:pStyle w:val="Heading2"/>
      </w:pPr>
      <w:r>
        <w:t>4  补证顺序与章节落笔顺序</w:t>
      </w:r>
    </w:p>
    <w:p>
      <w:pPr/>
      <w:r>
        <w:t>先建立材料台账，逐项核对已有访谈、观察、版本截图、伦理文件和历史测试记录；没有原始材料的发现不能进入正文。随后补做不受产品提示的需求核查，形成第二章的证据。第三章精读理论原文，第四章对照定稿版本完成设计说明，这两章可与需求材料整理并行。</w:t>
      </w:r>
    </w:p>
    <w:p>
      <w:pPr/>
      <w:r>
        <w:t>实验阶段先完成四条件适配、平行任务与评分试用，再冻结正式协议、样本规划、量表译本和分析规则。正式实验之后写第五章结果与第六章结论，再回查绪论的贡献承诺是否被实际证据支持。前四章可以先写，不需要等待所有数据；效果性结论必须等待实验。</w:t>
      </w:r>
    </w:p>
    <w:p>
      <w:pPr/>
      <w:r>
        <w:t>现有绪论稿保持1.1—1.4框架，优先修改三处：背景从笼统“不会画”改为具体表达与执行张力；研究目的明确AI共创不要求手绘；研究方法把产品定稿、后续需求核查和实验适配分开。全文统一“素材编排”“笔触执行”“表达实现”“感知选择”的含义，减少“赋能”“沉浸式”“显著创新”等无证据修饰。</w:t>
      </w:r>
    </w:p>
    <w:p>
      <w:pPr>
        <w:pStyle w:val="Heading2"/>
      </w:pPr>
      <w:r>
        <w:t>5  不同结果怎样改变结论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9"/>
        <w:gridCol w:w="5639"/>
      </w:tblGrid>
      <w:tr>
        <w:trPr>
          <w:cantSplit/>
          <w:tblHeader/>
        </w:trPr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  <w:jc w:val="center"/>
            </w:pPr>
            <w:r>
              <w:rPr>
                <w:b/>
              </w:rPr>
              <w:t>可能出现的结果</w:t>
            </w:r>
          </w:p>
        </w:tc>
        <w:tc>
          <w:tcPr>
            <w:tcW w:type="dxa" w:w="5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BEE"/>
          </w:tcPr>
          <w:p>
            <w:pPr>
              <w:pStyle w:val="TableBody"/>
              <w:keepNext/>
              <w:spacing w:after="0"/>
            </w:pPr>
            <w:r>
              <w:rPr>
                <w:b/>
              </w:rPr>
              <w:t>可作的解释及写作调整</w:t>
            </w:r>
          </w:p>
        </w:tc>
      </w:tr>
      <w:tr>
        <w:trPr>
          <w:cantSplit/>
        </w:trPr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编排改善表达，自动执行进一步减轻负担</w:t>
            </w:r>
          </w:p>
        </w:tc>
        <w:tc>
          <w:tcPr>
            <w:tcW w:type="dxa" w:w="5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可支持本情境中的分工价值；是否有额外组合收益仍看交互及区间，不能只看完整组最高。</w:t>
            </w:r>
          </w:p>
        </w:tc>
      </w:tr>
      <w:tr>
        <w:trPr>
          <w:cantSplit/>
        </w:trPr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完整共创表达更好，但负担或压力也增加</w:t>
            </w:r>
          </w:p>
        </w:tc>
        <w:tc>
          <w:tcPr>
            <w:tcW w:type="dxa" w:w="5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结论需承认收益与成本并存；用过程材料分析查找、确认或等待造成的阻力。</w:t>
            </w:r>
          </w:p>
        </w:tc>
      </w:tr>
      <w:tr>
        <w:trPr>
          <w:cantSplit/>
        </w:trPr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自动转绘已经满足部分用户，编排未再改善</w:t>
            </w:r>
          </w:p>
        </w:tc>
        <w:tc>
          <w:tcPr>
            <w:tcW w:type="dxa" w:w="5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说明对保留源图的任务，增加编排可能非必要；按用户意图与任务讨论边界，不隐藏基线表现。</w:t>
            </w:r>
          </w:p>
        </w:tc>
      </w:tr>
      <w:tr>
        <w:trPr>
          <w:cantSplit/>
        </w:trPr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感知选择更高，表达实现没有清楚差异</w:t>
            </w:r>
          </w:p>
        </w:tc>
        <w:tc>
          <w:tcPr>
            <w:tcW w:type="dxa" w:w="5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8F9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支持选择体验的变化，不支持表达效果提升；分析量规敏感性与任务空间，但不事后换主指标。</w:t>
            </w:r>
          </w:p>
        </w:tc>
      </w:tr>
      <w:tr>
        <w:trPr>
          <w:cantSplit/>
        </w:trPr>
        <w:tc>
          <w:tcPr>
            <w:tcW w:type="dxa" w:w="3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交互不确定或总体无明确差异</w:t>
            </w:r>
          </w:p>
        </w:tc>
        <w:tc>
          <w:tcPr>
            <w:tcW w:type="dxa" w:w="56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pStyle w:val="TableBody"/>
              <w:keepNext w:val="0"/>
              <w:spacing w:after="0"/>
            </w:pPr>
            <w:r>
              <w:rPr>
                <w:b w:val="0"/>
              </w:rPr>
              <w:t>报告估计与区间，设计实现仍可作为案例贡献；不能将无显著差异写成同等有效，也不据此宣称没有价值。</w:t>
            </w:r>
          </w:p>
        </w:tc>
      </w:tr>
    </w:tbl>
    <w:p>
      <w:pPr>
        <w:spacing w:after="20" w:line="80" w:lineRule="exact"/>
      </w:pPr>
      <w:r>
        <w:rPr>
          <w:sz w:val="4"/>
        </w:rPr>
      </w:r>
    </w:p>
    <w:p>
      <w:pPr>
        <w:pStyle w:val="Heading2"/>
      </w:pPr>
      <w:r>
        <w:t>6  建议附录与图表资料</w:t>
      </w:r>
    </w:p>
    <w:p>
      <w:pPr/>
      <w:r>
        <w:t>附录A保留需求核查的提纲、同意文本与匿名编码示例；附录B收录设计规格、状态规则及七类UI规范；附录C收录四条件协议、任务与分配表；附录D收录量表出处、适配过程和评分训练材料；附录E收录版本、参数、事件字段与分析代码说明。补充作品需有展示许可，不将私人照片原图直接放入公开附件。</w:t>
      </w:r>
    </w:p>
    <w:p>
      <w:pPr/>
      <w:r>
        <w:t>正文图表围绕论点安排：需求旅程说明阻力发生位置；机制图说明用户决定如何进入成画；状态图说明介入机会和不可逆边界；算法对照说明适配而非首创；四格分布和交互图区分功能效果与组合关系。所有真实数据图在取得数据后绘制，本蓝图的逻辑图不模拟任何实验结果。</w:t>
      </w:r>
    </w:p>
    <w:p>
      <w:pPr>
        <w:pStyle w:val="Heading1"/>
      </w:pPr>
      <w:r>
        <w:t>八  核心文献与使用边界</w:t>
      </w:r>
    </w:p>
    <w:p>
      <w:pPr/>
      <w:r>
        <w:t>以下为蓝图所用的定向论据清单，不是系统综述的完整结果。经典理论、技术论文、实证研究、设计规范及产品手册分工不同。沿用已保存的文献核验记录，并补查官方方法与规范页面；只读摘要的来源在下文标明。正式写作须按所引版本核对全文及页码，尤其是理论迁移与最接近研究的比较。</w:t>
      </w:r>
    </w:p>
    <w:p>
      <w:pPr/>
      <w:r>
        <w:t>后续检索重点：初学者真实表达活动、素材与构图支持的最近邻实证研究、作品意图贴合的评分方法，以及能反驳本方案的负面发现。记录数据库、关键词、日期及纳入理由；在补齐之前使用有范围的研究定位，不声称完成全球研究空白论证。</w:t>
      </w:r>
    </w:p>
    <w:p>
      <w:pPr>
        <w:pStyle w:val="Reference"/>
        <w:keepNext/>
      </w:pPr>
      <w:r>
        <w:t>[1] Ben Shneiderman. Creativity Support Tools: Accelerating Discovery and Innovation. 2007. Communications of the ACM, 50(12):20–32. DOI: 10.1145/1323688.1323689</w:t>
      </w:r>
    </w:p>
    <w:p>
      <w:pPr>
        <w:pStyle w:val="Reference"/>
        <w:spacing w:after="80"/>
      </w:pPr>
      <w:r>
        <w:t>用于创造力支持工具的问题与评价取向；不能证明本产品提高创造力。</w:t>
      </w:r>
      <w:r>
        <w:t xml:space="preserve">  </w:t>
      </w:r>
      <w:hyperlink r:id="rId13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[2] Paul Haeberli. Paint by Numbers: Abstract Image Representations. 1990. Proceedings of the 17th Annual Conference on Computer Graphics and Interactive Techniques (SIGGRAPH '90), 207–214. DOI: 10.1145/97879.97902</w:t>
      </w:r>
    </w:p>
    <w:p>
      <w:pPr>
        <w:pStyle w:val="Reference"/>
        <w:spacing w:after="80"/>
      </w:pPr>
      <w:r>
        <w:t>经典笔触表示与交互式图像抽象。原工作已有用户控制，不能概括为完全被动复现。</w:t>
      </w:r>
      <w:r>
        <w:t xml:space="preserve">  </w:t>
      </w:r>
      <w:hyperlink r:id="rId14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[3] Aaron Hertzmann. Painterly Rendering with Curved Brush Strokes of Multiple Sizes. 1998. Proceedings of the 25th Annual Conference on Computer Graphics and Interactive Techniques (SIGGRAPH '98), 453–460. DOI: 10.1145/280814.280951</w:t>
      </w:r>
    </w:p>
    <w:p>
      <w:pPr>
        <w:pStyle w:val="Reference"/>
        <w:spacing w:after="80"/>
      </w:pPr>
      <w:r>
        <w:t>支持多尺度曲线笔触的技术谱系；这些思想不是本项目首创。</w:t>
      </w:r>
      <w:r>
        <w:t xml:space="preserve">  </w:t>
      </w:r>
      <w:hyperlink r:id="rId15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[4] Yong Jae Lee; C. Lawrence Zitnick; Michael F. Cohen. ShadowDraw: Real-Time User Guidance for Freehand Drawing. 2011. ACM Transactions on Graphics, 30(4), Article 27, 1–10. DOI: 10.1145/2010324.1964922</w:t>
      </w:r>
    </w:p>
    <w:p>
      <w:pPr>
        <w:pStyle w:val="Reference"/>
        <w:spacing w:after="80"/>
      </w:pPr>
      <w:r>
        <w:t>作者版与正式书目已交叉核对；动态参照支持手绘，不等于本文的自动执行。</w:t>
      </w:r>
      <w:r>
        <w:t xml:space="preserve">  </w:t>
      </w:r>
      <w:hyperlink r:id="rId16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[5] Chipp Jansen; Elizabeth Sklar. Exploring Co-creative Drawing Workflows. 2021. Frontiers in Robotics and AI, 8:577770. DOI: 10.3389/frobt.2021.577770</w:t>
      </w:r>
    </w:p>
    <w:p>
      <w:pPr>
        <w:pStyle w:val="Reference"/>
        <w:spacing w:after="80"/>
      </w:pPr>
      <w:r>
        <w:t>原研究面向21位绘画实践者，不是本项目的零基础用户或效果样本。</w:t>
      </w:r>
      <w:r>
        <w:t xml:space="preserve">  </w:t>
      </w:r>
      <w:hyperlink r:id="rId17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[6] Mike Scaife; Yvonne Rogers. External Cognition: How Do Graphical Representations Work?. 1996. International Journal of Human-Computer Studies, 45(2):185–213. DOI: 10.1006/ijhc.1996.0048</w:t>
      </w:r>
    </w:p>
    <w:p>
      <w:pPr>
        <w:pStyle w:val="Reference"/>
        <w:spacing w:after="80"/>
      </w:pPr>
      <w:r>
        <w:t>支持外部表征的分析；素材空间操作的具体机制是本研究的迁移推导。</w:t>
      </w:r>
      <w:r>
        <w:t xml:space="preserve">  </w:t>
      </w:r>
      <w:hyperlink r:id="rId18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[7] Donald A. Schön; Glenn Wiggins. Kinds of Seeing and Their Functions in Designing. 1992. Design Studies, 13(2):135–156. DOI: 10.1016/0142-694X(92)90268-F</w:t>
      </w:r>
    </w:p>
    <w:p>
      <w:pPr>
        <w:pStyle w:val="Reference"/>
        <w:spacing w:after="80"/>
      </w:pPr>
      <w:r>
        <w:t>当前核对到书目与摘要；详细理论论述须补全文页码，不转述未读实验细节。</w:t>
      </w:r>
      <w:r>
        <w:t xml:space="preserve">  </w:t>
      </w:r>
      <w:hyperlink r:id="rId19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[8] Richard M. Ryan; Edward L. Deci. Self-Determination Theory and the Facilitation of Intrinsic Motivation, Social Development, and Well-Being. 2000. American Psychologist, 55(1):68–78. DOI: 10.1037/0003-066X.55.1.68</w:t>
      </w:r>
    </w:p>
    <w:p>
      <w:pPr>
        <w:pStyle w:val="Reference"/>
        <w:spacing w:after="80"/>
      </w:pPr>
      <w:r>
        <w:t>区分自主性、胜任感和动机；不将IMI分量表替代完整理论的因果检验。</w:t>
      </w:r>
      <w:r>
        <w:t xml:space="preserve">  </w:t>
      </w:r>
      <w:hyperlink r:id="rId20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[9] Zimmerman J, Forlizzi J, Evenson S. Research through design as a method for interaction design research in HCI[C]. CHI, 2007: 493–502. DOI: 10.1145/1240624.1240704</w:t>
      </w:r>
    </w:p>
    <w:p>
      <w:pPr>
        <w:pStyle w:val="Reference"/>
        <w:spacing w:after="80"/>
      </w:pPr>
      <w:r>
        <w:t>本次核对作者机构摘要及出版信息；用于设计案例与研究贡献的关系，不据此声称设计即可证明有效。</w:t>
      </w:r>
      <w:r>
        <w:t xml:space="preserve">  </w:t>
      </w:r>
      <w:hyperlink r:id="rId21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[10] Jeba Rezwana; Mary Lou Maher. Designing Creative AI Partners with COFI: A Framework for Modeling Interaction in Human-AI Co-Creative Systems. 2022. arXiv:2204.07666v1 [cs.HC]. DOI: 10.48550/arXiv.2204.07666</w:t>
      </w:r>
    </w:p>
    <w:p>
      <w:pPr>
        <w:pStyle w:val="Reference"/>
        <w:spacing w:after="80"/>
      </w:pPr>
      <w:r>
        <w:t>引用实际核对的2022预印本；COFI为交互分析框架，正式期刊版为2023年，不能混用版本细节。</w:t>
      </w:r>
      <w:r>
        <w:t xml:space="preserve">  </w:t>
      </w:r>
      <w:hyperlink r:id="rId22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[11] Center for Self-Determination Theory. Intrinsic Motivation Inventory (IMI). Self-Determination Theory 官方量表说明，访问日期 2026-10-26.</w:t>
      </w:r>
    </w:p>
    <w:p>
      <w:pPr>
        <w:pStyle w:val="Reference"/>
        <w:spacing w:after="80"/>
      </w:pPr>
      <w:r>
        <w:t>官方资料确认分量表及22项活动评价版本；中文适配与本样本的测量质量需另核查。</w:t>
      </w:r>
      <w:r>
        <w:t xml:space="preserve">  </w:t>
      </w:r>
      <w:hyperlink r:id="rId23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[12] John Brooke. SUS: A Quick and Dirty Usability Scale. 1996. In: Jordan P W, Thomas B, Weerdmeester B A, McClelland I L (eds.). Usability Evaluation in Industry. London: Taylor &amp; Francis, 189–194.</w:t>
      </w:r>
    </w:p>
    <w:p>
      <w:pPr>
        <w:pStyle w:val="Reference"/>
        <w:spacing w:after="80"/>
      </w:pPr>
      <w:r>
        <w:t>标准10项5点评价；计分结果不是百分比，也不是创作能力。</w:t>
      </w:r>
      <w:r>
        <w:t xml:space="preserve">  </w:t>
      </w:r>
      <w:hyperlink r:id="rId24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[13] NASA. NASA Task Load Index (TLX)[EB/OL].</w:t>
      </w:r>
    </w:p>
    <w:p>
      <w:pPr>
        <w:pStyle w:val="Reference"/>
        <w:spacing w:after="80"/>
      </w:pPr>
      <w:r>
        <w:t>本次核对六维度与原加权总分说明；拟加入测量，最终版本和计分规则由预试冻结。</w:t>
      </w:r>
      <w:r>
        <w:t xml:space="preserve">  </w:t>
      </w:r>
      <w:hyperlink r:id="rId25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[14] Koo T K, Li M Y. A Guideline of Selecting and Reporting Intraclass Correlation Coefficients for Reliability Research[J]. Journal of Chiropractic Medicine, 2016, 15(2): 155–163. DOI: 10.1016/j.jcm.2016.02.012</w:t>
      </w:r>
    </w:p>
    <w:p>
      <w:pPr>
        <w:pStyle w:val="Reference"/>
        <w:spacing w:after="80"/>
      </w:pPr>
      <w:r>
        <w:t>按评分者固定/随机、绝对一致性及单人/平均分选择模型；另查2017年表3勘误 https://pmc.ncbi.nlm.nih.gov/articles/PMC5731844/ 。</w:t>
      </w:r>
      <w:r>
        <w:t xml:space="preserve">  </w:t>
      </w:r>
      <w:hyperlink r:id="rId26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[15] NIST/SEMATECH. e-Handbook of Statistical Methods: Full factorial designs, 5.3.3.3[EB/OL].</w:t>
      </w:r>
    </w:p>
    <w:p>
      <w:pPr>
        <w:pStyle w:val="Reference"/>
        <w:spacing w:after="80"/>
      </w:pPr>
      <w:r>
        <w:t>本次核对全因子组合定义；不是本研究样本量或混合模型的现成方案。</w:t>
      </w:r>
      <w:r>
        <w:t xml:space="preserve">  </w:t>
      </w:r>
      <w:hyperlink r:id="rId27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[16] Procreate. Procreate Handbook: Transform. Procreate 官方手册 5.2，访问日期 2026-10-26.</w:t>
      </w:r>
    </w:p>
    <w:p>
      <w:pPr>
        <w:pStyle w:val="Reference"/>
        <w:spacing w:after="80"/>
      </w:pPr>
      <w:r>
        <w:t>产品官方手册支持变换及工具实践比较；不是心理理论或本工具有效性的实证。</w:t>
      </w:r>
      <w:r>
        <w:t xml:space="preserve">  </w:t>
      </w:r>
      <w:hyperlink r:id="rId28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[17] Feather / Sketchsoft. Feather Documentation: Interface. Feather 官方文档，访问日期 2026-10-26.</w:t>
      </w:r>
    </w:p>
    <w:p>
      <w:pPr>
        <w:pStyle w:val="Reference"/>
        <w:spacing w:after="80"/>
      </w:pPr>
      <w:r>
        <w:t>官方界面资料；三维绘画与本项目二维网页的任务和设备条件不同。</w:t>
      </w:r>
      <w:r>
        <w:t xml:space="preserve">  </w:t>
      </w:r>
      <w:hyperlink r:id="rId29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[18] Wagemans J, Elder J H, Kubovy M, et al. A century of Gestalt psychology in visual perception: I. Perceptual grouping and figure-ground organization[J]. Psychological Bulletin, 2012, 138(6): 1172–1217. DOI: 10.1037/a0029333</w:t>
      </w:r>
    </w:p>
    <w:p>
      <w:pPr>
        <w:pStyle w:val="Reference"/>
        <w:spacing w:after="80"/>
      </w:pPr>
      <w:r>
        <w:t>沿用旧蓝图的全文核对记录；本次直接页面遇访问验证。用于分组与图底，不推导某一色值或圆角最优。</w:t>
      </w:r>
      <w:r>
        <w:t xml:space="preserve">  </w:t>
      </w:r>
      <w:hyperlink r:id="rId30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[19] W3C. Web Content Accessibility Guidelines (WCAG) 2.2[EB/OL]. Recommendation, 2024-12-12.</w:t>
      </w:r>
    </w:p>
    <w:p>
      <w:pPr>
        <w:pStyle w:val="Reference"/>
        <w:spacing w:after="80"/>
      </w:pPr>
      <w:r>
        <w:t>本次核对官方现行页面；用于可测试的可访问性约束，不能据代码存在就声明全站合规。</w:t>
      </w:r>
      <w:r>
        <w:t xml:space="preserve">  </w:t>
      </w:r>
      <w:hyperlink r:id="rId31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[20] Google. Create an accessible and personalized theme and brand with Material Design 3[EB/OL].</w:t>
      </w:r>
    </w:p>
    <w:p>
      <w:pPr>
        <w:pStyle w:val="Reference"/>
        <w:spacing w:after="80"/>
      </w:pPr>
      <w:r>
        <w:t>本次核对颜色、字体、形状的角色化组织；网页中的具体取值属于项目决策。</w:t>
      </w:r>
      <w:r>
        <w:t xml:space="preserve">  </w:t>
      </w:r>
      <w:hyperlink r:id="rId32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[21] Lucide. Lucide design language[EB/OL].</w:t>
      </w:r>
    </w:p>
    <w:p>
      <w:pPr>
        <w:pStyle w:val="Reference"/>
        <w:spacing w:after="80"/>
      </w:pPr>
      <w:r>
        <w:t>本次核对24×24网格及2单位标准描边；当前项目显示描边适配须另外说明。</w:t>
      </w:r>
      <w:r>
        <w:t xml:space="preserve">  </w:t>
      </w:r>
      <w:hyperlink r:id="rId33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[22] Resnick M, Myers B, Nakakoji K, et al. Design Principles for Tools to Support Creative Thinking[R]. NSF Workshop on Creativity Support Tools, 2005.</w:t>
      </w:r>
    </w:p>
    <w:p>
      <w:pPr>
        <w:pStyle w:val="Reference"/>
        <w:spacing w:after="80"/>
      </w:pPr>
      <w:r>
        <w:t>沿用旧蓝图已核对报告版本；创造力支持原则用于设计推导，不充当本项目效果数据。</w:t>
      </w:r>
      <w:r>
        <w:t xml:space="preserve">  </w:t>
      </w:r>
      <w:hyperlink r:id="rId34">
        <w:r>
          <w:rPr>
            <w:color w:val="34495E"/>
          </w:rPr>
          <w:t>来源链接</w:t>
        </w:r>
      </w:hyperlink>
    </w:p>
    <w:p>
      <w:pPr>
        <w:pStyle w:val="Reference"/>
        <w:keepNext/>
      </w:pPr>
      <w:r>
        <w:t>[23] 陈奕扬. 促进音乐要素理解的增强现实应用交互设计[D]. 上海交通大学, 2023.</w:t>
      </w:r>
    </w:p>
    <w:p>
      <w:pPr>
        <w:pStyle w:val="Reference"/>
        <w:spacing w:after="80"/>
      </w:pPr>
      <w:r>
        <w:t>本地PDF提供需求、理论、映射、实践和评价的结构参照；本项目学科定位、字数和实验均应按自身问题确定。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星迹智绘  论文写作蓝图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atLeast" w:after="12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40" w:line="420" w:lineRule="exac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40" w:line="420" w:lineRule="exact"/>
      <w:outlineLvl w:val="1"/>
    </w:pPr>
    <w:rPr>
      <w:rFonts w:ascii="Times New Roman" w:hAnsi="Times New Roman" w:eastAsia="黑体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420" w:lineRule="exac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="Times New Roman" w:hAnsi="Times New Roman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Times New Roman" w:hAnsi="Times New Roman" w:eastAsia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exact" w:after="200"/>
    </w:pPr>
    <w:rPr>
      <w:rFonts w:ascii="Times New Roman" w:hAnsi="Times New Roman" w:eastAsia="宋体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Normal"/>
    <w:pPr>
      <w:widowControl/>
      <w:spacing w:line="320" w:lineRule="atLeast" w:after="80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Reference">
    <w:name w:val="Reference"/>
    <w:basedOn w:val="Normal"/>
    <w:pPr>
      <w:widowControl/>
      <w:spacing w:line="320" w:lineRule="atLeast" w:after="80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PlanDetail">
    <w:name w:val="Plan Detail"/>
    <w:basedOn w:val="Normal"/>
    <w:pPr>
      <w:widowControl/>
      <w:spacing w:line="380" w:lineRule="atLeast" w:after="80"/>
    </w:pPr>
    <w:rPr>
      <w:rFonts w:ascii="Times New Roman" w:hAnsi="Times New Roman" w:eastAsia="宋体"/>
      <w:b w:val="0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cs.umd.edu/~ben/papers/Shneiderman2007Creativity.pdf" TargetMode="External"/><Relationship Id="rId14" Type="http://schemas.openxmlformats.org/officeDocument/2006/relationships/hyperlink" Target="https://graphics.stanford.edu/courses/cs248-06/haeberli-paint-by-numbers-sig90.pdf" TargetMode="External"/><Relationship Id="rId15" Type="http://schemas.openxmlformats.org/officeDocument/2006/relationships/hyperlink" Target="https://mrl.cs.nyu.edu/publications/painterly98/" TargetMode="External"/><Relationship Id="rId16" Type="http://schemas.openxmlformats.org/officeDocument/2006/relationships/hyperlink" Target="https://www.microsoft.com/en-us/research/publication/shadowdraw-real-time-user-guidance-for-freehand-drawing/" TargetMode="External"/><Relationship Id="rId17" Type="http://schemas.openxmlformats.org/officeDocument/2006/relationships/hyperlink" Target="https://pmc.ncbi.nlm.nih.gov/articles/PMC8160468/" TargetMode="External"/><Relationship Id="rId18" Type="http://schemas.openxmlformats.org/officeDocument/2006/relationships/hyperlink" Target="https://www.sciencedirect.com/science/article/pii/S1071581996900488" TargetMode="External"/><Relationship Id="rId19" Type="http://schemas.openxmlformats.org/officeDocument/2006/relationships/hyperlink" Target="https://www.sciencedirect.com/science/article/pii/0142694X9290268F" TargetMode="External"/><Relationship Id="rId20" Type="http://schemas.openxmlformats.org/officeDocument/2006/relationships/hyperlink" Target="https://selfdeterminationtheory.org/SDT/documents/2000_RyanDeci_SDT.pdf" TargetMode="External"/><Relationship Id="rId21" Type="http://schemas.openxmlformats.org/officeDocument/2006/relationships/hyperlink" Target="https://kilthub.cmu.edu/articles/journal_contribution/Research_Through_Design_as_a_Method_for_Interaction_Design_Research_in_HCI/6470393" TargetMode="External"/><Relationship Id="rId22" Type="http://schemas.openxmlformats.org/officeDocument/2006/relationships/hyperlink" Target="https://arxiv.org/abs/2204.07666v1" TargetMode="External"/><Relationship Id="rId23" Type="http://schemas.openxmlformats.org/officeDocument/2006/relationships/hyperlink" Target="https://selfdeterminationtheory.org/intrinsic-motivation-inventory/" TargetMode="External"/><Relationship Id="rId24" Type="http://schemas.openxmlformats.org/officeDocument/2006/relationships/hyperlink" Target="https://digital.ahrq.gov/sites/default/files/docs/survey/systemusabilityscale%2528sus%2529_comp%255B1%255D.pdf" TargetMode="External"/><Relationship Id="rId25" Type="http://schemas.openxmlformats.org/officeDocument/2006/relationships/hyperlink" Target="https://www.nasa.gov/human-systems-integration-division/nasa-task-load-index-tlx/" TargetMode="External"/><Relationship Id="rId26" Type="http://schemas.openxmlformats.org/officeDocument/2006/relationships/hyperlink" Target="https://pmc.ncbi.nlm.nih.gov/articles/PMC4913118/" TargetMode="External"/><Relationship Id="rId27" Type="http://schemas.openxmlformats.org/officeDocument/2006/relationships/hyperlink" Target="https://www.itl.nist.gov/div898/handbook/pri/section3/pri333.htm" TargetMode="External"/><Relationship Id="rId28" Type="http://schemas.openxmlformats.org/officeDocument/2006/relationships/hyperlink" Target="https://help.procreate.com/procreate/handbook/5.2/transform" TargetMode="External"/><Relationship Id="rId29" Type="http://schemas.openxmlformats.org/officeDocument/2006/relationships/hyperlink" Target="https://support.feather.art/docs/interfaceandgestures/interface" TargetMode="External"/><Relationship Id="rId30" Type="http://schemas.openxmlformats.org/officeDocument/2006/relationships/hyperlink" Target="https://pmc.ncbi.nlm.nih.gov/articles/PMC3482144/" TargetMode="External"/><Relationship Id="rId31" Type="http://schemas.openxmlformats.org/officeDocument/2006/relationships/hyperlink" Target="https://www.w3.org/TR/WCAG22/" TargetMode="External"/><Relationship Id="rId32" Type="http://schemas.openxmlformats.org/officeDocument/2006/relationships/hyperlink" Target="https://developer.android.com/codelabs/m3-design-theming" TargetMode="External"/><Relationship Id="rId33" Type="http://schemas.openxmlformats.org/officeDocument/2006/relationships/hyperlink" Target="https://lucide.dev/contribute/icons/design-principles" TargetMode="External"/><Relationship Id="rId34" Type="http://schemas.openxmlformats.org/officeDocument/2006/relationships/hyperlink" Target="https://doi.org/10.1184/R1/6621917.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星迹智绘论文写作蓝图</dc:title>
  <dc:subject>表达支持定位 设计分工 证据链 章节衔接 2×2实验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