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20"/>
        <w:numPr>
          <w:numId w:val="0"/>
        </w:numPr>
      </w:pPr>
      <w:r>
        <w:t>1.3 研究目的与意义</w:t>
      </w:r>
    </w:p>
    <w:p>
      <w:pPr>
        <w:pStyle w:val="30"/>
        <w:numPr>
          <w:numId w:val="0"/>
        </w:numPr>
      </w:pPr>
      <w:r>
        <w:t>1.3.1 研究目的与研究问题</w:t>
      </w:r>
    </w:p>
    <w:p>
      <w:pPr>
        <w:pStyle w:val="a2"/>
        <w:widowControl/>
        <w:ind w:firstLineChars="200" w:firstLine="480"/>
      </w:pPr>
      <w:r>
        <w:t>本研究面向具有日常记录和个人表达愿望、但缺乏熟练手绘技能的成年用户，探索以素材编排组织创作内容、以图像笔触拆解计算承担绘画执行的交互方式。用户通过素材选择、位置、尺度及组合关系作出表达决定，系统将更新后的目标图像转化为笔触，使这些决定逐步进入同一画面。研究关注这种分工能否帮助用户落实表达意图，并在观察画面形成的过程中保留继续判断和介入的机会。</w:t>
      </w:r>
    </w:p>
    <w:p>
      <w:pPr>
        <w:pStyle w:val="a2"/>
        <w:widowControl/>
        <w:ind w:firstLineChars="200" w:firstLine="480"/>
      </w:pPr>
      <w:r>
        <w:t>围绕上述目的，本文提出三个研究问题：</w:t>
      </w:r>
    </w:p>
    <w:p>
      <w:pPr>
        <w:pStyle w:val="a2"/>
        <w:widowControl/>
        <w:ind w:firstLineChars="200" w:firstLine="480"/>
      </w:pPr>
      <w:r>
        <w:t>RQ1：绘画初学者希望通过图像表达哪些经历、感受或想法？这些意图在转化为作品时，受到哪些手绘执行与工具操作阻力的影响？研究将结合具体创作经历和任务过程，明确目标用户及适用场景。</w:t>
      </w:r>
    </w:p>
    <w:p>
      <w:pPr>
        <w:pStyle w:val="a2"/>
        <w:widowControl/>
        <w:ind w:firstLineChars="200" w:firstLine="480"/>
      </w:pPr>
      <w:r>
        <w:t>RQ2：如何将表达需求转化为可操作的素材选择与空间编排，并由笔触计算承接？结合外部认知、设计中的观看与判断、自我决定理论，建立表达决定、过程反馈与用户控制之间的设计联系</w:t>
      </w:r>
      <w:r>
        <w:rPr>
          <w:sz w:val="18"/>
          <w:vertAlign w:val="superscript"/>
        </w:rPr>
        <w:t>[1-3]</w:t>
      </w:r>
      <w:r>
        <w:t>，形成素材编排、渐进绘制及再次介入的交互方案。</w:t>
      </w:r>
    </w:p>
    <w:p>
      <w:pPr>
        <w:pStyle w:val="a2"/>
        <w:widowControl/>
        <w:ind w:firstLineChars="200" w:firstLine="480"/>
      </w:pPr>
      <w:r>
        <w:t>RQ3：自动绘画与素材编排分别及共同对表达实现和感知选择产生何种影响？该问题包括自动执行的作用、编排支持的作用及二者的交互作用三个子问题。采用“笔触执行方式（手动／自动）×素材编排支持（无／有）”的2×2对照设计，自动条件不要求用户手绘；操作耗时、求助和可用性作为补充评价。</w:t>
      </w:r>
    </w:p>
    <w:p>
      <w:pPr>
        <w:pStyle w:val="a2"/>
        <w:widowControl/>
        <w:ind w:firstLineChars="200" w:firstLine="480"/>
      </w:pPr>
      <w:r>
        <w:t>用户是否因观察中间画面而产生新想法，将通过操作记录与回顾访谈考察，追踪“观察、判断、继续编排”的具体过程，不将其另设为第三个实验因素。</w:t>
      </w:r>
    </w:p>
    <w:p>
      <w:pPr>
        <w:pStyle w:val="30"/>
        <w:numPr>
          <w:numId w:val="0"/>
        </w:numPr>
      </w:pPr>
      <w:r>
        <w:t>1.3.2 研究意义与贡献范围</w:t>
      </w:r>
    </w:p>
    <w:p>
      <w:pPr>
        <w:pStyle w:val="a2"/>
        <w:widowControl/>
        <w:ind w:firstLineChars="200" w:firstLine="480"/>
      </w:pPr>
      <w:r>
        <w:t>在设计学层面，本文将绘画辅助的讨论由笔迹执行延伸至表达决定如何得到支持。通过说明用户决定什么、系统执行什么，以及双方如何交接控制，尝试形成可供相似创作任务参考的交互设计认识。素材库的连续调用、直接变换、绘制状态提示和界面信息层级，是落实这一分工的具体载体；其价值需由用户能否理解操作后果、实施决定及完成任务来评价。</w:t>
      </w:r>
    </w:p>
    <w:p>
      <w:pPr>
        <w:pStyle w:val="a2"/>
        <w:widowControl/>
        <w:ind w:firstLineChars="200" w:firstLine="480"/>
      </w:pPr>
      <w:r>
        <w:t>在艺术实践层面，本研究探索手绘技能之外的创作参与方式。用户通过选择、取舍和组织视觉关系参与作品形成，笔触计算承担相应的绘画表现。作品评价因此关注内容、关系和表达线索是否符合用户意图，并区分视觉协调与表达实现，为讨论自动执行条件下的创作参与提供具体案例。</w:t>
      </w:r>
    </w:p>
    <w:p>
      <w:pPr>
        <w:pStyle w:val="a2"/>
        <w:widowControl/>
        <w:ind w:firstLineChars="200" w:firstLine="480"/>
      </w:pPr>
      <w:r>
        <w:t>技术适配服务于上述交互目标。多尺度曲线笔触借鉴Hertzmann的绘画式渲染方法</w:t>
      </w:r>
      <w:r>
        <w:rPr>
          <w:sz w:val="18"/>
          <w:vertAlign w:val="superscript"/>
        </w:rPr>
        <w:t>[4]</w:t>
      </w:r>
      <w:r>
        <w:t>；本项目将每轮笔触预算分配到由粗到细的阶段，并将早期固定扫描调整为基于剩余误差的落笔位置选择，结合目标更新支持素材加入后的局部优先续绘。本文的设计工作集中于素材编排与续绘的衔接、提示可读性及创作工具界面的组织，具体依据和取舍在第四章展开，其作用通过第五章评价。既有算法构成技术基础，本文的贡献在于围绕表达支持组织交互并检验其适用条件。研究结论限于规定用户、任务与使用时段，不据此主张普遍提升绘画技能或一般创造力。研究范围与支持方式比较分别见图1.1和表1.1。</w:t>
      </w:r>
    </w:p>
    <w:p>
      <w:pPr>
        <w:keepNext/>
        <w:spacing w:before="120" w:after="60" w:line="240" w:lineRule="auto"/>
        <w:ind w:firstLine="0"/>
        <w:jc w:val="center"/>
      </w:pPr>
      <w:r>
        <w:drawing>
          <wp:inline xmlns:a="http://schemas.openxmlformats.org/drawingml/2006/main" xmlns:pic="http://schemas.openxmlformats.org/drawingml/2006/picture">
            <wp:extent cx="5580000" cy="2565000"/>
            <wp:docPr id="1" name="Picture 1" descr="素材编排与系统绘制的研究范围。来源：作者绘制。"/>
            <wp:cNvGraphicFramePr>
              <a:graphicFrameLocks noChangeAspect="1"/>
            </wp:cNvGraphicFramePr>
            <a:graphic>
              <a:graphicData uri="http://schemas.openxmlformats.org/drawingml/2006/picture">
                <pic:pic>
                  <pic:nvPicPr>
                    <pic:cNvPr id="0" name="研究范围图.png"/>
                    <pic:cNvPicPr/>
                  </pic:nvPicPr>
                  <pic:blipFill>
                    <a:blip r:embed="rId29"/>
                    <a:stretch>
                      <a:fillRect/>
                    </a:stretch>
                  </pic:blipFill>
                  <pic:spPr>
                    <a:xfrm>
                      <a:off x="0" y="0"/>
                      <a:ext cx="5580000" cy="2565000"/>
                    </a:xfrm>
                    <a:prstGeom prst="rect"/>
                  </pic:spPr>
                </pic:pic>
              </a:graphicData>
            </a:graphic>
          </wp:inline>
        </w:drawing>
      </w:r>
    </w:p>
    <w:p>
      <w:pPr>
        <w:pStyle w:val="aa"/>
        <w:keepNext/>
        <w:keepLines/>
        <w:spacing w:before="0" w:after="0" w:line="300" w:lineRule="atLeast"/>
        <w:ind w:firstLine="0"/>
        <w:jc w:val="center"/>
      </w:pPr>
      <w:r>
        <w:t>图1.1  素材编排与系统绘制的研究范围</w:t>
      </w:r>
    </w:p>
    <w:p>
      <w:pPr>
        <w:pStyle w:val="ad"/>
        <w:keepNext/>
        <w:keepLines/>
        <w:spacing w:before="0" w:after="0" w:line="300" w:lineRule="atLeast"/>
        <w:ind w:firstLine="0"/>
        <w:jc w:val="center"/>
      </w:pPr>
      <w:r>
        <w:t>Figure 1.1  Research scope of material composition and system-executed painting</w:t>
      </w:r>
    </w:p>
    <w:p>
      <w:pPr>
        <w:keepLines/>
        <w:spacing w:line="260" w:lineRule="atLeast" w:before="60" w:after="120"/>
        <w:ind w:firstLine="0"/>
      </w:pPr>
      <w:r>
        <w:rPr>
          <w:sz w:val="19"/>
        </w:rPr>
        <w:t>来源：作者绘制。</w:t>
      </w:r>
    </w:p>
    <w:p>
      <w:pPr>
        <w:pStyle w:val="aa"/>
        <w:keepNext/>
        <w:keepLines/>
        <w:spacing w:before="0" w:after="0" w:line="300" w:lineRule="atLeast"/>
        <w:ind w:firstLine="0"/>
        <w:jc w:val="center"/>
      </w:pPr>
      <w:r>
        <w:t>表1.1  工具支持方式与本文方案的比较</w:t>
      </w:r>
    </w:p>
    <w:p>
      <w:pPr>
        <w:pStyle w:val="ad"/>
        <w:keepNext/>
        <w:keepLines/>
        <w:spacing w:before="0" w:after="0" w:line="300" w:lineRule="atLeast"/>
        <w:ind w:firstLine="0"/>
        <w:jc w:val="center"/>
      </w:pPr>
      <w:r>
        <w:t>Table 1.1  Comparison of tool support modes and the proposed approach</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871"/>
        <w:gridCol w:w="2381"/>
        <w:gridCol w:w="2268"/>
        <w:gridCol w:w="2268"/>
      </w:tblGrid>
      <w:tr>
        <w:trPr>
          <w:cantSplit/>
          <w:tblHeader/>
        </w:trPr>
        <w:tc>
          <w:tcPr>
            <w:tcW w:type="dxa" w:w="187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支持方式</w:t>
            </w:r>
          </w:p>
        </w:tc>
        <w:tc>
          <w:tcPr>
            <w:tcW w:type="dxa" w:w="238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用户的主要决定</w:t>
            </w:r>
          </w:p>
        </w:tc>
        <w:tc>
          <w:tcPr>
            <w:tcW w:type="dxa" w:w="226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系统承担的工作</w:t>
            </w:r>
          </w:p>
        </w:tc>
        <w:tc>
          <w:tcPr>
            <w:tcW w:type="dxa" w:w="226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过程反馈</w:t>
            </w:r>
          </w:p>
        </w:tc>
      </w:tr>
      <w:tr>
        <w:trPr>
          <w:cantSplit/>
        </w:trPr>
        <w:tc>
          <w:tcPr>
            <w:tcW w:type="dxa" w:w="1871"/>
            <w:vAlign w:val="center"/>
            <w:tcMar>
              <w:top w:w="85" w:type="dxa"/>
              <w:bottom w:w="85" w:type="dxa"/>
              <w:left w:w="80" w:type="dxa"/>
              <w:right w:w="80" w:type="dxa"/>
            </w:tcMar>
          </w:tcPr>
          <w:p>
            <w:pPr>
              <w:pStyle w:val="af"/>
              <w:keepNext/>
              <w:spacing w:before="0" w:after="0" w:line="300" w:lineRule="atLeast"/>
              <w:ind w:firstLine="0"/>
              <w:jc w:val="left"/>
            </w:pPr>
            <w:r>
              <w:rPr>
                <w:b w:val="0"/>
              </w:rPr>
              <w:t>普通数字画布</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内容、构图与逐笔操作</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显示和记录用户笔迹</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即时笔迹反馈</w:t>
            </w:r>
          </w:p>
        </w:tc>
      </w:tr>
      <w:tr>
        <w:trPr>
          <w:cantSplit/>
        </w:trPr>
        <w:tc>
          <w:tcPr>
            <w:tcW w:type="dxa" w:w="1871"/>
            <w:vAlign w:val="center"/>
            <w:tcMar>
              <w:top w:w="85" w:type="dxa"/>
              <w:bottom w:w="85" w:type="dxa"/>
              <w:left w:w="80" w:type="dxa"/>
              <w:right w:w="80" w:type="dxa"/>
            </w:tcMar>
          </w:tcPr>
          <w:p>
            <w:pPr>
              <w:pStyle w:val="af"/>
              <w:keepNext/>
              <w:spacing w:before="0" w:after="0" w:line="300" w:lineRule="atLeast"/>
              <w:ind w:firstLine="0"/>
              <w:jc w:val="left"/>
            </w:pPr>
            <w:r>
              <w:rPr>
                <w:b w:val="0"/>
              </w:rPr>
              <w:t>参照引导绘画</w:t>
              <w:br/>
              <w:t>ShadowDraw</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依据动态参照选择并落笔</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检索、混合轮廓参照</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随手绘更新的阴影提示</w:t>
            </w:r>
          </w:p>
        </w:tc>
      </w:tr>
      <w:tr>
        <w:trPr>
          <w:cantSplit/>
        </w:trPr>
        <w:tc>
          <w:tcPr>
            <w:tcW w:type="dxa" w:w="1871"/>
            <w:vAlign w:val="center"/>
            <w:tcMar>
              <w:top w:w="85" w:type="dxa"/>
              <w:bottom w:w="85" w:type="dxa"/>
              <w:left w:w="80" w:type="dxa"/>
              <w:right w:w="80" w:type="dxa"/>
            </w:tcMar>
          </w:tcPr>
          <w:p>
            <w:pPr>
              <w:pStyle w:val="af"/>
              <w:keepNext/>
              <w:spacing w:before="0" w:after="0" w:line="300" w:lineRule="atLeast"/>
              <w:ind w:firstLine="0"/>
              <w:jc w:val="left"/>
            </w:pPr>
            <w:r>
              <w:rPr>
                <w:b w:val="0"/>
              </w:rPr>
              <w:t>布局驱动图像合成</w:t>
              <w:br/>
              <w:t>Sketch2Photo</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带标签草图、对象布局与候选取舍</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检索、筛选并合成照片</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候选结果及交互修正</w:t>
            </w:r>
          </w:p>
        </w:tc>
      </w:tr>
      <w:tr>
        <w:trPr>
          <w:cantSplit/>
        </w:trPr>
        <w:tc>
          <w:tcPr>
            <w:tcW w:type="dxa" w:w="1871"/>
            <w:vAlign w:val="center"/>
            <w:tcMar>
              <w:top w:w="85" w:type="dxa"/>
              <w:bottom w:w="85" w:type="dxa"/>
              <w:left w:w="80" w:type="dxa"/>
              <w:right w:w="80" w:type="dxa"/>
            </w:tcMar>
          </w:tcPr>
          <w:p>
            <w:pPr>
              <w:pStyle w:val="af"/>
              <w:keepNext/>
              <w:spacing w:before="0" w:after="0" w:line="300" w:lineRule="atLeast"/>
              <w:ind w:firstLine="0"/>
              <w:jc w:val="left"/>
            </w:pPr>
            <w:r>
              <w:rPr>
                <w:b w:val="0"/>
              </w:rPr>
              <w:t>本文的素材驱动共创</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照片选择、素材布局与后续补充</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将更新目标转为笔触并继续绘制</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渐进画面与可继续编排的机会</w:t>
            </w:r>
          </w:p>
        </w:tc>
      </w:tr>
    </w:tbl>
    <w:p>
      <w:pPr>
        <w:keepLines/>
        <w:spacing w:line="260" w:lineRule="atLeast" w:before="60" w:after="120"/>
        <w:ind w:firstLine="0"/>
      </w:pPr>
      <w:r>
        <w:rPr>
          <w:sz w:val="19"/>
        </w:rPr>
        <w:t>来源：依据Lee等</w:t>
      </w:r>
      <w:r>
        <w:rPr>
          <w:sz w:val="18"/>
          <w:vertAlign w:val="superscript"/>
        </w:rPr>
        <w:t>[5]</w:t>
      </w:r>
      <w:r>
        <w:rPr>
          <w:sz w:val="19"/>
        </w:rPr>
        <w:t>、Chen等</w:t>
      </w:r>
      <w:r>
        <w:rPr>
          <w:sz w:val="18"/>
          <w:vertAlign w:val="superscript"/>
        </w:rPr>
        <w:t>[6]</w:t>
      </w:r>
      <w:r>
        <w:rPr>
          <w:sz w:val="19"/>
        </w:rPr>
        <w:t>研究及本文设计方案整理。</w:t>
      </w:r>
    </w:p>
    <w:p>
      <w:pPr>
        <w:pStyle w:val="20"/>
        <w:numPr>
          <w:numId w:val="0"/>
        </w:numPr>
      </w:pPr>
      <w:r>
        <w:t>1.4 研究方法与框架</w:t>
      </w:r>
    </w:p>
    <w:p>
      <w:pPr>
        <w:pStyle w:val="30"/>
        <w:numPr>
          <w:numId w:val="0"/>
        </w:numPr>
      </w:pPr>
      <w:r>
        <w:t>1.4.1 研究方法</w:t>
      </w:r>
    </w:p>
    <w:p>
      <w:pPr>
        <w:pStyle w:val="a2"/>
        <w:widowControl/>
        <w:ind w:firstLineChars="200" w:firstLine="480"/>
      </w:pPr>
      <w:r>
        <w:t>本文结合定性与定量方法，以文献、用户资料、设计记录和实验数据分别回答需求、机制与效果问题。研究方法包括：</w:t>
      </w:r>
    </w:p>
    <w:p>
      <w:pPr>
        <w:pStyle w:val="a2"/>
        <w:widowControl/>
        <w:ind w:firstLineChars="200" w:firstLine="480"/>
      </w:pPr>
      <w:r>
        <w:t>（1）文献研究与案例比较。梳理创作表达、笔触计算及人机协作研究，比较工具中的内容控制、执行要求和反馈方式；核对理论与量表来源，确定设计依据及评价范围。</w:t>
      </w:r>
    </w:p>
    <w:p>
      <w:pPr>
        <w:pStyle w:val="a2"/>
        <w:widowControl/>
        <w:ind w:firstLineChars="200" w:firstLine="480"/>
      </w:pPr>
      <w:r>
        <w:t>（2）访谈与观察。通过半结构访谈了解真实表达经历及替代方法，以普通画布任务观察构思、落笔和求助；对资料编码并保留反例，区分展示原型前后的意见。</w:t>
      </w:r>
    </w:p>
    <w:p>
      <w:pPr>
        <w:pStyle w:val="a2"/>
        <w:widowControl/>
        <w:ind w:firstLineChars="200" w:firstLine="480"/>
      </w:pPr>
      <w:r>
        <w:t>（3）交互设计研究。参考通过设计开展研究的思路</w:t>
      </w:r>
      <w:r>
        <w:rPr>
          <w:sz w:val="18"/>
          <w:vertAlign w:val="superscript"/>
        </w:rPr>
        <w:t>[7]</w:t>
      </w:r>
      <w:r>
        <w:t>，将需求转化为流程、状态和界面方案，记录笔触适配及设计取舍；固定输入与参数比较绘制效果。以既有原型为设计案例，分别记录需求核查与评价的实施时间。</w:t>
      </w:r>
    </w:p>
    <w:p>
      <w:pPr>
        <w:pStyle w:val="a2"/>
        <w:widowControl/>
        <w:ind w:firstLineChars="200" w:firstLine="480"/>
      </w:pPr>
      <w:r>
        <w:t>（4）对照实验与综合分析。先预试任务和评分量规，再开展2×2实验；采用匹配的平行照片，平衡条件次序并记录轮次。拟采用内在动机量表（IMI）的兴趣／享受、感知能力、感知选择及压力／紧张分量表</w:t>
      </w:r>
      <w:r>
        <w:rPr>
          <w:sz w:val="18"/>
          <w:vertAlign w:val="superscript"/>
        </w:rPr>
        <w:t>[8]</w:t>
      </w:r>
      <w:r>
        <w:t>，并以系统可用性量表（SUS）评价总体感知可用性</w:t>
      </w:r>
      <w:r>
        <w:rPr>
          <w:sz w:val="18"/>
          <w:vertAlign w:val="superscript"/>
        </w:rPr>
        <w:t>[9]</w:t>
      </w:r>
      <w:r>
        <w:t>；经译本核对和预试后分别计分。表达意图在条件教学前记录，作品按意图对应量规由两位评分者独立评定并报告一致性。混合效应分析估计主效应与交互作用，结合日志和回顾访谈解释结果。资料采集前取得知情同意并去标识化处理资料。</w:t>
      </w:r>
    </w:p>
    <w:p>
      <w:pPr>
        <w:pStyle w:val="30"/>
        <w:numPr>
          <w:numId w:val="0"/>
        </w:numPr>
      </w:pPr>
      <w:r>
        <w:t>1.4.2 研究框架</w:t>
      </w:r>
    </w:p>
    <w:p>
      <w:pPr>
        <w:pStyle w:val="a2"/>
        <w:widowControl/>
        <w:ind w:firstLineChars="200" w:firstLine="480"/>
      </w:pPr>
      <w:r>
        <w:t>全文围绕“表达需求、设计依据、交互实践与效果评价”展开，章节输入和输出如图1.2所示。第一章通过研究现状比较界定问题与范围，提出RQ1—RQ3。第二章承接RQ1，核查创作经历与操作阻力，形成用户需求和评价要求。第三章结合相关理论，将需求转化为设计原则及要素映射。第四章据此说明素材编排、笔触续绘、状态提示和视觉界面的设计与实现，呈现算法借鉴与自有设计的边界。第五章通过预试及正式实验回答RQ3，并解释操作过程与体验差异；第六章综合证据回应研究问题，归纳贡献、限制及后续方向。</w:t>
      </w:r>
    </w:p>
    <w:p>
      <w:pPr>
        <w:pStyle w:val="a2"/>
        <w:widowControl/>
        <w:ind w:firstLineChars="200" w:firstLine="480"/>
      </w:pPr>
      <w:r>
        <w:t>本文将“图像笔触拆解计算”界定为依据目标图像求解并组织笔触序列的方法；“素材编排”指对素材及空间关系的选择和调整；“表达实现”指作品与用户表达意图的对应程度。“人机协作”指用户决定内容关系、系统执行笔触的操作分工，不预设系统具有语义理解能力。</w:t>
      </w:r>
    </w:p>
    <w:p>
      <w:pPr>
        <w:pStyle w:val="a2"/>
        <w:widowControl/>
        <w:ind w:firstLineChars="200" w:firstLine="480"/>
      </w:pPr>
      <w:r>
        <w:t>执行支持与用户参与需要同时考虑，其重要性取决于具体用户与任务。下一章因此从初学者的创作经历和操作过程出发，核查本文所讨论的表达需要与阻力。</w:t>
      </w:r>
    </w:p>
    <w:p>
      <w:pPr>
        <w:keepNext/>
        <w:pageBreakBefore/>
        <w:spacing w:before="0" w:after="60" w:line="240" w:lineRule="auto"/>
        <w:ind w:firstLine="0"/>
        <w:jc w:val="center"/>
      </w:pPr>
      <w:r>
        <w:drawing>
          <wp:inline xmlns:a="http://schemas.openxmlformats.org/drawingml/2006/main" xmlns:pic="http://schemas.openxmlformats.org/drawingml/2006/picture">
            <wp:extent cx="5580000" cy="7002000"/>
            <wp:docPr id="2" name="Picture 2" descr="研究思路与章节框架。来源：作者绘制；框架组织形式参考陈奕扬。"/>
            <wp:cNvGraphicFramePr>
              <a:graphicFrameLocks noChangeAspect="1"/>
            </wp:cNvGraphicFramePr>
            <a:graphic>
              <a:graphicData uri="http://schemas.openxmlformats.org/drawingml/2006/picture">
                <pic:pic>
                  <pic:nvPicPr>
                    <pic:cNvPr id="0" name="研究框架图.png"/>
                    <pic:cNvPicPr/>
                  </pic:nvPicPr>
                  <pic:blipFill>
                    <a:blip r:embed="rId30"/>
                    <a:stretch>
                      <a:fillRect/>
                    </a:stretch>
                  </pic:blipFill>
                  <pic:spPr>
                    <a:xfrm>
                      <a:off x="0" y="0"/>
                      <a:ext cx="5580000" cy="7002000"/>
                    </a:xfrm>
                    <a:prstGeom prst="rect"/>
                  </pic:spPr>
                </pic:pic>
              </a:graphicData>
            </a:graphic>
          </wp:inline>
        </w:drawing>
      </w:r>
    </w:p>
    <w:p>
      <w:pPr>
        <w:pStyle w:val="aa"/>
        <w:keepNext/>
        <w:keepLines/>
        <w:spacing w:before="0" w:after="0" w:line="300" w:lineRule="atLeast"/>
        <w:ind w:firstLine="0"/>
        <w:jc w:val="center"/>
      </w:pPr>
      <w:r>
        <w:t>图1.2  研究思路与章节框架</w:t>
      </w:r>
    </w:p>
    <w:p>
      <w:pPr>
        <w:pStyle w:val="ad"/>
        <w:keepNext/>
        <w:keepLines/>
        <w:spacing w:before="0" w:after="0" w:line="300" w:lineRule="atLeast"/>
        <w:ind w:firstLine="0"/>
        <w:jc w:val="center"/>
      </w:pPr>
      <w:r>
        <w:t>Figure 1.2  Research framework and chapter relationships</w:t>
      </w:r>
    </w:p>
    <w:p>
      <w:pPr>
        <w:keepLines/>
        <w:spacing w:line="260" w:lineRule="atLeast" w:before="60" w:after="120"/>
        <w:ind w:firstLine="0"/>
      </w:pPr>
      <w:r>
        <w:rPr>
          <w:sz w:val="19"/>
        </w:rPr>
        <w:t>来源：作者绘制；框架组织形式参考陈奕扬</w:t>
      </w:r>
      <w:r>
        <w:rPr>
          <w:sz w:val="18"/>
          <w:vertAlign w:val="superscript"/>
        </w:rPr>
        <w:t>[10]</w:t>
      </w:r>
      <w:r>
        <w:rPr>
          <w:sz w:val="19"/>
        </w:rPr>
        <w:t>。</w:t>
      </w:r>
    </w:p>
    <w:p>
      <w:pPr>
        <w:pStyle w:val="20"/>
        <w:pageBreakBefore/>
        <w:numPr>
          <w:numId w:val="0"/>
        </w:numPr>
      </w:pPr>
      <w:r>
        <w:t>本节参考文献</w:t>
      </w:r>
    </w:p>
    <w:p>
      <w:pPr>
        <w:pStyle w:val="af1"/>
        <w:keepLines/>
        <w:widowControl/>
        <w:ind w:firstLine="0" w:left="0"/>
        <w:jc w:val="left"/>
      </w:pPr>
      <w:r>
        <w:t>[1] SCAIFE M, ROGERS Y. External cognition: How do graphical representations work?[J]. International Journal of Human-Computer Studies, 1996, 45(2): 185–213. DOI: 10.1006/ijhc.1996.0048.</w:t>
      </w:r>
    </w:p>
    <w:p>
      <w:pPr>
        <w:pStyle w:val="af1"/>
        <w:keepLines/>
        <w:widowControl/>
        <w:ind w:firstLine="0" w:left="0"/>
        <w:jc w:val="left"/>
      </w:pPr>
      <w:r>
        <w:t>[2] SCHÖN D A, WIGGINS G. Kinds of seeing and their functions in designing[J]. Design Studies, 1992, 13(2): 135–156. DOI: 10.1016/0142-694X(92)90268-F.</w:t>
      </w:r>
    </w:p>
    <w:p>
      <w:pPr>
        <w:pStyle w:val="af1"/>
        <w:keepLines/>
        <w:widowControl/>
        <w:ind w:firstLine="0" w:left="0"/>
        <w:jc w:val="left"/>
      </w:pPr>
      <w:r>
        <w:t>[3] RYAN R M, DECI E L. Self-determination theory and the facilitation of intrinsic motivation, social development, and well-being[J]. American Psychologist, 2000, 55(1): 68–78. DOI: 10.1037/0003-066X.55.1.68.</w:t>
      </w:r>
    </w:p>
    <w:p>
      <w:pPr>
        <w:pStyle w:val="af1"/>
        <w:keepLines/>
        <w:widowControl/>
        <w:ind w:firstLine="0" w:left="0"/>
        <w:jc w:val="left"/>
      </w:pPr>
      <w:r>
        <w:t>[4] HERTZMANN A. Painterly rendering with curved brush strokes of multiple sizes[C]//Proceedings of SIGGRAPH 98. New York: ACM, 1998: 453–460. DOI: 10.1145/280814.280951.</w:t>
      </w:r>
    </w:p>
    <w:p>
      <w:pPr>
        <w:pStyle w:val="af1"/>
        <w:keepLines/>
        <w:widowControl/>
        <w:ind w:firstLine="0" w:left="0"/>
        <w:jc w:val="left"/>
      </w:pPr>
      <w:r>
        <w:t>[5] LEE Y J, ZITNICK C L, COHEN M F. ShadowDraw: Real-time user guidance for freehand drawing[J]. ACM Transactions on Graphics, 2011, 30(4): 27:1–27:10. DOI: 10.1145/2010324.1964922.</w:t>
      </w:r>
    </w:p>
    <w:p>
      <w:pPr>
        <w:pStyle w:val="af1"/>
        <w:keepLines/>
        <w:widowControl/>
        <w:ind w:firstLine="0" w:left="0"/>
        <w:jc w:val="left"/>
      </w:pPr>
      <w:r>
        <w:t>[6] CHEN T, CHENG M M, TAN P, et al. Sketch2Photo: Internet image montage[J]. ACM Transactions on Graphics, 2009, 28(5): 124:1–124:10. DOI: 10.1145/1618452.1618470.</w:t>
      </w:r>
    </w:p>
    <w:p>
      <w:pPr>
        <w:pStyle w:val="af1"/>
        <w:keepLines/>
        <w:widowControl/>
        <w:ind w:firstLine="0" w:left="0"/>
        <w:jc w:val="left"/>
      </w:pPr>
      <w:r>
        <w:t>[7] ZIMMERMAN J, FORLIZZI J, EVENSON S. Research through design as a method for interaction design research in HCI[C]//Proceedings of CHI 2007. New York: ACM, 2007: 493–502. DOI: 10.1145/1240624.1240704.</w:t>
      </w:r>
    </w:p>
    <w:p>
      <w:pPr>
        <w:pStyle w:val="af1"/>
        <w:keepLines/>
        <w:widowControl/>
        <w:ind w:firstLine="0" w:left="0"/>
        <w:jc w:val="left"/>
      </w:pPr>
      <w:r>
        <w:t>[8] CENTER FOR SELF-DETERMINATION THEORY. Intrinsic Motivation Inventory (IMI)[EB/OL]. [2026-10-27]. https://selfdeterminationtheory.org/intrinsic-motivation-inventory/.</w:t>
      </w:r>
    </w:p>
    <w:p>
      <w:pPr>
        <w:pStyle w:val="af1"/>
        <w:keepLines/>
        <w:widowControl/>
        <w:ind w:firstLine="0" w:left="0"/>
        <w:jc w:val="left"/>
      </w:pPr>
      <w:r>
        <w:t>[9] BROOKE J. SUS: A quick and dirty usability scale[M]//JORDAN P W, THOMAS B, WEERDMEESTER B A, et al. Usability evaluation in industry. London: Taylor &amp; Francis, 1996: 189–194.</w:t>
      </w:r>
    </w:p>
    <w:p>
      <w:pPr>
        <w:pStyle w:val="af1"/>
        <w:keepLines/>
        <w:widowControl/>
        <w:ind w:firstLine="0" w:left="0"/>
        <w:jc w:val="left"/>
      </w:pPr>
      <w:r>
        <w:t>[10] 陈奕扬. 促进音乐要素理解的增强现实应用交互设计[D]. 上海: 上海交通大学, 2023.</w:t>
      </w:r>
    </w:p>
    <w:sectPr w:rsidR="00387DC6" w:rsidSect="007C65D7">
      <w:headerReference w:type="default" r:id="rId27"/>
      <w:footerReference w:type="default" r:id="rId28"/>
      <w:pgSz w:w="11906" w:h="16838" w:code="9"/>
      <w:pgMar w:top="1985" w:right="1418" w:bottom="2268" w:left="1418" w:header="1418" w:footer="1701" w:gutter="284"/>
      <w:cols w:space="425"/>
      <w:docGrid w:linePitch="312"/>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4-06-27T21:01:00Z" w:initials="v">
    <w:p w14:paraId="230DB87A" w14:textId="77777777" w:rsidR="002E6D37" w:rsidRDefault="002E6D37">
      <w:pPr>
        <w:pStyle w:val="af4"/>
      </w:pPr>
      <w:r>
        <w:rPr>
          <w:rStyle w:val="af3"/>
        </w:rPr>
        <w:annotationRef/>
      </w:r>
      <w:r w:rsidRPr="002E6D37">
        <w:rPr>
          <w:rFonts w:hint="eastAsia"/>
        </w:rPr>
        <w:t>中文标题页，无页眉页脚，页面布局两端对齐。</w:t>
      </w:r>
    </w:p>
    <w:p w14:paraId="7F82514D" w14:textId="77777777" w:rsidR="002E6D37" w:rsidRDefault="002E6D37">
      <w:pPr>
        <w:pStyle w:val="af4"/>
      </w:pPr>
    </w:p>
    <w:p w14:paraId="2BBBAF56" w14:textId="77777777" w:rsidR="002E6D37" w:rsidRDefault="002E6D37">
      <w:pPr>
        <w:pStyle w:val="af4"/>
      </w:pPr>
      <w:r w:rsidRPr="002E6D37">
        <w:rPr>
          <w:rFonts w:hint="eastAsia"/>
        </w:rPr>
        <w:t>校徽，大小</w:t>
      </w:r>
      <w:r w:rsidRPr="002E6D37">
        <w:rPr>
          <w:rFonts w:hint="eastAsia"/>
        </w:rPr>
        <w:t>3cm</w:t>
      </w:r>
      <w:r w:rsidRPr="002E6D37">
        <w:rPr>
          <w:rFonts w:hint="eastAsia"/>
        </w:rPr>
        <w:t>×</w:t>
      </w:r>
      <w:r w:rsidRPr="002E6D37">
        <w:rPr>
          <w:rFonts w:hint="eastAsia"/>
        </w:rPr>
        <w:t>3cm</w:t>
      </w:r>
      <w:r w:rsidRPr="002E6D37">
        <w:rPr>
          <w:rFonts w:hint="eastAsia"/>
        </w:rPr>
        <w:t>。</w:t>
      </w:r>
    </w:p>
    <w:p w14:paraId="3D51C3F0" w14:textId="77777777" w:rsidR="002E6D37" w:rsidRDefault="002E6D37">
      <w:pPr>
        <w:pStyle w:val="af4"/>
      </w:pPr>
    </w:p>
    <w:p w14:paraId="78745B90" w14:textId="5A44A1E7" w:rsidR="002E6D37" w:rsidRDefault="002E6D37">
      <w:pPr>
        <w:pStyle w:val="af4"/>
      </w:pPr>
      <w:r w:rsidRPr="002E6D37">
        <w:rPr>
          <w:rFonts w:hint="eastAsia"/>
        </w:rPr>
        <w:t>申请学位层次：博士或硕士。</w:t>
      </w:r>
    </w:p>
  </w:comment>
  <w:comment w:id="1"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2"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4"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5"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6"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w:t>
      </w:r>
      <w:r w:rsidR="0036339A" w:rsidRPr="0036339A">
        <w:rPr>
          <w:rFonts w:hint="eastAsia"/>
        </w:rPr>
        <w:t>非电脑输入姓名）。</w:t>
      </w:r>
    </w:p>
  </w:comment>
  <w:comment w:id="7"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w:t>
      </w:r>
      <w:proofErr w:type="gramStart"/>
      <w:r w:rsidRPr="005C77E5">
        <w:rPr>
          <w:rFonts w:hint="eastAsia"/>
        </w:rPr>
        <w:t>应勾选“内部论文”</w:t>
      </w:r>
      <w:proofErr w:type="gramEnd"/>
      <w:r w:rsidRPr="005C77E5">
        <w:rPr>
          <w:rFonts w:hint="eastAsia"/>
        </w:rPr>
        <w:t>。</w:t>
      </w:r>
    </w:p>
  </w:comment>
  <w:comment w:id="8" w:author="作者" w:date="2023-11-08T08:23:00Z" w:initials="v">
    <w:p w14:paraId="41305441" w14:textId="6EA614EA"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9" w:author="作者" w:date="2023-11-08T08:23:00Z" w:initials="v">
    <w:p w14:paraId="314BC8BB" w14:textId="4DF0BB06" w:rsidR="0036339A" w:rsidRPr="0036339A" w:rsidRDefault="0036339A">
      <w:pPr>
        <w:pStyle w:val="af4"/>
      </w:pPr>
      <w:r>
        <w:rPr>
          <w:rStyle w:val="af3"/>
        </w:rPr>
        <w:annotationRef/>
      </w:r>
      <w:r>
        <w:rPr>
          <w:rStyle w:val="af3"/>
        </w:rPr>
        <w:annotationRef/>
      </w:r>
      <w:r w:rsidRPr="0036339A">
        <w:rPr>
          <w:rFonts w:hint="eastAsia"/>
        </w:rPr>
        <w:t>此处需要手工签名（</w:t>
      </w:r>
      <w:r w:rsidRPr="0036339A">
        <w:rPr>
          <w:rFonts w:hint="eastAsia"/>
        </w:rPr>
        <w:t>非电脑输入姓名）。</w:t>
      </w:r>
    </w:p>
  </w:comment>
  <w:comment w:id="10"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1"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2" w:author="作者" w:date="2023-11-08T08:30:00Z" w:initials="v">
    <w:p w14:paraId="5387C1FE" w14:textId="00332312" w:rsidR="00A143E9" w:rsidRDefault="00A143E9">
      <w:pPr>
        <w:pStyle w:val="af4"/>
      </w:pPr>
      <w:r>
        <w:rPr>
          <w:rStyle w:val="af3"/>
        </w:rPr>
        <w:annotationRef/>
      </w:r>
      <w:r w:rsidR="00DD69DC">
        <w:rPr>
          <w:rStyle w:val="af3"/>
        </w:rPr>
        <w:annotationRef/>
      </w:r>
      <w:proofErr w:type="gramStart"/>
      <w:r w:rsidR="00DB0379">
        <w:rPr>
          <w:rFonts w:hint="eastAsia"/>
        </w:rPr>
        <w:t>段前空</w:t>
      </w:r>
      <w:proofErr w:type="gramEnd"/>
      <w:r w:rsidR="00DB0379">
        <w:rPr>
          <w:rFonts w:hint="eastAsia"/>
        </w:rPr>
        <w:t>一行，</w:t>
      </w:r>
      <w:r w:rsidR="00DD69DC">
        <w:rPr>
          <w:rFonts w:hint="eastAsia"/>
        </w:rPr>
        <w:t>“关键词”三个字加粗。</w:t>
      </w:r>
    </w:p>
  </w:comment>
  <w:comment w:id="13"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4"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5" w:author="作者" w:date="2023-11-08T08:35:00Z" w:initials="v">
    <w:p w14:paraId="62F42930" w14:textId="1C695A8F" w:rsidR="009A7850" w:rsidRDefault="009A7850">
      <w:pPr>
        <w:pStyle w:val="af4"/>
      </w:pPr>
      <w:r>
        <w:rPr>
          <w:rStyle w:val="af3"/>
        </w:rPr>
        <w:annotationRef/>
      </w:r>
      <w:proofErr w:type="gramStart"/>
      <w:r w:rsidR="00DB0379">
        <w:rPr>
          <w:rFonts w:hint="eastAsia"/>
        </w:rPr>
        <w:t>段前空</w:t>
      </w:r>
      <w:proofErr w:type="gramEnd"/>
      <w:r w:rsidR="00DB0379">
        <w:rPr>
          <w:rFonts w:hint="eastAsia"/>
        </w:rPr>
        <w:t>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6"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w:t>
      </w:r>
      <w:proofErr w:type="gramStart"/>
      <w:r w:rsidR="004C20C5">
        <w:rPr>
          <w:rFonts w:hint="eastAsia"/>
        </w:rPr>
        <w:t>段前</w:t>
      </w:r>
      <w:r w:rsidR="009C6946">
        <w:t>6</w:t>
      </w:r>
      <w:r w:rsidR="004C20C5">
        <w:rPr>
          <w:rFonts w:hint="eastAsia"/>
        </w:rPr>
        <w:t>磅</w:t>
      </w:r>
      <w:proofErr w:type="gramEnd"/>
      <w:r w:rsidR="004C20C5">
        <w:rPr>
          <w:rFonts w:hint="eastAsia"/>
        </w:rPr>
        <w:t>，页码右对齐。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18"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19"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w:t>
      </w:r>
      <w:proofErr w:type="gramStart"/>
      <w:r w:rsidRPr="00E0363D">
        <w:rPr>
          <w:rFonts w:hint="eastAsia"/>
        </w:rPr>
        <w:t>段前</w:t>
      </w:r>
      <w:r w:rsidRPr="00E0363D">
        <w:rPr>
          <w:rFonts w:hint="eastAsia"/>
        </w:rPr>
        <w:t>24</w:t>
      </w:r>
      <w:r w:rsidRPr="00E0363D">
        <w:rPr>
          <w:rFonts w:hint="eastAsia"/>
        </w:rPr>
        <w:t>磅</w:t>
      </w:r>
      <w:proofErr w:type="gramEnd"/>
      <w:r w:rsidRPr="00E0363D">
        <w:rPr>
          <w:rFonts w:hint="eastAsia"/>
        </w:rPr>
        <w:t>，段后</w:t>
      </w:r>
      <w:r w:rsidRPr="00E0363D">
        <w:rPr>
          <w:rFonts w:hint="eastAsia"/>
        </w:rPr>
        <w:t>18</w:t>
      </w:r>
      <w:r w:rsidRPr="00E0363D">
        <w:rPr>
          <w:rFonts w:hint="eastAsia"/>
        </w:rPr>
        <w:t>磅，序号与</w:t>
      </w:r>
      <w:proofErr w:type="gramStart"/>
      <w:r w:rsidRPr="00E0363D">
        <w:rPr>
          <w:rFonts w:hint="eastAsia"/>
        </w:rPr>
        <w:t>标题间空一个</w:t>
      </w:r>
      <w:proofErr w:type="gramEnd"/>
      <w:r w:rsidRPr="00E0363D">
        <w:rPr>
          <w:rFonts w:hint="eastAsia"/>
        </w:rPr>
        <w:t>字符。</w:t>
      </w:r>
    </w:p>
  </w:comment>
  <w:comment w:id="21"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w:t>
      </w:r>
      <w:proofErr w:type="gramStart"/>
      <w:r w:rsidR="008D7777" w:rsidRPr="008D7777">
        <w:rPr>
          <w:rFonts w:hint="eastAsia"/>
        </w:rPr>
        <w:t>段前</w:t>
      </w:r>
      <w:r w:rsidR="008D7777" w:rsidRPr="008D7777">
        <w:rPr>
          <w:rFonts w:hint="eastAsia"/>
        </w:rPr>
        <w:t>24</w:t>
      </w:r>
      <w:r w:rsidR="008D7777" w:rsidRPr="008D7777">
        <w:rPr>
          <w:rFonts w:hint="eastAsia"/>
        </w:rPr>
        <w:t>磅</w:t>
      </w:r>
      <w:proofErr w:type="gramEnd"/>
      <w:r w:rsidR="008D7777" w:rsidRPr="008D7777">
        <w:rPr>
          <w:rFonts w:hint="eastAsia"/>
        </w:rPr>
        <w:t>，段后</w:t>
      </w:r>
      <w:r w:rsidR="008D7777" w:rsidRPr="008D7777">
        <w:rPr>
          <w:rFonts w:hint="eastAsia"/>
        </w:rPr>
        <w:t>6</w:t>
      </w:r>
      <w:r w:rsidR="008D7777" w:rsidRPr="008D7777">
        <w:rPr>
          <w:rFonts w:hint="eastAsia"/>
        </w:rPr>
        <w:t>磅，序号与</w:t>
      </w:r>
      <w:proofErr w:type="gramStart"/>
      <w:r w:rsidR="008D7777" w:rsidRPr="008D7777">
        <w:rPr>
          <w:rFonts w:hint="eastAsia"/>
        </w:rPr>
        <w:t>标题间空一个</w:t>
      </w:r>
      <w:proofErr w:type="gramEnd"/>
      <w:r w:rsidR="008D7777" w:rsidRPr="008D7777">
        <w:rPr>
          <w:rFonts w:hint="eastAsia"/>
        </w:rPr>
        <w:t>字符。</w:t>
      </w:r>
    </w:p>
  </w:comment>
  <w:comment w:id="23" w:author="作者" w:date="2023-11-08T08:45:00Z" w:initials="v">
    <w:p w14:paraId="5A3502EF" w14:textId="41851BA7" w:rsidR="002303AF" w:rsidRPr="005C38AF" w:rsidRDefault="002303AF">
      <w:pPr>
        <w:pStyle w:val="af4"/>
      </w:pPr>
      <w:r>
        <w:rPr>
          <w:rStyle w:val="af3"/>
        </w:rPr>
        <w:annotationRef/>
      </w:r>
      <w:r w:rsidR="005C38AF">
        <w:rPr>
          <w:rStyle w:val="af3"/>
        </w:rPr>
        <w:annotationRef/>
      </w:r>
      <w:r w:rsidR="005C38AF">
        <w:rPr>
          <w:rFonts w:hint="eastAsia"/>
        </w:rPr>
        <w:t>三</w:t>
      </w:r>
      <w:r w:rsidR="005C38AF" w:rsidRPr="004F4EA5">
        <w:rPr>
          <w:rFonts w:hint="eastAsia"/>
        </w:rPr>
        <w:t>级标题：黑体，加粗，</w:t>
      </w:r>
      <w:r w:rsidR="005C38AF">
        <w:rPr>
          <w:rFonts w:hint="eastAsia"/>
        </w:rPr>
        <w:t>小</w:t>
      </w:r>
      <w:r w:rsidR="005C38AF"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5C38AF" w:rsidRPr="004F4EA5">
        <w:rPr>
          <w:rFonts w:hint="eastAsia"/>
        </w:rPr>
        <w:t>，</w:t>
      </w:r>
      <w:proofErr w:type="gramStart"/>
      <w:r w:rsidR="005C38AF" w:rsidRPr="004F4EA5">
        <w:rPr>
          <w:rFonts w:hint="eastAsia"/>
        </w:rPr>
        <w:t>段前</w:t>
      </w:r>
      <w:r w:rsidR="005C38AF">
        <w:t>12</w:t>
      </w:r>
      <w:r w:rsidR="005C38AF" w:rsidRPr="004F4EA5">
        <w:rPr>
          <w:rFonts w:hint="eastAsia"/>
        </w:rPr>
        <w:t>磅</w:t>
      </w:r>
      <w:proofErr w:type="gramEnd"/>
      <w:r w:rsidR="005C38AF" w:rsidRPr="004F4EA5">
        <w:rPr>
          <w:rFonts w:hint="eastAsia"/>
        </w:rPr>
        <w:t>，段后</w:t>
      </w:r>
      <w:r w:rsidR="005C38AF" w:rsidRPr="004F4EA5">
        <w:rPr>
          <w:rFonts w:hint="eastAsia"/>
        </w:rPr>
        <w:t>6</w:t>
      </w:r>
      <w:r w:rsidR="005C38AF" w:rsidRPr="004F4EA5">
        <w:rPr>
          <w:rFonts w:hint="eastAsia"/>
        </w:rPr>
        <w:t>磅，序号与</w:t>
      </w:r>
      <w:proofErr w:type="gramStart"/>
      <w:r w:rsidR="005C38AF" w:rsidRPr="004F4EA5">
        <w:rPr>
          <w:rFonts w:hint="eastAsia"/>
        </w:rPr>
        <w:t>标题间空一个</w:t>
      </w:r>
      <w:proofErr w:type="gramEnd"/>
      <w:r w:rsidR="005C38AF" w:rsidRPr="004F4EA5">
        <w:rPr>
          <w:rFonts w:hint="eastAsia"/>
        </w:rPr>
        <w:t>汉字符。</w:t>
      </w:r>
    </w:p>
  </w:comment>
  <w:comment w:id="24"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w:t>
      </w:r>
      <w:proofErr w:type="gramStart"/>
      <w:r w:rsidR="008B086C" w:rsidRPr="004F4EA5">
        <w:rPr>
          <w:rFonts w:hint="eastAsia"/>
        </w:rPr>
        <w:t>段前</w:t>
      </w:r>
      <w:r w:rsidR="008B086C">
        <w:t>6</w:t>
      </w:r>
      <w:r w:rsidR="008B086C" w:rsidRPr="004F4EA5">
        <w:rPr>
          <w:rFonts w:hint="eastAsia"/>
        </w:rPr>
        <w:t>磅</w:t>
      </w:r>
      <w:proofErr w:type="gramEnd"/>
      <w:r w:rsidR="008B086C" w:rsidRPr="004F4EA5">
        <w:rPr>
          <w:rFonts w:hint="eastAsia"/>
        </w:rPr>
        <w:t>，段后</w:t>
      </w:r>
      <w:r w:rsidR="008B086C" w:rsidRPr="004F4EA5">
        <w:rPr>
          <w:rFonts w:hint="eastAsia"/>
        </w:rPr>
        <w:t>6</w:t>
      </w:r>
      <w:r w:rsidR="008B086C" w:rsidRPr="004F4EA5">
        <w:rPr>
          <w:rFonts w:hint="eastAsia"/>
        </w:rPr>
        <w:t>磅，序号与</w:t>
      </w:r>
      <w:proofErr w:type="gramStart"/>
      <w:r w:rsidR="008B086C" w:rsidRPr="004F4EA5">
        <w:rPr>
          <w:rFonts w:hint="eastAsia"/>
        </w:rPr>
        <w:t>标题间空一个</w:t>
      </w:r>
      <w:proofErr w:type="gramEnd"/>
      <w:r w:rsidR="008B086C" w:rsidRPr="004F4EA5">
        <w:rPr>
          <w:rFonts w:hint="eastAsia"/>
        </w:rPr>
        <w:t>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28"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1"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2" w:author="作者" w:date="2023-11-09T11:03:00Z" w:initials="v">
    <w:p w14:paraId="1647710E" w14:textId="6081C660" w:rsidR="00B22FAD" w:rsidRPr="00B22FAD" w:rsidRDefault="00B22FAD">
      <w:pPr>
        <w:pStyle w:val="af4"/>
      </w:pPr>
      <w:r>
        <w:rPr>
          <w:rStyle w:val="af3"/>
        </w:rPr>
        <w:annotationRef/>
      </w:r>
      <w:r>
        <w:rPr>
          <w:rStyle w:val="af3"/>
        </w:rPr>
        <w:annotationRef/>
      </w:r>
      <w:r w:rsidRPr="00B22FAD">
        <w:rPr>
          <w:rFonts w:hint="eastAsia"/>
        </w:rPr>
        <w:t>正文参考文献编号请参照此格式</w:t>
      </w:r>
      <w:r>
        <w:rPr>
          <w:rFonts w:hint="eastAsia"/>
        </w:rPr>
        <w:t>。</w:t>
      </w:r>
    </w:p>
  </w:comment>
  <w:comment w:id="40" w:author="作者" w:date="2023-11-09T11:22:00Z" w:initials="v">
    <w:p w14:paraId="429D3EC0" w14:textId="36865A1E" w:rsidR="000A50E9" w:rsidRPr="000A50E9" w:rsidRDefault="000A50E9">
      <w:pPr>
        <w:pStyle w:val="af4"/>
      </w:pPr>
      <w:r>
        <w:rPr>
          <w:rStyle w:val="af3"/>
        </w:rPr>
        <w:annotationRef/>
      </w:r>
      <w:r>
        <w:rPr>
          <w:rStyle w:val="af3"/>
        </w:rPr>
        <w:annotationRef/>
      </w:r>
      <w:r>
        <w:rPr>
          <w:rFonts w:hint="eastAsia"/>
        </w:rPr>
        <w:t>每章结尾都应该有本章小结。</w:t>
      </w:r>
    </w:p>
  </w:comment>
  <w:comment w:id="43"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4" w:author="作者" w:date="2023-11-08T08:58:00Z" w:initials="v">
    <w:p w14:paraId="66832AA6" w14:textId="2F0CB993" w:rsidR="00D63519" w:rsidRDefault="00D63519">
      <w:pPr>
        <w:pStyle w:val="af4"/>
      </w:pPr>
      <w:r>
        <w:rPr>
          <w:rStyle w:val="af3"/>
        </w:rPr>
        <w:annotationRef/>
      </w:r>
      <w:r w:rsidR="00ED3785">
        <w:rPr>
          <w:rFonts w:hint="eastAsia"/>
        </w:rPr>
        <w:t>表注：</w:t>
      </w:r>
      <w:proofErr w:type="gramStart"/>
      <w:r>
        <w:rPr>
          <w:rFonts w:hint="eastAsia"/>
        </w:rPr>
        <w:t>表</w:t>
      </w:r>
      <w:r w:rsidRPr="00A12497">
        <w:rPr>
          <w:rFonts w:hint="eastAsia"/>
        </w:rPr>
        <w:t>题置于</w:t>
      </w:r>
      <w:proofErr w:type="gramEnd"/>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w:t>
      </w:r>
      <w:proofErr w:type="gramStart"/>
      <w:r w:rsidRPr="00A12497">
        <w:rPr>
          <w:rFonts w:hint="eastAsia"/>
        </w:rPr>
        <w:t>及</w:t>
      </w:r>
      <w:r>
        <w:rPr>
          <w:rFonts w:hint="eastAsia"/>
        </w:rPr>
        <w:t>表</w:t>
      </w:r>
      <w:r w:rsidRPr="00A12497">
        <w:rPr>
          <w:rFonts w:hint="eastAsia"/>
        </w:rPr>
        <w:t>题置于</w:t>
      </w:r>
      <w:proofErr w:type="gramEnd"/>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w:t>
      </w:r>
      <w:proofErr w:type="gramStart"/>
      <w:r w:rsidRPr="00ED3785">
        <w:rPr>
          <w:rFonts w:hint="eastAsia"/>
        </w:rPr>
        <w:t>三线表</w:t>
      </w:r>
      <w:proofErr w:type="gramEnd"/>
      <w:r w:rsidRPr="00ED3785">
        <w:rPr>
          <w:rFonts w:hint="eastAsia"/>
        </w:rPr>
        <w:t>形式。</w:t>
      </w:r>
    </w:p>
  </w:comment>
  <w:comment w:id="46"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w:t>
      </w:r>
      <w:proofErr w:type="gramStart"/>
      <w:r w:rsidR="00783C2D" w:rsidRPr="00783C2D">
        <w:rPr>
          <w:rFonts w:hint="eastAsia"/>
        </w:rPr>
        <w:t>括</w:t>
      </w:r>
      <w:proofErr w:type="gramEnd"/>
      <w:r w:rsidR="00783C2D" w:rsidRPr="00783C2D">
        <w:rPr>
          <w:rFonts w:hint="eastAsia"/>
        </w:rPr>
        <w:t>起来写在右边行末，其间不加虚线。</w:t>
      </w:r>
    </w:p>
  </w:comment>
  <w:comment w:id="48"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50" w:author="作者" w:date="2023-11-08T09:00:00Z" w:initials="v">
    <w:p w14:paraId="3931F396" w14:textId="60D2761C" w:rsidR="00C346AB" w:rsidRPr="00365E5E" w:rsidRDefault="00C346AB" w:rsidP="00365E5E">
      <w:pPr>
        <w:pStyle w:val="a2"/>
        <w:ind w:firstLine="420"/>
      </w:pPr>
      <w:r>
        <w:rPr>
          <w:rStyle w:val="af3"/>
        </w:rPr>
        <w:annotationRef/>
      </w:r>
      <w:r w:rsidR="00365E5E">
        <w:rPr>
          <w:rStyle w:val="af3"/>
        </w:rPr>
        <w:annotationRef/>
      </w:r>
      <w:r w:rsidR="00365E5E" w:rsidRPr="00540D2D">
        <w:rPr>
          <w:rFonts w:hint="eastAsia"/>
        </w:rPr>
        <w:t>文章结尾要有全文总结</w:t>
      </w:r>
      <w:r w:rsidR="00365E5E">
        <w:rPr>
          <w:rFonts w:hint="eastAsia"/>
        </w:rPr>
        <w:t>。</w:t>
      </w:r>
    </w:p>
  </w:comment>
  <w:comment w:id="52" w:author="作者" w:date="2023-11-08T09:00:00Z" w:initials="v">
    <w:p w14:paraId="4E11B4CF" w14:textId="31E0ABC5" w:rsidR="004C66AE" w:rsidRPr="004C66AE" w:rsidRDefault="004C66AE" w:rsidP="004C66AE">
      <w:pPr>
        <w:pStyle w:val="a2"/>
        <w:ind w:firstLine="420"/>
      </w:pPr>
      <w:r>
        <w:rPr>
          <w:rStyle w:val="af3"/>
        </w:rPr>
        <w:annotationRef/>
      </w:r>
      <w:r>
        <w:rPr>
          <w:rStyle w:val="af3"/>
        </w:rPr>
        <w:annotationRef/>
      </w:r>
      <w:r w:rsidR="00EB0AFF" w:rsidRPr="00EB0AFF">
        <w:rPr>
          <w:rFonts w:hint="eastAsia"/>
        </w:rPr>
        <w:t>应给出文章的主要结论，以及创新之处。</w:t>
      </w:r>
    </w:p>
  </w:comment>
  <w:comment w:id="54"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6" w:author="作者" w:date="2023-11-08T09:03:00Z" w:initials="v">
    <w:p w14:paraId="5FA1FF3F" w14:textId="60C53D9E" w:rsidR="00CC28B8" w:rsidRDefault="00CC28B8" w:rsidP="00CC28B8">
      <w:pPr>
        <w:pStyle w:val="af4"/>
      </w:pPr>
      <w:r>
        <w:rPr>
          <w:rStyle w:val="af3"/>
        </w:rPr>
        <w:annotationRef/>
      </w: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proofErr w:type="gramStart"/>
      <w:r w:rsidR="0066244F" w:rsidRPr="0066244F">
        <w:rPr>
          <w:rFonts w:hint="eastAsia"/>
        </w:rPr>
        <w:t>段前</w:t>
      </w:r>
      <w:r w:rsidR="0066244F">
        <w:t>0</w:t>
      </w:r>
      <w:r w:rsidR="0066244F" w:rsidRPr="0066244F">
        <w:rPr>
          <w:rFonts w:hint="eastAsia"/>
        </w:rPr>
        <w:t>磅</w:t>
      </w:r>
      <w:proofErr w:type="gramEnd"/>
      <w:r w:rsidR="0066244F" w:rsidRPr="0066244F">
        <w:rPr>
          <w:rFonts w:hint="eastAsia"/>
        </w:rPr>
        <w:t>，段后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58"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60"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2"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851C7" w16cex:dateUtc="2024-06-27T13:01:00Z"/>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745B90" w16cid:durableId="2A2851C7"/>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406B3" w14:textId="77777777" w:rsidR="001419EE" w:rsidRDefault="001419EE" w:rsidP="00522E80">
      <w:r>
        <w:separator/>
      </w:r>
    </w:p>
  </w:endnote>
  <w:endnote w:type="continuationSeparator" w:id="0">
    <w:p w14:paraId="00FAB223" w14:textId="77777777" w:rsidR="001419EE" w:rsidRDefault="001419EE"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8"/>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3861" w14:textId="77777777" w:rsidR="001419EE" w:rsidRDefault="001419EE" w:rsidP="00522E80">
      <w:r>
        <w:separator/>
      </w:r>
    </w:p>
  </w:footnote>
  <w:footnote w:type="continuationSeparator" w:id="0">
    <w:p w14:paraId="7DF447D6" w14:textId="77777777" w:rsidR="001419EE" w:rsidRDefault="001419EE"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485F" w14:textId="26A62548"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830430">
      <w:rPr>
        <w:rFonts w:hint="eastAsia"/>
        <w:noProof/>
      </w:rPr>
      <w:t>摘　要</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1863" w14:textId="1A189848"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7C65D7">
      <w:ptab w:relativeTo="margin" w:alignment="right" w:leader="none"/>
    </w:r>
    <w:r w:rsidR="001419EE">
      <w:fldChar w:fldCharType="begin"/>
    </w:r>
    <w:r w:rsidR="001419EE">
      <w:instrText xml:space="preserve"> STYLEREF 1 \n </w:instrText>
    </w:r>
    <w:r w:rsidR="001419EE">
      <w:fldChar w:fldCharType="separate"/>
    </w:r>
    <w:r w:rsidR="00830430">
      <w:rPr>
        <w:rFonts w:hint="eastAsia"/>
        <w:noProof/>
      </w:rPr>
      <w:t>第</w:t>
    </w:r>
    <w:r w:rsidR="00830430">
      <w:rPr>
        <w:rFonts w:hint="eastAsia"/>
        <w:noProof/>
      </w:rPr>
      <w:t> 4 </w:t>
    </w:r>
    <w:r w:rsidR="00830430">
      <w:rPr>
        <w:rFonts w:hint="eastAsia"/>
        <w:noProof/>
      </w:rPr>
      <w:t xml:space="preserve">章　</w:t>
    </w:r>
    <w:r w:rsidR="001419EE">
      <w:rPr>
        <w:noProof/>
      </w:rPr>
      <w:fldChar w:fldCharType="end"/>
    </w:r>
    <w:r w:rsidR="001419EE">
      <w:fldChar w:fldCharType="begin"/>
    </w:r>
    <w:r w:rsidR="001419EE">
      <w:instrText xml:space="preserve"> STYLEREF 1 </w:instrText>
    </w:r>
    <w:r w:rsidR="001419EE">
      <w:fldChar w:fldCharType="separate"/>
    </w:r>
    <w:r w:rsidR="00830430">
      <w:rPr>
        <w:rFonts w:hint="eastAsia"/>
        <w:noProof/>
      </w:rPr>
      <w:t>全文总结</w:t>
    </w:r>
    <w:r w:rsidR="001419EE">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8653" w14:textId="264B17DC"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830430">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990E" w14:textId="49002B42"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830430">
      <w:rPr>
        <w:rFonts w:hint="eastAsia"/>
        <w:noProof/>
      </w:rPr>
      <w:t>附录</w:t>
    </w:r>
    <w:r w:rsidR="00830430">
      <w:rPr>
        <w:rFonts w:hint="eastAsia"/>
        <w:noProof/>
      </w:rPr>
      <w:t> A</w:t>
    </w:r>
    <w:r w:rsidR="00830430">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830430">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8CF" w14:textId="4782E403"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830430">
      <w:rPr>
        <w:rFonts w:hint="eastAsia"/>
        <w:noProof/>
      </w:rPr>
      <w:t>学术论文和科研成果目录</w:t>
    </w:r>
    <w:r w:rsidR="001F1700">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6"/>
      <w:tabs>
        <w:tab w:pos="8787" w:val="right"/>
      </w:tabs>
      <w:jc w:val="left"/>
    </w:pPr>
    <w:r>
      <w:t>上海交通大学硕士学位论文</w:t>
    </w:r>
    <w:r>
      <w:tab/>
      <w:t>第1章 绪论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24"/>
  </w:num>
  <w:num w:numId="13">
    <w:abstractNumId w:val="14"/>
  </w:num>
  <w:num w:numId="14">
    <w:abstractNumId w:val="20"/>
  </w:num>
  <w:num w:numId="15">
    <w:abstractNumId w:val="21"/>
  </w:num>
  <w:num w:numId="16">
    <w:abstractNumId w:val="49"/>
  </w:num>
  <w:num w:numId="17">
    <w:abstractNumId w:val="26"/>
  </w:num>
  <w:num w:numId="18">
    <w:abstractNumId w:val="45"/>
  </w:num>
  <w:num w:numId="19">
    <w:abstractNumId w:val="19"/>
  </w:num>
  <w:num w:numId="20">
    <w:abstractNumId w:val="18"/>
  </w:num>
  <w:num w:numId="21">
    <w:abstractNumId w:val="40"/>
  </w:num>
  <w:num w:numId="22">
    <w:abstractNumId w:val="41"/>
  </w:num>
  <w:num w:numId="23">
    <w:abstractNumId w:val="36"/>
  </w:num>
  <w:num w:numId="24">
    <w:abstractNumId w:val="15"/>
  </w:num>
  <w:num w:numId="25">
    <w:abstractNumId w:val="42"/>
  </w:num>
  <w:num w:numId="26">
    <w:abstractNumId w:val="35"/>
  </w:num>
  <w:num w:numId="27">
    <w:abstractNumId w:val="30"/>
  </w:num>
  <w:num w:numId="28">
    <w:abstractNumId w:val="38"/>
  </w:num>
  <w:num w:numId="29">
    <w:abstractNumId w:val="27"/>
  </w:num>
  <w:num w:numId="30">
    <w:abstractNumId w:val="17"/>
  </w:num>
  <w:num w:numId="31">
    <w:abstractNumId w:val="10"/>
  </w:num>
  <w:num w:numId="32">
    <w:abstractNumId w:val="23"/>
  </w:num>
  <w:num w:numId="33">
    <w:abstractNumId w:val="33"/>
  </w:num>
  <w:num w:numId="34">
    <w:abstractNumId w:val="29"/>
  </w:num>
  <w:num w:numId="35">
    <w:abstractNumId w:val="31"/>
  </w:num>
  <w:num w:numId="36">
    <w:abstractNumId w:val="39"/>
  </w:num>
  <w:num w:numId="37">
    <w:abstractNumId w:val="47"/>
  </w:num>
  <w:num w:numId="38">
    <w:abstractNumId w:val="32"/>
  </w:num>
  <w:num w:numId="39">
    <w:abstractNumId w:val="48"/>
  </w:num>
  <w:num w:numId="40">
    <w:abstractNumId w:val="25"/>
  </w:num>
  <w:num w:numId="41">
    <w:abstractNumId w:val="43"/>
  </w:num>
  <w:num w:numId="42">
    <w:abstractNumId w:val="46"/>
  </w:num>
  <w:num w:numId="43">
    <w:abstractNumId w:val="13"/>
  </w:num>
  <w:num w:numId="44">
    <w:abstractNumId w:val="37"/>
  </w:num>
  <w:num w:numId="45">
    <w:abstractNumId w:val="34"/>
  </w:num>
  <w:num w:numId="46">
    <w:abstractNumId w:val="44"/>
  </w:num>
  <w:num w:numId="47">
    <w:abstractNumId w:val="12"/>
  </w:num>
  <w:num w:numId="48">
    <w:abstractNumId w:val="11"/>
  </w:num>
  <w:num w:numId="49">
    <w:abstractNumId w:val="28"/>
  </w:num>
  <w:num w:numId="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32AA4"/>
  <w15:chartTrackingRefBased/>
  <w15:docId w15:val="{EC29F375-45A8-4EDE-BA48-FF9D5E256C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rFonts w:ascii="Times New Roman" w:hAnsi="Times New Roman" w:eastAsia="宋体" w:cs="Times New Roman"/>
      <w:b w:val="0"/>
      <w:color w:val="000000"/>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imes New Roman" w:hAnsi="Times New Roman" w:eastAsia="黑体" w:cs="Times New Roman"/>
      <w:b/>
      <w:bCs/>
      <w:color w:val="000000"/>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imes New Roman" w:hAnsi="Times New Roman" w:eastAsia="黑体" w:cs="Times New Roman"/>
      <w:b/>
      <w:bCs/>
      <w:color w:val="000000"/>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imes New Roman" w:hAnsi="Times New Roman" w:eastAsia="黑体" w:cs="Times New Roman"/>
      <w:b/>
      <w:bCs/>
      <w:color w:val="000000"/>
      <w:sz w:val="24"/>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rPr>
      <w:rFonts w:ascii="Times New Roman" w:hAnsi="Times New Roman" w:eastAsia="宋体" w:cs="Times New Roman"/>
      <w:b w:val="0"/>
      <w:color w:val="000000"/>
      <w:sz w:val="24"/>
    </w:rPr>
  </w:style>
  <w:style w:type="paragraph" w:styleId="a6">
    <w:name w:val="header"/>
    <w:basedOn w:val="a1"/>
    <w:link w:val="a7"/>
    <w:uiPriority w:val="99"/>
    <w:unhideWhenUsed/>
    <w:rsid w:val="00AF4C3B"/>
    <w:pPr>
      <w:pBdr>
        <w:bottom w:val="thinThickSmallGap" w:sz="18" w:space="1" w:color="auto"/>
      </w:pBdr>
      <w:tabs>
        <w:tab w:val="center" w:pos="4153"/>
        <w:tab w:val="right" w:pos="8306"/>
      </w:tabs>
      <w:snapToGrid w:val="0"/>
      <w:spacing w:line="240" w:lineRule="atLeast"/>
    </w:pPr>
    <w:rPr>
      <w:rFonts w:ascii="Times New Roman" w:hAnsi="Times New Roman" w:eastAsia="宋体" w:cs="Times New Roman"/>
      <w:b w:val="0"/>
      <w:color w:val="000000"/>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rFonts w:ascii="Times New Roman" w:hAnsi="Times New Roman" w:eastAsia="宋体" w:cs="Times New Roman"/>
      <w:b w:val="0"/>
      <w:color w:val="000000"/>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rPr>
      <w:rFonts w:ascii="Times New Roman" w:hAnsi="Times New Roman" w:eastAsia="宋体" w:cs="Times New Roman"/>
      <w:b w:val="0"/>
      <w:color w:val="000000"/>
      <w:sz w:val="21"/>
    </w:r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rPr>
      <w:rFonts w:ascii="Times New Roman" w:hAnsi="Times New Roman" w:eastAsia="宋体" w:cs="Times New Roman"/>
      <w:b w:val="0"/>
      <w:color w:val="000000"/>
      <w:sz w:val="21"/>
    </w:r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rFonts w:ascii="Times New Roman" w:hAnsi="Times New Roman" w:eastAsia="宋体" w:cs="Times New Roman"/>
      <w:b w:val="0"/>
      <w:color w:val="000000"/>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rFonts w:ascii="Times New Roman" w:hAnsi="Times New Roman" w:eastAsia="宋体" w:cs="Times New Roman"/>
      <w:b w:val="0"/>
      <w:color w:val="000000"/>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28" Type="http://schemas.openxmlformats.org/officeDocument/2006/relationships/footer" Target="footer3.xml"/><Relationship Id="rId29" Type="http://schemas.openxmlformats.org/officeDocument/2006/relationships/image" Target="media/image4.png"/><Relationship Id="rId30"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16</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基于图像笔触拆解计算的创作表达工具交互设计 绪论1.3与1.4</dc:title>
  <dc:subject>研究目的 研究问题 贡献边界 研究方法 研究框架</dc:subject>
  <dc:creator/>
  <cp:keywords/>
  <dc:description/>
  <cp:lastModifiedBy/>
  <cp:revision>307</cp:revision>
  <dcterms:created xsi:type="dcterms:W3CDTF">2023-11-05T22:06:00Z</dcterms:created>
  <dcterms:modified xsi:type="dcterms:W3CDTF">2024-06-30T02:42:00Z</dcterms:modified>
</cp:coreProperties>
</file>