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numPr>
          <w:numId w:val="0"/>
        </w:numPr>
      </w:pPr>
      <w:r>
        <w:t>第3章 面向表达支持的协同绘画理论与交互设计原则</w:t>
      </w:r>
    </w:p>
    <w:p>
      <w:pPr>
        <w:pStyle w:val="a2"/>
        <w:widowControl/>
        <w:ind w:firstLineChars="200" w:firstLine="480"/>
      </w:pPr>
      <w:r>
        <w:t>第二章发现，非绘画专业者的表达困难并非都来自缺少想法。部分参与者能够说明要保留的对象与关系，却难以将其转化为笔迹；另一些参与者已能通过简化形态完成表达。由此，本研究需要解释：当系统承担逐笔执行时，用户怎样继续作出与作品有关的决定，并辨认这些决定对结果的影响。本章以外部认知、设计中的反思和自我决定理论为主线，分别讨论编排、反馈与自主体验，再借助协作框架及视觉规范形成设计原则，回应RQ2的解释层问题。各理论的分工如图3.1所示。</w:t>
      </w:r>
    </w:p>
    <w:p>
      <w:pPr>
        <w:keepNext/>
        <w:spacing w:before="120" w:after="60" w:line="240" w:lineRule="auto"/>
        <w:ind w:firstLine="0"/>
        <w:jc w:val="center"/>
      </w:pPr>
      <w:r>
        <w:drawing>
          <wp:inline xmlns:a="http://schemas.openxmlformats.org/drawingml/2006/main" xmlns:pic="http://schemas.openxmlformats.org/drawingml/2006/picture">
            <wp:extent cx="5580000" cy="2790000"/>
            <wp:docPr id="1" name="Picture 1" descr="表达支持的理论角色与设计推导层次。来源：作者根据外部认知、设计中的反思与自我决定理论绘制；箭头表示本研究的推理关系，不表示已验证的因果关系。"/>
            <wp:cNvGraphicFramePr>
              <a:graphicFrameLocks noChangeAspect="1"/>
            </wp:cNvGraphicFramePr>
            <a:graphic>
              <a:graphicData uri="http://schemas.openxmlformats.org/drawingml/2006/picture">
                <pic:pic>
                  <pic:nvPicPr>
                    <pic:cNvPr id="0" name="理论角色图.png"/>
                    <pic:cNvPicPr/>
                  </pic:nvPicPr>
                  <pic:blipFill>
                    <a:blip r:embed="rId29"/>
                    <a:stretch>
                      <a:fillRect/>
                    </a:stretch>
                  </pic:blipFill>
                  <pic:spPr>
                    <a:xfrm>
                      <a:off x="0" y="0"/>
                      <a:ext cx="5580000" cy="2790000"/>
                    </a:xfrm>
                    <a:prstGeom prst="rect"/>
                  </pic:spPr>
                </pic:pic>
              </a:graphicData>
            </a:graphic>
          </wp:inline>
        </w:drawing>
      </w:r>
    </w:p>
    <w:p>
      <w:pPr>
        <w:pStyle w:val="aa"/>
        <w:keepNext/>
        <w:keepLines/>
        <w:spacing w:before="0" w:after="0" w:line="300" w:lineRule="atLeast"/>
        <w:ind w:firstLine="0"/>
        <w:jc w:val="center"/>
      </w:pPr>
      <w:r>
        <w:t>图3.1  表达支持的理论角色与设计推导层次</w:t>
      </w:r>
    </w:p>
    <w:p>
      <w:pPr>
        <w:pStyle w:val="ad"/>
        <w:keepNext/>
        <w:keepLines/>
        <w:spacing w:before="0" w:after="0" w:line="300" w:lineRule="atLeast"/>
        <w:ind w:firstLine="0"/>
        <w:jc w:val="center"/>
      </w:pPr>
      <w:r>
        <w:t>Figure 3.1  Theoretical roles and levels of design reasoning</w:t>
      </w:r>
    </w:p>
    <w:p>
      <w:pPr>
        <w:keepLines/>
        <w:spacing w:line="260" w:lineRule="atLeast" w:before="60" w:after="120"/>
        <w:ind w:firstLine="0"/>
      </w:pPr>
      <w:r>
        <w:rPr>
          <w:sz w:val="19"/>
        </w:rPr>
        <w:t>来源：作者根据外部认知</w:t>
      </w:r>
      <w:r>
        <w:rPr>
          <w:sz w:val="18"/>
          <w:vertAlign w:val="superscript"/>
        </w:rPr>
        <w:t>⁠[1,2,3]</w:t>
      </w:r>
      <w:r>
        <w:rPr>
          <w:sz w:val="19"/>
        </w:rPr>
        <w:t>、设计中的反思</w:t>
      </w:r>
      <w:r>
        <w:rPr>
          <w:sz w:val="18"/>
          <w:vertAlign w:val="superscript"/>
        </w:rPr>
        <w:t>⁠[4,5]</w:t>
      </w:r>
      <w:r>
        <w:rPr>
          <w:sz w:val="19"/>
        </w:rPr>
        <w:t>与自我决定理论</w:t>
      </w:r>
      <w:r>
        <w:rPr>
          <w:sz w:val="18"/>
          <w:vertAlign w:val="superscript"/>
        </w:rPr>
        <w:t>⁠[6]</w:t>
      </w:r>
      <w:r>
        <w:rPr>
          <w:sz w:val="19"/>
        </w:rPr>
        <w:t>绘制；箭头表示本研究的推理关系，不表示已验证的因果关系。</w:t>
      </w:r>
    </w:p>
    <w:p>
      <w:pPr>
        <w:pStyle w:val="20"/>
        <w:numPr>
          <w:numId w:val="0"/>
        </w:numPr>
      </w:pPr>
      <w:r>
        <w:t>3.1 外部认知与素材编排</w:t>
      </w:r>
    </w:p>
    <w:p>
      <w:pPr>
        <w:pStyle w:val="30"/>
        <w:numPr>
          <w:numId w:val="0"/>
        </w:numPr>
      </w:pPr>
      <w:r>
        <w:t>3.1.1 外部表征参与构思的理论依据</w:t>
      </w:r>
    </w:p>
    <w:p>
      <w:pPr>
        <w:pStyle w:val="a2"/>
        <w:widowControl/>
        <w:ind w:firstLineChars="200" w:firstLine="480"/>
      </w:pPr>
      <w:r>
        <w:t>外部表征是可被感知并用于思考的外在形式，如草图、图表和可移动图形。Scaife与Rogers并未把图像视为天然优于文字的信息载体，而是将外部认知界定为内部表征、外部表征及其交互加工之间的关系</w:t>
      </w:r>
      <w:r>
        <w:rPr>
          <w:sz w:val="18"/>
          <w:vertAlign w:val="superscript"/>
        </w:rPr>
        <w:t>⁠[1]</w:t>
      </w:r>
      <w:r>
        <w:t>。其分析区分计算卸载、重新表征与图形约束，并指出任务性质、经验和表征方式会改变效果。这使本研究能够把素材看作参与构思的对象，而不只是添加到成品上的装饰。</w:t>
      </w:r>
    </w:p>
    <w:p>
      <w:pPr>
        <w:pStyle w:val="a2"/>
        <w:widowControl/>
        <w:ind w:firstLineChars="200" w:firstLine="480"/>
      </w:pPr>
      <w:r>
        <w:t>Kirsh进一步指出，外部表征的作用不限于减少记忆负担，还包括维持稳定的思考对象、显化关系和支持重新组织</w:t>
      </w:r>
      <w:r>
        <w:rPr>
          <w:sz w:val="18"/>
          <w:vertAlign w:val="superscript"/>
        </w:rPr>
        <w:t>⁠[2]</w:t>
      </w:r>
      <w:r>
        <w:t>。例如，其直角三角形示例将语言描述转为图形，再用等长标记突出关系，见图3.2。该例说明表征方式会改变关系的可见程度；它所讨论的是几何理解，不能直接证明素材编排能够提升艺术表现。向创作场景迁移时，需要考察用户关心的关系是否确实能在素材之间显示出来。</w:t>
      </w:r>
    </w:p>
    <w:p>
      <w:pPr>
        <w:keepNext/>
        <w:spacing w:before="120" w:after="60" w:line="240" w:lineRule="auto"/>
        <w:ind w:firstLine="0"/>
        <w:jc w:val="center"/>
      </w:pPr>
      <w:r>
        <w:drawing>
          <wp:inline xmlns:a="http://schemas.openxmlformats.org/drawingml/2006/main" xmlns:pic="http://schemas.openxmlformats.org/drawingml/2006/picture">
            <wp:extent cx="3780000" cy="1139906"/>
            <wp:docPr id="2" name="Picture 2" descr="外部图形与关系标记的理论示例。来源：截取Kirsh第442页图1的图形部分，保留A、B标识，未改动图形。原文采用Creative Commons Attribution Noncommercial许可；本图用于非商业学术论述。"/>
            <wp:cNvGraphicFramePr>
              <a:graphicFrameLocks noChangeAspect="1"/>
            </wp:cNvGraphicFramePr>
            <a:graphic>
              <a:graphicData uri="http://schemas.openxmlformats.org/drawingml/2006/picture">
                <pic:pic>
                  <pic:nvPicPr>
                    <pic:cNvPr id="0" name="外部表征原文图.png"/>
                    <pic:cNvPicPr/>
                  </pic:nvPicPr>
                  <pic:blipFill>
                    <a:blip r:embed="rId30"/>
                    <a:stretch>
                      <a:fillRect/>
                    </a:stretch>
                  </pic:blipFill>
                  <pic:spPr>
                    <a:xfrm>
                      <a:off x="0" y="0"/>
                      <a:ext cx="3780000" cy="1139906"/>
                    </a:xfrm>
                    <a:prstGeom prst="rect"/>
                  </pic:spPr>
                </pic:pic>
              </a:graphicData>
            </a:graphic>
          </wp:inline>
        </w:drawing>
      </w:r>
    </w:p>
    <w:p>
      <w:pPr>
        <w:pStyle w:val="aa"/>
        <w:keepNext/>
        <w:keepLines/>
        <w:spacing w:before="0" w:after="0" w:line="300" w:lineRule="atLeast"/>
        <w:ind w:firstLine="0"/>
        <w:jc w:val="center"/>
      </w:pPr>
      <w:r>
        <w:t>图3.2  外部图形与关系标记的理论示例</w:t>
      </w:r>
    </w:p>
    <w:p>
      <w:pPr>
        <w:pStyle w:val="ad"/>
        <w:keepNext/>
        <w:keepLines/>
        <w:spacing w:before="0" w:after="0" w:line="300" w:lineRule="atLeast"/>
        <w:ind w:firstLine="0"/>
        <w:jc w:val="center"/>
      </w:pPr>
      <w:r>
        <w:t>Figure 3.2  An example of external graphics and relational markings</w:t>
      </w:r>
    </w:p>
    <w:p>
      <w:pPr>
        <w:keepLines/>
        <w:spacing w:line="260" w:lineRule="atLeast" w:before="60" w:after="120"/>
        <w:ind w:firstLine="0"/>
      </w:pPr>
      <w:r>
        <w:rPr>
          <w:sz w:val="19"/>
        </w:rPr>
        <w:t>来源：截取Kirsh</w:t>
      </w:r>
      <w:r>
        <w:rPr>
          <w:sz w:val="18"/>
          <w:vertAlign w:val="superscript"/>
        </w:rPr>
        <w:t>⁠[2]</w:t>
      </w:r>
      <w:r>
        <w:rPr>
          <w:sz w:val="19"/>
        </w:rPr>
        <w:t>第442页图1的图形部分，保留A、B标识，未改动图形。原文采用Creative Commons Attribution Noncommercial许可；本图用于非商业学术论述。</w:t>
      </w:r>
    </w:p>
    <w:p>
      <w:pPr>
        <w:pStyle w:val="a2"/>
        <w:widowControl/>
        <w:ind w:firstLineChars="200" w:firstLine="480"/>
      </w:pPr>
      <w:r>
        <w:t>因此，素材预览的价值在于让内部想法获得可反复查看的参照。认知卸载则是更具体的机制：Risko与Gilbert将其讨论为通过外在行动改变任务的信息加工要求</w:t>
      </w:r>
      <w:r>
        <w:rPr>
          <w:sz w:val="18"/>
          <w:vertAlign w:val="superscript"/>
        </w:rPr>
        <w:t>⁠[3]</w:t>
      </w:r>
      <w:r>
        <w:t>。本研究的自动落笔属于执行分工，画面美化属于视觉结果，两者均不能仅凭名称归入认知卸载。是否减少内部比较或记忆要求，需要额外的任务与过程证据，不能由作品更好看反推。</w:t>
      </w:r>
    </w:p>
    <w:p>
      <w:pPr>
        <w:pStyle w:val="30"/>
        <w:numPr>
          <w:numId w:val="0"/>
        </w:numPr>
      </w:pPr>
      <w:r>
        <w:t>3.1.2 空间操作与表达关系的形成</w:t>
      </w:r>
    </w:p>
    <w:p>
      <w:pPr>
        <w:pStyle w:val="a2"/>
        <w:widowControl/>
        <w:ind w:firstLineChars="200" w:firstLine="480"/>
      </w:pPr>
      <w:r>
        <w:t>移动、缩放与旋转提供了比较关系的途径。Kirsh与Maglio在俄罗斯方块研究中区分了实践性行动与认识性行动：前者直接推进任务目标，后者通过改变外部状态帮助辨认或计算</w:t>
      </w:r>
      <w:r>
        <w:rPr>
          <w:sz w:val="18"/>
          <w:vertAlign w:val="superscript"/>
        </w:rPr>
        <w:t>⁠[7]</w:t>
      </w:r>
      <w:r>
        <w:t>。玩家的一次旋转可能用于安放方块，也可能用于看清形状。研究对象虽与绘画不同，却提示分析素材操作时不能只计算动作次数。同一次移动，既可能落实已有构图，也可能用于尝试尚未确定的关系。</w:t>
      </w:r>
    </w:p>
    <w:p>
      <w:pPr>
        <w:pStyle w:val="a2"/>
        <w:widowControl/>
        <w:ind w:firstLineChars="200" w:firstLine="480"/>
      </w:pPr>
      <w:r>
        <w:t>在表达任务中，位置改变相邻与分离，尺度改变视觉比重，方向改变对象的朝向，并置与重复则使疏密和节奏显现。第二章P03关心猫、纸箱和空墙的组合，P06关心人物围桌的位置，均说明关系可以先于精确造型形成。若对象能够独立选择和变换，用户便可在若干布局之间比较，而不必为每次尝试重新描画轮廓。图3.3以同一组简化对象说明这些操作的表达可能；图中关系不对应固定情绪或审美答案。</w:t>
      </w:r>
    </w:p>
    <w:p>
      <w:pPr>
        <w:keepNext/>
        <w:spacing w:before="120" w:after="60" w:line="240" w:lineRule="auto"/>
        <w:ind w:firstLine="0"/>
        <w:jc w:val="center"/>
      </w:pPr>
      <w:r>
        <w:drawing>
          <wp:inline xmlns:a="http://schemas.openxmlformats.org/drawingml/2006/main" xmlns:pic="http://schemas.openxmlformats.org/drawingml/2006/picture">
            <wp:extent cx="5580000" cy="2088000"/>
            <wp:docPr id="3" name="Picture 3" descr="素材空间变换与可比较的表达关系。来源：作者依据认识性行动及Procreate变换操作绘制；画面为操作示意，不是参与者作品或实验结果。"/>
            <wp:cNvGraphicFramePr>
              <a:graphicFrameLocks noChangeAspect="1"/>
            </wp:cNvGraphicFramePr>
            <a:graphic>
              <a:graphicData uri="http://schemas.openxmlformats.org/drawingml/2006/picture">
                <pic:pic>
                  <pic:nvPicPr>
                    <pic:cNvPr id="0" name="空间操作关系图.png"/>
                    <pic:cNvPicPr/>
                  </pic:nvPicPr>
                  <pic:blipFill>
                    <a:blip r:embed="rId31"/>
                    <a:stretch>
                      <a:fillRect/>
                    </a:stretch>
                  </pic:blipFill>
                  <pic:spPr>
                    <a:xfrm>
                      <a:off x="0" y="0"/>
                      <a:ext cx="5580000" cy="2088000"/>
                    </a:xfrm>
                    <a:prstGeom prst="rect"/>
                  </pic:spPr>
                </pic:pic>
              </a:graphicData>
            </a:graphic>
          </wp:inline>
        </w:drawing>
      </w:r>
    </w:p>
    <w:p>
      <w:pPr>
        <w:pStyle w:val="aa"/>
        <w:keepNext/>
        <w:keepLines/>
        <w:spacing w:before="0" w:after="0" w:line="300" w:lineRule="atLeast"/>
        <w:ind w:firstLine="0"/>
        <w:jc w:val="center"/>
      </w:pPr>
      <w:r>
        <w:t>图3.3  素材空间变换与可比较的表达关系</w:t>
      </w:r>
    </w:p>
    <w:p>
      <w:pPr>
        <w:pStyle w:val="ad"/>
        <w:keepNext/>
        <w:keepLines/>
        <w:spacing w:before="0" w:after="0" w:line="300" w:lineRule="atLeast"/>
        <w:ind w:firstLine="0"/>
        <w:jc w:val="center"/>
      </w:pPr>
      <w:r>
        <w:t>Figure 3.3  Spatial transformations and comparable expressive relations</w:t>
      </w:r>
    </w:p>
    <w:p>
      <w:pPr>
        <w:keepLines/>
        <w:spacing w:line="260" w:lineRule="atLeast" w:before="60" w:after="120"/>
        <w:ind w:firstLine="0"/>
      </w:pPr>
      <w:r>
        <w:rPr>
          <w:sz w:val="19"/>
        </w:rPr>
        <w:t>来源：作者依据认识性行动</w:t>
      </w:r>
      <w:r>
        <w:rPr>
          <w:sz w:val="18"/>
          <w:vertAlign w:val="superscript"/>
        </w:rPr>
        <w:t>⁠[7]</w:t>
      </w:r>
      <w:r>
        <w:rPr>
          <w:sz w:val="19"/>
        </w:rPr>
        <w:t>及Procreate变换操作</w:t>
      </w:r>
      <w:r>
        <w:rPr>
          <w:sz w:val="18"/>
          <w:vertAlign w:val="superscript"/>
        </w:rPr>
        <w:t>⁠[8]</w:t>
      </w:r>
      <w:r>
        <w:rPr>
          <w:sz w:val="19"/>
        </w:rPr>
        <w:t>绘制；画面为操作示意，不是参与者作品或实验结果。</w:t>
      </w:r>
    </w:p>
    <w:p>
      <w:pPr>
        <w:pStyle w:val="a2"/>
        <w:widowControl/>
        <w:ind w:firstLineChars="200" w:firstLine="480"/>
      </w:pPr>
      <w:r>
        <w:t>Procreate的官方手册展示了这种可操作对象的实践形式：选中内容后出现包围框与节点，可移动、缩放和旋转，完成后确认变换</w:t>
      </w:r>
      <w:r>
        <w:rPr>
          <w:sz w:val="18"/>
          <w:vertAlign w:val="superscript"/>
        </w:rPr>
        <w:t>⁠[8]</w:t>
      </w:r>
      <w:r>
        <w:t>。本研究借鉴的是“对象—操作—可见后果”的对应关系。直接绘画工具中的图层内容与本研究待确认的素材并不具有相同的编辑边界，不能仅复制控制框外观而忽略对象状态。</w:t>
      </w:r>
    </w:p>
    <w:p>
      <w:pPr>
        <w:pStyle w:val="a2"/>
        <w:widowControl/>
        <w:ind w:firstLineChars="200" w:firstLine="480"/>
      </w:pPr>
      <w:r>
        <w:t>外部操作也有成本。素材不足时，用户可能花费更多时间寻找近似对象；预览形态与最终笔触差异过大时，布局比较会失去可靠参照。若需要频繁打开面板、遮挡画面或调整难以触及的节点，外部化反而增加协调负担</w:t>
      </w:r>
      <w:r>
        <w:rPr>
          <w:sz w:val="18"/>
          <w:vertAlign w:val="superscript"/>
        </w:rPr>
        <w:t>⁠[1,2]</w:t>
      </w:r>
      <w:r>
        <w:t>。因此，素材库丰富程度不能替代可找到、可辨认、可调整的要求，操作的准确性还必须结合设备尺寸检验。</w:t>
      </w:r>
    </w:p>
    <w:p>
      <w:pPr>
        <w:pStyle w:val="30"/>
        <w:numPr>
          <w:numId w:val="0"/>
        </w:numPr>
      </w:pPr>
      <w:r>
        <w:t>3.1.3 素材编排的设计命题与验证边界</w:t>
      </w:r>
    </w:p>
    <w:p>
      <w:pPr>
        <w:pStyle w:val="a2"/>
        <w:widowControl/>
        <w:ind w:firstLineChars="200" w:firstLine="480"/>
      </w:pPr>
      <w:r>
        <w:t>据此提出命题D1：当素材能覆盖任务所需内容，且空间变化能够被正确预览时，素材编排有望帮助非专业者保留并落实内容及构图关系。该命题由外部表征的关系显化作用推导而来</w:t>
      </w:r>
      <w:r>
        <w:rPr>
          <w:sz w:val="18"/>
          <w:vertAlign w:val="superscript"/>
        </w:rPr>
        <w:t>⁠[1,2]</w:t>
      </w:r>
      <w:r>
        <w:t>，适用条件包括对象可区分、变换可理解以及用户仍有选择空间。它并不意味着每个人都需要素材，或编排必定比直接绘画更有效。P05已有可行的水彩表达方式，正是需要保留的比较情形。</w:t>
      </w:r>
    </w:p>
    <w:p>
      <w:pPr>
        <w:pStyle w:val="a2"/>
        <w:widowControl/>
        <w:ind w:firstLineChars="200" w:firstLine="480"/>
      </w:pPr>
      <w:r>
        <w:t>后续RQ3b将通过编排支持因素及其与执行方式的交互关系检验模块效果，并结合操作回顾解释差异。表达落实应依据任务前说明、过程中的意图更新与最终结果进行判断，不能只看与照片的相似度。即使编排条件获得更高评价，也只能支持特定任务中的设计作用；要确认认知卸载这一中介，还需独立测量信息加工变化。表3.1汇总了原研究与本研究迁移之间的距离。</w:t>
      </w:r>
    </w:p>
    <w:p>
      <w:pPr>
        <w:pStyle w:val="aa"/>
        <w:keepNext/>
        <w:keepLines/>
        <w:spacing w:before="0" w:after="0" w:line="300" w:lineRule="atLeast"/>
        <w:ind w:firstLine="0"/>
        <w:jc w:val="center"/>
      </w:pPr>
      <w:r>
        <w:t>表3.1  核心研究的原始问题与迁移条件</w:t>
      </w:r>
    </w:p>
    <w:p>
      <w:pPr>
        <w:pStyle w:val="ad"/>
        <w:keepNext/>
        <w:keepLines/>
        <w:spacing w:before="0" w:after="0" w:line="300" w:lineRule="atLeast"/>
        <w:ind w:firstLine="0"/>
        <w:jc w:val="center"/>
      </w:pPr>
      <w:r>
        <w:t>Table 3.1  Original research questions and transfer conditions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2494"/>
        <w:gridCol w:w="2381"/>
        <w:gridCol w:w="3912"/>
      </w:tblGrid>
      <w:tr>
        <w:trPr>
          <w:cantSplit/>
          <w:tblHeader/>
        </w:trPr>
        <w:tc>
          <w:tcPr>
            <w:tcW w:type="dxa" w:w="249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依据及原文位置</w:t>
            </w:r>
          </w:p>
        </w:tc>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原研究关注</w:t>
            </w:r>
          </w:p>
        </w:tc>
        <w:tc>
          <w:tcPr>
            <w:tcW w:type="dxa" w:w="3912"/>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本研究的迁移条件</w:t>
            </w:r>
          </w:p>
        </w:tc>
      </w:tr>
      <w:tr>
        <w:trPr>
          <w:cantSplit/>
        </w:trPr>
        <w:tc>
          <w:tcPr>
            <w:tcW w:type="dxa" w:w="2494"/>
            <w:vAlign w:val="center"/>
            <w:tcMar>
              <w:top w:w="85" w:type="dxa"/>
              <w:bottom w:w="85" w:type="dxa"/>
              <w:left w:w="80" w:type="dxa"/>
              <w:right w:w="80" w:type="dxa"/>
            </w:tcMar>
          </w:tcPr>
          <w:p>
            <w:pPr>
              <w:pStyle w:val="af"/>
              <w:keepNext w:val="0"/>
              <w:spacing w:before="0" w:after="0" w:line="300" w:lineRule="atLeast"/>
              <w:ind w:firstLine="0"/>
              <w:jc w:val="left"/>
            </w:pPr>
            <w:r>
              <w:rPr>
                <w:b w:val="0"/>
              </w:rPr>
              <w:t>Scaife与Rogers</w:t>
            </w:r>
            <w:r>
              <w:rPr>
                <w:b w:val="0"/>
                <w:sz w:val="18"/>
                <w:vertAlign w:val="superscript"/>
              </w:rPr>
              <w:t>⁠[1]</w:t>
            </w:r>
            <w:r>
              <w:rPr>
                <w:b w:val="0"/>
              </w:rPr>
              <w:br/>
              <w:t>作者稿第7—9页</w:t>
            </w:r>
          </w:p>
        </w:tc>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内部与外部表征如何共同参与加工</w:t>
            </w:r>
          </w:p>
        </w:tc>
        <w:tc>
          <w:tcPr>
            <w:tcW w:type="dxa" w:w="3912"/>
            <w:vAlign w:val="center"/>
            <w:tcMar>
              <w:top w:w="85" w:type="dxa"/>
              <w:bottom w:w="85" w:type="dxa"/>
              <w:left w:w="80" w:type="dxa"/>
              <w:right w:w="80" w:type="dxa"/>
            </w:tcMar>
          </w:tcPr>
          <w:p>
            <w:pPr>
              <w:pStyle w:val="af"/>
              <w:keepNext w:val="0"/>
              <w:spacing w:before="0" w:after="0" w:line="300" w:lineRule="atLeast"/>
              <w:ind w:firstLine="0"/>
              <w:jc w:val="left"/>
            </w:pPr>
            <w:r>
              <w:rPr>
                <w:b w:val="0"/>
              </w:rPr>
              <w:t>素材必须显化与任务有关的关系；不预设图像普遍优越</w:t>
            </w:r>
          </w:p>
        </w:tc>
      </w:tr>
      <w:tr>
        <w:trPr>
          <w:cantSplit/>
        </w:trPr>
        <w:tc>
          <w:tcPr>
            <w:tcW w:type="dxa" w:w="2494"/>
            <w:vAlign w:val="center"/>
            <w:tcMar>
              <w:top w:w="85" w:type="dxa"/>
              <w:bottom w:w="85" w:type="dxa"/>
              <w:left w:w="80" w:type="dxa"/>
              <w:right w:w="80" w:type="dxa"/>
            </w:tcMar>
          </w:tcPr>
          <w:p>
            <w:pPr>
              <w:pStyle w:val="af"/>
              <w:keepNext w:val="0"/>
              <w:spacing w:before="0" w:after="0" w:line="300" w:lineRule="atLeast"/>
              <w:ind w:firstLine="0"/>
              <w:jc w:val="left"/>
            </w:pPr>
            <w:r>
              <w:rPr>
                <w:b w:val="0"/>
              </w:rPr>
              <w:t>Kirsh与Maglio</w:t>
            </w:r>
            <w:r>
              <w:rPr>
                <w:b w:val="0"/>
                <w:sz w:val="18"/>
                <w:vertAlign w:val="superscript"/>
              </w:rPr>
              <w:t>⁠[7]</w:t>
            </w:r>
            <w:r>
              <w:rPr>
                <w:b w:val="0"/>
              </w:rPr>
              <w:br/>
              <w:t>作者稿第2—4页</w:t>
            </w:r>
          </w:p>
        </w:tc>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俄罗斯方块中行动的认识性用途</w:t>
            </w:r>
          </w:p>
        </w:tc>
        <w:tc>
          <w:tcPr>
            <w:tcW w:type="dxa" w:w="3912"/>
            <w:vAlign w:val="center"/>
            <w:tcMar>
              <w:top w:w="85" w:type="dxa"/>
              <w:bottom w:w="85" w:type="dxa"/>
              <w:left w:w="80" w:type="dxa"/>
              <w:right w:w="80" w:type="dxa"/>
            </w:tcMar>
          </w:tcPr>
          <w:p>
            <w:pPr>
              <w:pStyle w:val="af"/>
              <w:keepNext w:val="0"/>
              <w:spacing w:before="0" w:after="0" w:line="300" w:lineRule="atLeast"/>
              <w:ind w:firstLine="0"/>
              <w:jc w:val="left"/>
            </w:pPr>
            <w:r>
              <w:rPr>
                <w:b w:val="0"/>
              </w:rPr>
              <w:t>按操作目的区分试探与落实；不将动作多解释为困难多</w:t>
            </w:r>
          </w:p>
        </w:tc>
      </w:tr>
      <w:tr>
        <w:trPr>
          <w:cantSplit/>
        </w:trPr>
        <w:tc>
          <w:tcPr>
            <w:tcW w:type="dxa" w:w="2494"/>
            <w:vAlign w:val="center"/>
            <w:tcMar>
              <w:top w:w="85" w:type="dxa"/>
              <w:bottom w:w="85" w:type="dxa"/>
              <w:left w:w="80" w:type="dxa"/>
              <w:right w:w="80" w:type="dxa"/>
            </w:tcMar>
          </w:tcPr>
          <w:p>
            <w:pPr>
              <w:pStyle w:val="af"/>
              <w:keepNext w:val="0"/>
              <w:spacing w:before="0" w:after="0" w:line="300" w:lineRule="atLeast"/>
              <w:ind w:firstLine="0"/>
              <w:jc w:val="left"/>
            </w:pPr>
            <w:r>
              <w:rPr>
                <w:b w:val="0"/>
              </w:rPr>
              <w:t>Schön</w:t>
            </w:r>
            <w:r>
              <w:rPr>
                <w:b w:val="0"/>
                <w:sz w:val="18"/>
                <w:vertAlign w:val="superscript"/>
              </w:rPr>
              <w:t>⁠[5]</w:t>
            </w:r>
            <w:r>
              <w:rPr>
                <w:b w:val="0"/>
              </w:rPr>
              <w:br/>
              <w:t>第134—135页</w:t>
            </w:r>
          </w:p>
        </w:tc>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建筑设计中观看、变换与意图演变</w:t>
            </w:r>
          </w:p>
        </w:tc>
        <w:tc>
          <w:tcPr>
            <w:tcW w:type="dxa" w:w="3912"/>
            <w:vAlign w:val="center"/>
            <w:tcMar>
              <w:top w:w="85" w:type="dxa"/>
              <w:bottom w:w="85" w:type="dxa"/>
              <w:left w:w="80" w:type="dxa"/>
              <w:right w:w="80" w:type="dxa"/>
            </w:tcMar>
          </w:tcPr>
          <w:p>
            <w:pPr>
              <w:pStyle w:val="af"/>
              <w:keepNext w:val="0"/>
              <w:spacing w:before="0" w:after="0" w:line="300" w:lineRule="atLeast"/>
              <w:ind w:firstLine="0"/>
              <w:jc w:val="left"/>
            </w:pPr>
            <w:r>
              <w:rPr>
                <w:b w:val="0"/>
              </w:rPr>
              <w:t>中间画面需要可判断、可介入；观看本身不足以证明反思</w:t>
            </w:r>
          </w:p>
        </w:tc>
      </w:tr>
      <w:tr>
        <w:trPr>
          <w:cantSplit/>
        </w:trPr>
        <w:tc>
          <w:tcPr>
            <w:tcW w:type="dxa" w:w="2494"/>
            <w:vAlign w:val="center"/>
            <w:tcMar>
              <w:top w:w="85" w:type="dxa"/>
              <w:bottom w:w="85" w:type="dxa"/>
              <w:left w:w="80" w:type="dxa"/>
              <w:right w:w="80" w:type="dxa"/>
            </w:tcMar>
          </w:tcPr>
          <w:p>
            <w:pPr>
              <w:pStyle w:val="af"/>
              <w:keepNext w:val="0"/>
              <w:spacing w:before="0" w:after="0" w:line="300" w:lineRule="atLeast"/>
              <w:ind w:firstLine="0"/>
              <w:jc w:val="left"/>
            </w:pPr>
            <w:r>
              <w:rPr>
                <w:b w:val="0"/>
              </w:rPr>
              <w:t>Ryan与Deci</w:t>
            </w:r>
            <w:r>
              <w:rPr>
                <w:b w:val="0"/>
                <w:sz w:val="18"/>
                <w:vertAlign w:val="superscript"/>
              </w:rPr>
              <w:t>⁠[6]</w:t>
            </w:r>
            <w:r>
              <w:rPr>
                <w:b w:val="0"/>
              </w:rPr>
              <w:br/>
              <w:t>第70、74页</w:t>
            </w:r>
          </w:p>
        </w:tc>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自主、胜任及环境支持的关系</w:t>
            </w:r>
          </w:p>
        </w:tc>
        <w:tc>
          <w:tcPr>
            <w:tcW w:type="dxa" w:w="3912"/>
            <w:vAlign w:val="center"/>
            <w:tcMar>
              <w:top w:w="85" w:type="dxa"/>
              <w:bottom w:w="85" w:type="dxa"/>
              <w:left w:w="80" w:type="dxa"/>
              <w:right w:w="80" w:type="dxa"/>
            </w:tcMar>
          </w:tcPr>
          <w:p>
            <w:pPr>
              <w:pStyle w:val="af"/>
              <w:keepNext w:val="0"/>
              <w:spacing w:before="0" w:after="0" w:line="300" w:lineRule="atLeast"/>
              <w:ind w:firstLine="0"/>
              <w:jc w:val="left"/>
            </w:pPr>
            <w:r>
              <w:rPr>
                <w:b w:val="0"/>
              </w:rPr>
              <w:t>保留有意义的选择及可辨认的影响；不以全手动替代自主</w:t>
            </w:r>
          </w:p>
        </w:tc>
      </w:tr>
      <w:tr>
        <w:trPr>
          <w:cantSplit/>
        </w:trPr>
        <w:tc>
          <w:tcPr>
            <w:tcW w:type="dxa" w:w="2494"/>
            <w:vAlign w:val="center"/>
            <w:tcMar>
              <w:top w:w="85" w:type="dxa"/>
              <w:bottom w:w="85" w:type="dxa"/>
              <w:left w:w="80" w:type="dxa"/>
              <w:right w:w="80" w:type="dxa"/>
            </w:tcMar>
          </w:tcPr>
          <w:p>
            <w:pPr>
              <w:pStyle w:val="af"/>
              <w:keepNext w:val="0"/>
              <w:spacing w:before="0" w:after="0" w:line="300" w:lineRule="atLeast"/>
              <w:ind w:firstLine="0"/>
              <w:jc w:val="left"/>
            </w:pPr>
            <w:r>
              <w:rPr>
                <w:b w:val="0"/>
              </w:rPr>
              <w:t>Rezwana与Maher</w:t>
            </w:r>
            <w:r>
              <w:rPr>
                <w:b w:val="0"/>
                <w:sz w:val="18"/>
                <w:vertAlign w:val="superscript"/>
              </w:rPr>
              <w:t>⁠[9]</w:t>
            </w:r>
            <w:r>
              <w:rPr>
                <w:b w:val="0"/>
              </w:rPr>
              <w:br/>
              <w:t>公开稿第6—11页</w:t>
            </w:r>
          </w:p>
        </w:tc>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共创系统的贡献与交互组织</w:t>
            </w:r>
          </w:p>
        </w:tc>
        <w:tc>
          <w:tcPr>
            <w:tcW w:type="dxa" w:w="3912"/>
            <w:vAlign w:val="center"/>
            <w:tcMar>
              <w:top w:w="85" w:type="dxa"/>
              <w:bottom w:w="85" w:type="dxa"/>
              <w:left w:w="80" w:type="dxa"/>
              <w:right w:w="80" w:type="dxa"/>
            </w:tcMar>
          </w:tcPr>
          <w:p>
            <w:pPr>
              <w:pStyle w:val="af"/>
              <w:keepNext w:val="0"/>
              <w:spacing w:before="0" w:after="0" w:line="300" w:lineRule="atLeast"/>
              <w:ind w:firstLine="0"/>
              <w:jc w:val="left"/>
            </w:pPr>
            <w:r>
              <w:rPr>
                <w:b w:val="0"/>
              </w:rPr>
              <w:t>借用角色、轮次和通信维度；不赋予本系统自主构思能力</w:t>
            </w:r>
          </w:p>
        </w:tc>
      </w:tr>
    </w:tbl>
    <w:p>
      <w:pPr>
        <w:keepLines/>
        <w:spacing w:line="260" w:lineRule="atLeast" w:before="60" w:after="120"/>
        <w:ind w:firstLine="0"/>
      </w:pPr>
      <w:r>
        <w:rPr>
          <w:sz w:val="19"/>
        </w:rPr>
        <w:t>来源：作者根据所列原文整理。作者稿页码与正式刊物页码分别标明；表内迁移条件为本研究推导。</w:t>
      </w:r>
    </w:p>
    <w:p>
      <w:pPr>
        <w:pStyle w:val="20"/>
        <w:numPr>
          <w:numId w:val="0"/>
        </w:numPr>
      </w:pPr>
      <w:r>
        <w:t>3.2 反思性设计与渐进画面反馈</w:t>
      </w:r>
    </w:p>
    <w:p>
      <w:pPr>
        <w:pStyle w:val="30"/>
        <w:numPr>
          <w:numId w:val="0"/>
        </w:numPr>
      </w:pPr>
      <w:r>
        <w:t>3.2.1 观看与行动的相互作用</w:t>
      </w:r>
    </w:p>
    <w:p>
      <w:pPr>
        <w:pStyle w:val="a2"/>
        <w:widowControl/>
        <w:ind w:firstLineChars="200" w:firstLine="480"/>
      </w:pPr>
      <w:r>
        <w:t>本节所称反思性设计，主要指Schön关于设计中反思性实践的讨论。Schön与Wiggins将绘图理解为与材料进行对话的过程，并区分对图形的直接看见、对质量的判断及对空间整体关系的把握</w:t>
      </w:r>
      <w:r>
        <w:rPr>
          <w:sz w:val="18"/>
          <w:vertAlign w:val="superscript"/>
        </w:rPr>
        <w:t>⁠[4]</w:t>
      </w:r>
      <w:r>
        <w:t>。因而，画面反馈的意义不限于告知操作已经发生，还在于使设计者重新判断对象之间的联系。这一观点为渐进成画提供解释视角，而非要求用户学习一套固定的绘画步骤。</w:t>
      </w:r>
    </w:p>
    <w:p>
      <w:pPr>
        <w:pStyle w:val="a2"/>
        <w:widowControl/>
        <w:ind w:firstLineChars="200" w:firstLine="480"/>
      </w:pPr>
      <w:r>
        <w:t>Schön在同年发表的反思性对话研究中，以建筑设计教学片段展示观看、行动、再观看的关系</w:t>
      </w:r>
      <w:r>
        <w:rPr>
          <w:sz w:val="18"/>
          <w:vertAlign w:val="superscript"/>
        </w:rPr>
        <w:t>⁠[5]</w:t>
      </w:r>
      <w:r>
        <w:t>。学生Petra把六个教室单元改为三个L形组合后，除了看到尺度变化，还发现了年级邻接与空间使用的新关系。意图并非全部预先确定，而会随中间设计的理解继续发展。该案例支持的是设计判断与材料变化相互作用，不能把建筑学生的表现直接推广为初学者观看自动绘画的效果。</w:t>
      </w:r>
    </w:p>
    <w:p>
      <w:pPr>
        <w:pStyle w:val="a2"/>
        <w:widowControl/>
        <w:ind w:firstLineChars="200" w:firstLine="480"/>
      </w:pPr>
      <w:r>
        <w:t>本研究将行动环节分配给两类活动：用户决定内容及布局，系统生成可见笔触。只要成画仍能成为用户比较、采用或修改的依据，这一分工就可能保留观看与再行动之间的联系。反之，若用户只能等待既定结果，反馈虽在持续变化，也未形成可供其介入的设计对话。图3.4据此区分画面变化与有证据支持的意图发展。</w:t>
      </w:r>
    </w:p>
    <w:p>
      <w:pPr>
        <w:keepNext/>
        <w:spacing w:before="120" w:after="60" w:line="240" w:lineRule="auto"/>
        <w:ind w:firstLine="0"/>
        <w:jc w:val="center"/>
      </w:pPr>
      <w:r>
        <w:drawing>
          <wp:inline xmlns:a="http://schemas.openxmlformats.org/drawingml/2006/main" xmlns:pic="http://schemas.openxmlformats.org/drawingml/2006/picture">
            <wp:extent cx="5580000" cy="2556000"/>
            <wp:docPr id="4" name="Picture 4" descr="渐进反馈中的观看判断与再次介入。来源：作者根据Schön与Wiggins、Schön绘制。过程单元用于后续分析，不表示本研究已观察到所列完整路径。"/>
            <wp:cNvGraphicFramePr>
              <a:graphicFrameLocks noChangeAspect="1"/>
            </wp:cNvGraphicFramePr>
            <a:graphic>
              <a:graphicData uri="http://schemas.openxmlformats.org/drawingml/2006/picture">
                <pic:pic>
                  <pic:nvPicPr>
                    <pic:cNvPr id="0" name="观看反馈过程图.png"/>
                    <pic:cNvPicPr/>
                  </pic:nvPicPr>
                  <pic:blipFill>
                    <a:blip r:embed="rId32"/>
                    <a:stretch>
                      <a:fillRect/>
                    </a:stretch>
                  </pic:blipFill>
                  <pic:spPr>
                    <a:xfrm>
                      <a:off x="0" y="0"/>
                      <a:ext cx="5580000" cy="2556000"/>
                    </a:xfrm>
                    <a:prstGeom prst="rect"/>
                  </pic:spPr>
                </pic:pic>
              </a:graphicData>
            </a:graphic>
          </wp:inline>
        </w:drawing>
      </w:r>
    </w:p>
    <w:p>
      <w:pPr>
        <w:pStyle w:val="aa"/>
        <w:keepNext/>
        <w:keepLines/>
        <w:spacing w:before="0" w:after="0" w:line="300" w:lineRule="atLeast"/>
        <w:ind w:firstLine="0"/>
        <w:jc w:val="center"/>
      </w:pPr>
      <w:r>
        <w:t>图3.4  渐进反馈中的观看判断与再次介入</w:t>
      </w:r>
    </w:p>
    <w:p>
      <w:pPr>
        <w:pStyle w:val="ad"/>
        <w:keepNext/>
        <w:keepLines/>
        <w:spacing w:before="0" w:after="0" w:line="300" w:lineRule="atLeast"/>
        <w:ind w:firstLine="0"/>
        <w:jc w:val="center"/>
      </w:pPr>
      <w:r>
        <w:t>Figure 3.4  Seeing judging and re-entering during progressive feedback</w:t>
      </w:r>
    </w:p>
    <w:p>
      <w:pPr>
        <w:keepLines/>
        <w:spacing w:line="260" w:lineRule="atLeast" w:before="60" w:after="120"/>
        <w:ind w:firstLine="0"/>
      </w:pPr>
      <w:r>
        <w:rPr>
          <w:sz w:val="19"/>
        </w:rPr>
        <w:t>来源：作者根据Schön与Wiggins</w:t>
      </w:r>
      <w:r>
        <w:rPr>
          <w:sz w:val="18"/>
          <w:vertAlign w:val="superscript"/>
        </w:rPr>
        <w:t>⁠[4]</w:t>
      </w:r>
      <w:r>
        <w:rPr>
          <w:sz w:val="19"/>
        </w:rPr>
        <w:t>、Schön</w:t>
      </w:r>
      <w:r>
        <w:rPr>
          <w:sz w:val="18"/>
          <w:vertAlign w:val="superscript"/>
        </w:rPr>
        <w:t>⁠[5]</w:t>
      </w:r>
      <w:r>
        <w:rPr>
          <w:sz w:val="19"/>
        </w:rPr>
        <w:t>绘制。过程单元用于后续分析，不表示本研究已观察到所列完整路径。</w:t>
      </w:r>
    </w:p>
    <w:p>
      <w:pPr>
        <w:pStyle w:val="30"/>
        <w:numPr>
          <w:numId w:val="0"/>
        </w:numPr>
      </w:pPr>
      <w:r>
        <w:t>3.2.2 中间画面与表达意图的发展</w:t>
      </w:r>
    </w:p>
    <w:p>
      <w:pPr>
        <w:pStyle w:val="a2"/>
        <w:widowControl/>
        <w:ind w:firstLineChars="200" w:firstLine="480"/>
      </w:pPr>
      <w:r>
        <w:t>渐进画面应提供可以理解的中间状态，使用户能把当前关系与表达目标进行比较。这里需要区分四个过程单元：看见画面中的某种关系，对其作出评价，保留或改变表达意图，以及采取后续操作。四者不必每次同时发生。例如，用户注意到画面一侧更空，既可能据此加入一个对象，也可能认可原有留白并继续观看；只有操作次数无法说明判断的性质。</w:t>
      </w:r>
    </w:p>
    <w:p>
      <w:pPr>
        <w:pStyle w:val="a2"/>
        <w:widowControl/>
        <w:ind w:firstLineChars="200" w:firstLine="480"/>
      </w:pPr>
      <w:r>
        <w:t>PromptPaint提供了持续干预图像形成过程的工具案例。该系统用类似绘画媒介的操作支持用户引导文本到图像生成</w:t>
      </w:r>
      <w:r>
        <w:rPr>
          <w:sz w:val="18"/>
          <w:vertAlign w:val="superscript"/>
        </w:rPr>
        <w:t>⁠[10]</w:t>
      </w:r>
      <w:r>
        <w:t>。它说明创作界面可以在结果尚未结束时提供影响过程的入口，但其生成模型与本研究的程序化笔触执行不同。本研究不能据此声称算法能够理解叙事或提出语义建议，能够借鉴的是让画面反馈与下一步操作保持联系的交互组织。</w:t>
      </w:r>
    </w:p>
    <w:p>
      <w:pPr>
        <w:pStyle w:val="a2"/>
        <w:widowControl/>
        <w:ind w:firstLineChars="200" w:firstLine="480"/>
      </w:pPr>
      <w:r>
        <w:t>后续过程回顾将结合画面变化与用户说明辨认三种情形：出现原先没有的新想法，沿既定计划继续落实，以及修正系统未能按预期表现的内容。第二章中主动删去人物与因造型困难简化人物具有不同性质，类似区分仍需延续。若无法找到意图改变的说明或相应操作，应保留为单纯观看或判断不明，不将任何停顿、凝视或续绘都解释为灵感。</w:t>
      </w:r>
    </w:p>
    <w:p>
      <w:pPr>
        <w:pStyle w:val="30"/>
        <w:numPr>
          <w:numId w:val="0"/>
        </w:numPr>
      </w:pPr>
      <w:r>
        <w:t>3.2.3 持续介入的条件及节奏取舍</w:t>
      </w:r>
    </w:p>
    <w:p>
      <w:pPr>
        <w:pStyle w:val="a2"/>
        <w:widowControl/>
        <w:ind w:firstLineChars="200" w:firstLine="480"/>
      </w:pPr>
      <w:r>
        <w:t>过程反馈与行动入口必须配合。用户需要知道当前是否仍在绘制、何时可以加入内容，以及改变布局后哪些部分将受到影响。若观察到值得修改的关系，却无法暂停或进入素材操作，渐进成画仍会退化为单向播放。另一方面，面板长期覆盖作品，也会破坏观看与比较的条件。持续介入因此表现为机会的保留，不要求用户始终操作。</w:t>
      </w:r>
    </w:p>
    <w:p>
      <w:pPr>
        <w:pStyle w:val="a2"/>
        <w:widowControl/>
        <w:ind w:firstLineChars="200" w:firstLine="480"/>
      </w:pPr>
      <w:r>
        <w:t>Tversky等对动画的综述提出可理解性要求，指出过快或过于复杂的变化可能难以准确感知，并讨论了交互控制的作用</w:t>
      </w:r>
      <w:r>
        <w:rPr>
          <w:sz w:val="18"/>
          <w:vertAlign w:val="superscript"/>
        </w:rPr>
        <w:t>⁠[11]</w:t>
      </w:r>
      <w:r>
        <w:t>。其研究主要面向理解与学习，向创作迁移时，只能据此提出节奏需适合观察和判断，不能推出某一速度最优。较慢呈现可能提供比较时间，也可能增加等待；较快呈现节约时间，却可能掩盖局部变化。</w:t>
      </w:r>
    </w:p>
    <w:p>
      <w:pPr>
        <w:pStyle w:val="a2"/>
        <w:widowControl/>
        <w:ind w:firstLineChars="200" w:firstLine="480"/>
      </w:pPr>
      <w:r>
        <w:t>据此形成命题D2：可辨认的中间画面与可用的介入入口相配合，可能支持意图在过程中延续或发展。后续以回顾材料探索其表现，不另设观看因素。当前速度档位及笔触动画属于实现选择，需分别考察等待、状态理解与介入时机；不能用动画的观赏性替代对表达作用的判断。</w:t>
      </w:r>
    </w:p>
    <w:p>
      <w:pPr>
        <w:pStyle w:val="20"/>
        <w:numPr>
          <w:numId w:val="0"/>
        </w:numPr>
      </w:pPr>
      <w:r>
        <w:t>3.3 自我决定与自动辅助中的自主体验</w:t>
      </w:r>
    </w:p>
    <w:p>
      <w:pPr>
        <w:pStyle w:val="30"/>
        <w:numPr>
          <w:numId w:val="0"/>
        </w:numPr>
      </w:pPr>
      <w:r>
        <w:t>3.3.1 自主性与胜任感的概念</w:t>
      </w:r>
    </w:p>
    <w:p>
      <w:pPr>
        <w:pStyle w:val="a2"/>
        <w:widowControl/>
        <w:ind w:firstLineChars="200" w:firstLine="480"/>
      </w:pPr>
      <w:r>
        <w:t>自我决定理论讨论自主、胜任与关系三种基本心理需要</w:t>
      </w:r>
      <w:r>
        <w:rPr>
          <w:sz w:val="18"/>
          <w:vertAlign w:val="superscript"/>
        </w:rPr>
        <w:t>⁠[6]</w:t>
      </w:r>
      <w:r>
        <w:t>。自主性强调行动的自愿性及自我认同，而非凡事独立完成；胜任感强调在活动中感到有效，能够应对其中的要求。二者相关但并不相同：用户可以自愿选择一种困难的表达方式，也可能在完成任务后仍认为过程由外部安排。本研究聚焦自主与胜任，不据此否认关系需要的作用，只是不把它列为主要解释变量。</w:t>
      </w:r>
    </w:p>
    <w:p>
      <w:pPr>
        <w:pStyle w:val="a2"/>
        <w:widowControl/>
        <w:ind w:firstLineChars="200" w:firstLine="480"/>
      </w:pPr>
      <w:r>
        <w:t>这一界定使自动辅助的评价不再取决于亲手落笔的比例。将逐笔执行交给系统，若出于用户认可的分工，且主题、关系与完成判断仍由其影响，未必降低自主体验。反之，全部手动也可能是被迫遵循步骤的劳动。第二章P02对双手关系的重视、P06对围桌位置的明确判断提示，用户希望保留的贡献需要按表达意义辨认，而不能按动作精细程度排序。</w:t>
      </w:r>
    </w:p>
    <w:p>
      <w:pPr>
        <w:pStyle w:val="a2"/>
        <w:widowControl/>
        <w:ind w:firstLineChars="200" w:firstLine="480"/>
      </w:pPr>
      <w:r>
        <w:t>理论在此支持提出问题，而非给出答案。自动绘制可能缓解执行挫折，也可能削弱对过程的把握；素材选择可能使决定更容易落实，也可能因为资源不足而限制表达。真正需要考察的是用户是否愿意接受分工，以及是否能够看见自己所作决定的后果。</w:t>
      </w:r>
    </w:p>
    <w:p>
      <w:pPr>
        <w:pStyle w:val="30"/>
        <w:numPr>
          <w:numId w:val="0"/>
        </w:numPr>
      </w:pPr>
      <w:r>
        <w:t>3.3.2 执行分工与用户贡献的辨认</w:t>
      </w:r>
    </w:p>
    <w:p>
      <w:pPr>
        <w:pStyle w:val="a2"/>
        <w:widowControl/>
        <w:ind w:firstLineChars="200" w:firstLine="480"/>
      </w:pPr>
      <w:r>
        <w:t>“用户编排、系统绘制”的方案将内容及关系判断与逐笔执行分开。用户带入照片，选择进入画面的素材，决定位置、尺度和方向，并在过程中判断是否继续；系统依据已确认目标计算笔触并呈现。创作贡献因而可以落在选取、关系建构与采用判断上。这里的表达支持以用户决定能否转化为结果为条件，不能仅以系统生成了完整画面作为成立依据。</w:t>
      </w:r>
    </w:p>
    <w:p>
      <w:pPr>
        <w:pStyle w:val="a2"/>
        <w:widowControl/>
        <w:ind w:firstLineChars="200" w:firstLine="480"/>
      </w:pPr>
      <w:r>
        <w:t>Painting with Bob以辅助笔刷支持用户创作，是执行辅助与用户控制之间的相关案例</w:t>
      </w:r>
      <w:r>
        <w:rPr>
          <w:sz w:val="18"/>
          <w:vertAlign w:val="superscript"/>
        </w:rPr>
        <w:t>⁠[12]</w:t>
      </w:r>
      <w:r>
        <w:t>。该工具仍由用户手动施笔，其协作分工不同于本研究；研究讨论也提示作品观感与用户对个人贡献的感受需要分别评价。借助该案例，本研究将画面质量、表达落实和贡献辨认分开：技术上更像绘画的结果，并不自动意味着用户认为作品表达了自己。</w:t>
      </w:r>
    </w:p>
    <w:p>
      <w:pPr>
        <w:pStyle w:val="a2"/>
        <w:widowControl/>
        <w:ind w:firstLineChars="200" w:firstLine="480"/>
      </w:pPr>
      <w:r>
        <w:t>由此提出命题D3及其相反路径，见图3.5。若用户的选择可见、可操作且能影响成画，自动执行可能在减轻落笔要求的同时保留自主与胜任体验；若布局被系统效果淹没、预览难以预测或结束时机缺少控制，则可能出现旁观感。前一条路径即使成立，也不应被解释为系统把创造力赋予用户；后一条路径则是方案需要面对的真实反例。</w:t>
      </w:r>
    </w:p>
    <w:p>
      <w:pPr>
        <w:keepNext/>
        <w:spacing w:before="120" w:after="60" w:line="240" w:lineRule="auto"/>
        <w:ind w:firstLine="0"/>
        <w:jc w:val="center"/>
      </w:pPr>
      <w:r>
        <w:drawing>
          <wp:inline xmlns:a="http://schemas.openxmlformats.org/drawingml/2006/main" xmlns:pic="http://schemas.openxmlformats.org/drawingml/2006/picture">
            <wp:extent cx="5580000" cy="2466000"/>
            <wp:docPr id="5" name="Picture 5" descr="自动执行中自主体验的两种可能路径。来源：作者依据自我决定理论及辅助绘画研究绘制。两条路径均为待检验解释，未赋予实证权重。"/>
            <wp:cNvGraphicFramePr>
              <a:graphicFrameLocks noChangeAspect="1"/>
            </wp:cNvGraphicFramePr>
            <a:graphic>
              <a:graphicData uri="http://schemas.openxmlformats.org/drawingml/2006/picture">
                <pic:pic>
                  <pic:nvPicPr>
                    <pic:cNvPr id="0" name="自主体验双路径图.png"/>
                    <pic:cNvPicPr/>
                  </pic:nvPicPr>
                  <pic:blipFill>
                    <a:blip r:embed="rId33"/>
                    <a:stretch>
                      <a:fillRect/>
                    </a:stretch>
                  </pic:blipFill>
                  <pic:spPr>
                    <a:xfrm>
                      <a:off x="0" y="0"/>
                      <a:ext cx="5580000" cy="2466000"/>
                    </a:xfrm>
                    <a:prstGeom prst="rect"/>
                  </pic:spPr>
                </pic:pic>
              </a:graphicData>
            </a:graphic>
          </wp:inline>
        </w:drawing>
      </w:r>
    </w:p>
    <w:p>
      <w:pPr>
        <w:pStyle w:val="aa"/>
        <w:keepNext/>
        <w:keepLines/>
        <w:spacing w:before="0" w:after="0" w:line="300" w:lineRule="atLeast"/>
        <w:ind w:firstLine="0"/>
        <w:jc w:val="center"/>
      </w:pPr>
      <w:r>
        <w:t>图3.5  自动执行中自主体验的两种可能路径</w:t>
      </w:r>
    </w:p>
    <w:p>
      <w:pPr>
        <w:pStyle w:val="ad"/>
        <w:keepNext/>
        <w:keepLines/>
        <w:spacing w:before="0" w:after="0" w:line="300" w:lineRule="atLeast"/>
        <w:ind w:firstLine="0"/>
        <w:jc w:val="center"/>
      </w:pPr>
      <w:r>
        <w:t>Figure 3.5  Two possible pathways of autonomous experience under automation</w:t>
      </w:r>
    </w:p>
    <w:p>
      <w:pPr>
        <w:keepLines/>
        <w:spacing w:line="260" w:lineRule="atLeast" w:before="60" w:after="120"/>
        <w:ind w:firstLine="0"/>
      </w:pPr>
      <w:r>
        <w:rPr>
          <w:sz w:val="19"/>
        </w:rPr>
        <w:t>来源：作者依据自我决定理论</w:t>
      </w:r>
      <w:r>
        <w:rPr>
          <w:sz w:val="18"/>
          <w:vertAlign w:val="superscript"/>
        </w:rPr>
        <w:t>⁠[6]</w:t>
      </w:r>
      <w:r>
        <w:rPr>
          <w:sz w:val="19"/>
        </w:rPr>
        <w:t>及辅助绘画研究</w:t>
      </w:r>
      <w:r>
        <w:rPr>
          <w:sz w:val="18"/>
          <w:vertAlign w:val="superscript"/>
        </w:rPr>
        <w:t>⁠[12]</w:t>
      </w:r>
      <w:r>
        <w:rPr>
          <w:sz w:val="19"/>
        </w:rPr>
        <w:t>绘制。两条路径均为待检验解释，未赋予实证权重。</w:t>
      </w:r>
    </w:p>
    <w:p>
      <w:pPr>
        <w:pStyle w:val="a2"/>
        <w:widowControl/>
        <w:ind w:firstLineChars="200" w:firstLine="480"/>
      </w:pPr>
      <w:r>
        <w:t>贡献辨认还涉及结果与过程的联系。用户能否指出某处为何加入、与什么形成关系，以及该决定后来是否保留，比单独询问“喜欢作品吗”更接近本研究的问题。作品归属感可在回顾中探索，但不能仅依据系统替代了多少笔，推断心理归属或法律意义上的作者身份。</w:t>
      </w:r>
    </w:p>
    <w:p>
      <w:pPr>
        <w:pStyle w:val="30"/>
        <w:numPr>
          <w:numId w:val="0"/>
        </w:numPr>
      </w:pPr>
      <w:r>
        <w:t>3.3.3 主观体验与测量概念的对应</w:t>
      </w:r>
    </w:p>
    <w:p>
      <w:pPr>
        <w:pStyle w:val="a2"/>
        <w:widowControl/>
        <w:ind w:firstLineChars="200" w:firstLine="480"/>
      </w:pPr>
      <w:r>
        <w:t>本研究采用内在动机量表（Intrinsic Motivation Inventory，IMI）的感知选择分量表作为自主体验的一个指标，以兴趣／愉悦、感知能力及压力／紧张分量表补充。官方说明区分这些构念：兴趣／愉悦直接面向活动中的内在动机体验，感知选择和感知能力与其相关，压力／紧张则反映另一类体验</w:t>
      </w:r>
      <w:r>
        <w:rPr>
          <w:sz w:val="18"/>
          <w:vertAlign w:val="superscript"/>
        </w:rPr>
        <w:t>⁠[13]</w:t>
      </w:r>
      <w:r>
        <w:t>。因此不把各分量表相加后命名为总体创造力，也不把能力感上升写成绘画技能提高。</w:t>
      </w:r>
    </w:p>
    <w:p>
      <w:pPr>
        <w:pStyle w:val="a2"/>
        <w:widowControl/>
        <w:ind w:firstLineChars="200" w:firstLine="480"/>
      </w:pPr>
      <w:r>
        <w:t>感知选择题项主要涉及是否自愿参与该活动，不能完整代表用户对画面细节的控制。正式研究需使招募及任务要求尽量一致，保留量表构念；对具体编排决定的影响，则由操作回顾和结果比较补充。中文表述及活动名称的调整需要预试检查，不能将未经核验的译文称为已验证中文版。</w:t>
      </w:r>
    </w:p>
    <w:p>
      <w:pPr>
        <w:pStyle w:val="a2"/>
        <w:widowControl/>
        <w:ind w:firstLineChars="200" w:firstLine="480"/>
      </w:pPr>
      <w:r>
        <w:t>作品归属与贡献感采用访谈探索；系统可用性量表（System Usability Scale，SUS）用于整体可用性评价</w:t>
      </w:r>
      <w:r>
        <w:rPr>
          <w:sz w:val="18"/>
          <w:vertAlign w:val="superscript"/>
        </w:rPr>
        <w:t>⁠[14]</w:t>
      </w:r>
      <w:r>
        <w:t>，操作日志与求助记录用于说明实际困难。几类材料分别回答感受、可用性和行为问题，相互印证但不互相替代。自评负担较低而求助较多时，应检查用户对协助的依赖，而不选择性保留较有利的指标。</w:t>
      </w:r>
    </w:p>
    <w:p>
      <w:pPr>
        <w:pStyle w:val="20"/>
        <w:numPr>
          <w:numId w:val="0"/>
        </w:numPr>
      </w:pPr>
      <w:r>
        <w:t>3.4 人机分工与协作过程的交互框架</w:t>
      </w:r>
    </w:p>
    <w:p>
      <w:pPr>
        <w:pStyle w:val="30"/>
        <w:numPr>
          <w:numId w:val="0"/>
        </w:numPr>
      </w:pPr>
      <w:r>
        <w:t>3.4.1 贡献类型与控制交接</w:t>
      </w:r>
    </w:p>
    <w:p>
      <w:pPr>
        <w:pStyle w:val="a2"/>
        <w:widowControl/>
        <w:ind w:firstLineChars="200" w:firstLine="480"/>
      </w:pPr>
      <w:r>
        <w:t>共创交互设计框架（Co-Creative Framework for Interaction Design，COFI）把共创交互分为协作者之间的交互与面向共享作品的交互，进一步讨论协作风格、通信方式、创作过程及创作产物</w:t>
      </w:r>
      <w:r>
        <w:rPr>
          <w:sz w:val="18"/>
          <w:vertAlign w:val="superscript"/>
        </w:rPr>
        <w:t>⁠[9]</w:t>
      </w:r>
      <w:r>
        <w:t>。这一框架适合检查“谁贡献什么、何时贡献以及如何知晓对方行动”，但其研究对象包括具有不同生成能力的系统，不能将分类维度直接当作本研究已获得共创能力的证明。</w:t>
      </w:r>
    </w:p>
    <w:p>
      <w:pPr>
        <w:pStyle w:val="a2"/>
        <w:widowControl/>
        <w:ind w:firstLineChars="200" w:firstLine="480"/>
      </w:pPr>
      <w:r>
        <w:t>在本研究中，用户贡献照片选择、素材编排和评价决定，系统贡献基于目标图像的笔触执行。添加素材时暂停绘制、确认后计算并续绘，构成以用户发起为主的控制交接。系统的通信体现为当前画面、笔刷位置和状态提示；它没有独立主题意图，也不通过语义理解判断素材为何被加入。因此，“共创”指向围绕同一作品的交替参与，不预设人机具有对等的构思能力。</w:t>
      </w:r>
    </w:p>
    <w:p>
      <w:pPr>
        <w:pStyle w:val="a2"/>
        <w:widowControl/>
        <w:ind w:firstLineChars="200" w:firstLine="480"/>
      </w:pPr>
      <w:r>
        <w:t>Amershi等提出的人机交互指南强调说明系统能力、支持调用和纠正，并传达用户行动的后果</w:t>
      </w:r>
      <w:r>
        <w:rPr>
          <w:sz w:val="18"/>
          <w:vertAlign w:val="superscript"/>
        </w:rPr>
        <w:t>⁠[15]</w:t>
      </w:r>
      <w:r>
        <w:t>。对本研究而言，适用的是能力边界与操作后果的清晰表达。星月叙事可以帮助介绍分工，但说明必须与实际能力一致：用户通过素材决定表达关系，系统将已确认目标转为笔触。不能因月亮角色具有引导意味，便暗示系统能够理解用户的生活故事。</w:t>
      </w:r>
    </w:p>
    <w:p>
      <w:pPr>
        <w:pStyle w:val="aa"/>
        <w:keepNext/>
        <w:keepLines/>
        <w:spacing w:before="0" w:after="0" w:line="300" w:lineRule="atLeast"/>
        <w:ind w:firstLine="0"/>
        <w:jc w:val="center"/>
      </w:pPr>
      <w:r>
        <w:t>表3.2  协作贡献与控制交接的分析</w:t>
      </w:r>
    </w:p>
    <w:p>
      <w:pPr>
        <w:pStyle w:val="ad"/>
        <w:keepNext/>
        <w:keepLines/>
        <w:spacing w:before="0" w:after="0" w:line="300" w:lineRule="atLeast"/>
        <w:ind w:firstLine="0"/>
        <w:jc w:val="center"/>
      </w:pPr>
      <w:r>
        <w:t>Table 3.2  Analysis of contributions and control handovers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361"/>
        <w:gridCol w:w="3118"/>
        <w:gridCol w:w="4309"/>
      </w:tblGrid>
      <w:tr>
        <w:trPr>
          <w:cantSplit/>
          <w:tblHeader/>
        </w:trPr>
        <w:tc>
          <w:tcPr>
            <w:tcW w:type="dxa" w:w="136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分析维度</w:t>
            </w:r>
          </w:p>
        </w:tc>
        <w:tc>
          <w:tcPr>
            <w:tcW w:type="dxa" w:w="311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用户侧</w:t>
            </w:r>
          </w:p>
        </w:tc>
        <w:tc>
          <w:tcPr>
            <w:tcW w:type="dxa" w:w="4309"/>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系统侧及边界</w:t>
            </w:r>
          </w:p>
        </w:tc>
      </w:tr>
      <w:tr>
        <w:trPr>
          <w:cantSplit/>
        </w:trPr>
        <w:tc>
          <w:tcPr>
            <w:tcW w:type="dxa" w:w="1361"/>
            <w:vAlign w:val="center"/>
            <w:tcMar>
              <w:top w:w="85" w:type="dxa"/>
              <w:bottom w:w="85" w:type="dxa"/>
              <w:left w:w="80" w:type="dxa"/>
              <w:right w:w="80" w:type="dxa"/>
            </w:tcMar>
          </w:tcPr>
          <w:p>
            <w:pPr>
              <w:pStyle w:val="af"/>
              <w:keepNext/>
              <w:spacing w:before="0" w:after="0" w:line="300" w:lineRule="atLeast"/>
              <w:ind w:firstLine="0"/>
              <w:jc w:val="left"/>
            </w:pPr>
            <w:r>
              <w:rPr>
                <w:b w:val="0"/>
              </w:rPr>
              <w:t>贡献类型</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选图、选材、空间编排、采用与结束判断</w:t>
            </w:r>
          </w:p>
        </w:tc>
        <w:tc>
          <w:tcPr>
            <w:tcW w:type="dxa" w:w="4309"/>
            <w:vAlign w:val="center"/>
            <w:tcMar>
              <w:top w:w="85" w:type="dxa"/>
              <w:bottom w:w="85" w:type="dxa"/>
              <w:left w:w="80" w:type="dxa"/>
              <w:right w:w="80" w:type="dxa"/>
            </w:tcMar>
          </w:tcPr>
          <w:p>
            <w:pPr>
              <w:pStyle w:val="af"/>
              <w:keepNext/>
              <w:spacing w:before="0" w:after="0" w:line="300" w:lineRule="atLeast"/>
              <w:ind w:firstLine="0"/>
              <w:jc w:val="left"/>
            </w:pPr>
            <w:r>
              <w:rPr>
                <w:b w:val="0"/>
              </w:rPr>
              <w:t>计算与绘制笔触；无独立语义构思</w:t>
            </w:r>
          </w:p>
        </w:tc>
      </w:tr>
      <w:tr>
        <w:trPr>
          <w:cantSplit/>
        </w:trPr>
        <w:tc>
          <w:tcPr>
            <w:tcW w:type="dxa" w:w="1361"/>
            <w:vAlign w:val="center"/>
            <w:tcMar>
              <w:top w:w="85" w:type="dxa"/>
              <w:bottom w:w="85" w:type="dxa"/>
              <w:left w:w="80" w:type="dxa"/>
              <w:right w:w="80" w:type="dxa"/>
            </w:tcMar>
          </w:tcPr>
          <w:p>
            <w:pPr>
              <w:pStyle w:val="af"/>
              <w:keepNext/>
              <w:spacing w:before="0" w:after="0" w:line="300" w:lineRule="atLeast"/>
              <w:ind w:firstLine="0"/>
              <w:jc w:val="left"/>
            </w:pPr>
            <w:r>
              <w:rPr>
                <w:b w:val="0"/>
              </w:rPr>
              <w:t>交接时机</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加入素材或主动暂停；确认后继续</w:t>
            </w:r>
          </w:p>
        </w:tc>
        <w:tc>
          <w:tcPr>
            <w:tcW w:type="dxa" w:w="4309"/>
            <w:vAlign w:val="center"/>
            <w:tcMar>
              <w:top w:w="85" w:type="dxa"/>
              <w:bottom w:w="85" w:type="dxa"/>
              <w:left w:w="80" w:type="dxa"/>
              <w:right w:w="80" w:type="dxa"/>
            </w:tcMar>
          </w:tcPr>
          <w:p>
            <w:pPr>
              <w:pStyle w:val="af"/>
              <w:keepNext/>
              <w:spacing w:before="0" w:after="0" w:line="300" w:lineRule="atLeast"/>
              <w:ind w:firstLine="0"/>
              <w:jc w:val="left"/>
            </w:pPr>
            <w:r>
              <w:rPr>
                <w:b w:val="0"/>
              </w:rPr>
              <w:t>按确认目标计算；不自行决定内容主题</w:t>
            </w:r>
          </w:p>
        </w:tc>
      </w:tr>
      <w:tr>
        <w:trPr>
          <w:cantSplit/>
        </w:trPr>
        <w:tc>
          <w:tcPr>
            <w:tcW w:type="dxa" w:w="1361"/>
            <w:vAlign w:val="center"/>
            <w:tcMar>
              <w:top w:w="85" w:type="dxa"/>
              <w:bottom w:w="85" w:type="dxa"/>
              <w:left w:w="80" w:type="dxa"/>
              <w:right w:w="80" w:type="dxa"/>
            </w:tcMar>
          </w:tcPr>
          <w:p>
            <w:pPr>
              <w:pStyle w:val="af"/>
              <w:keepNext/>
              <w:spacing w:before="0" w:after="0" w:line="300" w:lineRule="atLeast"/>
              <w:ind w:firstLine="0"/>
              <w:jc w:val="left"/>
            </w:pPr>
            <w:r>
              <w:rPr>
                <w:b w:val="0"/>
              </w:rPr>
              <w:t>通信与反馈</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通过对象及参数表达操作决定</w:t>
            </w:r>
          </w:p>
        </w:tc>
        <w:tc>
          <w:tcPr>
            <w:tcW w:type="dxa" w:w="4309"/>
            <w:vAlign w:val="center"/>
            <w:tcMar>
              <w:top w:w="85" w:type="dxa"/>
              <w:bottom w:w="85" w:type="dxa"/>
              <w:left w:w="80" w:type="dxa"/>
              <w:right w:w="80" w:type="dxa"/>
            </w:tcMar>
          </w:tcPr>
          <w:p>
            <w:pPr>
              <w:pStyle w:val="af"/>
              <w:keepNext/>
              <w:spacing w:before="0" w:after="0" w:line="300" w:lineRule="atLeast"/>
              <w:ind w:firstLine="0"/>
              <w:jc w:val="left"/>
            </w:pPr>
            <w:r>
              <w:rPr>
                <w:b w:val="0"/>
              </w:rPr>
              <w:t>显示成画、笔刷位置与状态；不能代替用户解释意图</w:t>
            </w:r>
          </w:p>
        </w:tc>
      </w:tr>
      <w:tr>
        <w:trPr>
          <w:cantSplit/>
        </w:trPr>
        <w:tc>
          <w:tcPr>
            <w:tcW w:type="dxa" w:w="1361"/>
            <w:vAlign w:val="center"/>
            <w:tcMar>
              <w:top w:w="85" w:type="dxa"/>
              <w:bottom w:w="85" w:type="dxa"/>
              <w:left w:w="80" w:type="dxa"/>
              <w:right w:w="80" w:type="dxa"/>
            </w:tcMar>
          </w:tcPr>
          <w:p>
            <w:pPr>
              <w:pStyle w:val="af"/>
              <w:keepNext/>
              <w:spacing w:before="0" w:after="0" w:line="300" w:lineRule="atLeast"/>
              <w:ind w:firstLine="0"/>
              <w:jc w:val="left"/>
            </w:pPr>
            <w:r>
              <w:rPr>
                <w:b w:val="0"/>
              </w:rPr>
              <w:t>作品对象</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确认前可调整独立素材</w:t>
            </w:r>
          </w:p>
        </w:tc>
        <w:tc>
          <w:tcPr>
            <w:tcW w:type="dxa" w:w="4309"/>
            <w:vAlign w:val="center"/>
            <w:tcMar>
              <w:top w:w="85" w:type="dxa"/>
              <w:bottom w:w="85" w:type="dxa"/>
              <w:left w:w="80" w:type="dxa"/>
              <w:right w:w="80" w:type="dxa"/>
            </w:tcMar>
          </w:tcPr>
          <w:p>
            <w:pPr>
              <w:pStyle w:val="af"/>
              <w:keepNext/>
              <w:spacing w:before="0" w:after="0" w:line="300" w:lineRule="atLeast"/>
              <w:ind w:firstLine="0"/>
              <w:jc w:val="left"/>
            </w:pPr>
            <w:r>
              <w:rPr>
                <w:b w:val="0"/>
              </w:rPr>
              <w:t>确认后转为目标像素；当前成画仍逐步接近目标</w:t>
            </w:r>
          </w:p>
        </w:tc>
      </w:tr>
    </w:tbl>
    <w:p>
      <w:pPr>
        <w:keepLines/>
        <w:spacing w:line="260" w:lineRule="atLeast" w:before="60" w:after="120"/>
        <w:ind w:firstLine="0"/>
      </w:pPr>
      <w:r>
        <w:rPr>
          <w:sz w:val="19"/>
        </w:rPr>
        <w:t>来源：作者借助COFI</w:t>
      </w:r>
      <w:r>
        <w:rPr>
          <w:sz w:val="18"/>
          <w:vertAlign w:val="superscript"/>
        </w:rPr>
        <w:t>⁠[9]</w:t>
      </w:r>
      <w:r>
        <w:rPr>
          <w:sz w:val="19"/>
        </w:rPr>
        <w:t>及人机交互指南</w:t>
      </w:r>
      <w:r>
        <w:rPr>
          <w:sz w:val="18"/>
          <w:vertAlign w:val="superscript"/>
        </w:rPr>
        <w:t>⁠[15]</w:t>
      </w:r>
      <w:r>
        <w:rPr>
          <w:sz w:val="19"/>
        </w:rPr>
        <w:t>分析现有原型；表内为功能与职责说明。</w:t>
      </w:r>
    </w:p>
    <w:p>
      <w:pPr>
        <w:pStyle w:val="30"/>
        <w:numPr>
          <w:numId w:val="0"/>
        </w:numPr>
      </w:pPr>
      <w:r>
        <w:t>3.4.2 用户主导的协同绘画模型</w:t>
      </w:r>
    </w:p>
    <w:p>
      <w:pPr>
        <w:pStyle w:val="a2"/>
        <w:widowControl/>
        <w:ind w:firstLineChars="200" w:firstLine="480"/>
      </w:pPr>
      <w:r>
        <w:t>协同模型由表达意图、编排对象、确认目标、当前成画和反馈判断构成，见图3.6。意图既包括任务开始时希望表现的内容，也允许在过程中更新；编排对象使部分决定获得可见形式；确认目标将已采用的照片与素材关系交给系统；当前成画则是笔触执行到此刻的结果。用户通过观看比较二者与自身意图的关系，再决定继续、补充或结束。</w:t>
      </w:r>
    </w:p>
    <w:p>
      <w:pPr>
        <w:pStyle w:val="a2"/>
        <w:widowControl/>
        <w:ind w:firstLineChars="200" w:firstLine="480"/>
      </w:pPr>
      <w:r>
        <w:t>预览对象与确认后的像素必须分开。预览时，素材仍有身份、包围框和空间变换；确认后，素材并入目标图像，不再是可单独移动的对象。当前画面也不等同于目标，它可能尚未覆盖新加入的区域。若界面让用户把三者误认成同一种对象，就可能产生“为什么移动不了”或“加入后为什么还未画出”的困惑。这是状态说明问题，不能用更醒目的动画掩盖。</w:t>
      </w:r>
    </w:p>
    <w:p>
      <w:pPr>
        <w:keepNext/>
        <w:spacing w:before="120" w:after="60" w:line="240" w:lineRule="auto"/>
        <w:ind w:firstLine="0"/>
        <w:jc w:val="center"/>
      </w:pPr>
      <w:r>
        <w:drawing>
          <wp:inline xmlns:a="http://schemas.openxmlformats.org/drawingml/2006/main" xmlns:pic="http://schemas.openxmlformats.org/drawingml/2006/picture">
            <wp:extent cx="5580000" cy="2934000"/>
            <wp:docPr id="6" name="Picture 6" descr="用户主导的协同绘画及对象状态模型。来源：作者根据COFI与本研究原型绘制。目标图像表示供算法读取的确认内容，不是系统对表达意图的语义理解。"/>
            <wp:cNvGraphicFramePr>
              <a:graphicFrameLocks noChangeAspect="1"/>
            </wp:cNvGraphicFramePr>
            <a:graphic>
              <a:graphicData uri="http://schemas.openxmlformats.org/drawingml/2006/picture">
                <pic:pic>
                  <pic:nvPicPr>
                    <pic:cNvPr id="0" name="协同状态模型图.png"/>
                    <pic:cNvPicPr/>
                  </pic:nvPicPr>
                  <pic:blipFill>
                    <a:blip r:embed="rId34"/>
                    <a:stretch>
                      <a:fillRect/>
                    </a:stretch>
                  </pic:blipFill>
                  <pic:spPr>
                    <a:xfrm>
                      <a:off x="0" y="0"/>
                      <a:ext cx="5580000" cy="2934000"/>
                    </a:xfrm>
                    <a:prstGeom prst="rect"/>
                  </pic:spPr>
                </pic:pic>
              </a:graphicData>
            </a:graphic>
          </wp:inline>
        </w:drawing>
      </w:r>
    </w:p>
    <w:p>
      <w:pPr>
        <w:pStyle w:val="aa"/>
        <w:keepNext/>
        <w:keepLines/>
        <w:spacing w:before="0" w:after="0" w:line="300" w:lineRule="atLeast"/>
        <w:ind w:firstLine="0"/>
        <w:jc w:val="center"/>
      </w:pPr>
      <w:r>
        <w:t>图3.6  用户主导的协同绘画及对象状态模型</w:t>
      </w:r>
    </w:p>
    <w:p>
      <w:pPr>
        <w:pStyle w:val="ad"/>
        <w:keepNext/>
        <w:keepLines/>
        <w:spacing w:before="0" w:after="0" w:line="300" w:lineRule="atLeast"/>
        <w:ind w:firstLine="0"/>
        <w:jc w:val="center"/>
      </w:pPr>
      <w:r>
        <w:t>Figure 3.6  User-led collaborative painting and object-state model</w:t>
      </w:r>
    </w:p>
    <w:p>
      <w:pPr>
        <w:keepLines/>
        <w:spacing w:line="260" w:lineRule="atLeast" w:before="60" w:after="120"/>
        <w:ind w:firstLine="0"/>
      </w:pPr>
      <w:r>
        <w:rPr>
          <w:sz w:val="19"/>
        </w:rPr>
        <w:t>来源：作者根据COFI</w:t>
      </w:r>
      <w:r>
        <w:rPr>
          <w:sz w:val="18"/>
          <w:vertAlign w:val="superscript"/>
        </w:rPr>
        <w:t>⁠[9]</w:t>
      </w:r>
      <w:r>
        <w:rPr>
          <w:sz w:val="19"/>
        </w:rPr>
        <w:t>与本研究原型绘制。目标图像表示供算法读取的确认内容，不是系统对表达意图的语义理解。</w:t>
      </w:r>
    </w:p>
    <w:p>
      <w:pPr>
        <w:pStyle w:val="a2"/>
        <w:widowControl/>
        <w:ind w:firstLineChars="200" w:firstLine="480"/>
      </w:pPr>
      <w:r>
        <w:t>因此，模型保留用户对表达与采用的主导权，同时承认当前实现的局限：确认内容的独立编辑能力有限，局部续绘仅对给定范围分配计算关注，并不等于对象级语义修改。第四章需说明这些边界如何在页面中呈现。若用户必须反复重制才能纠正确认错误，这也应进入操作困难记录，不能仅因理论模型完整而视为问题已经解决。</w:t>
      </w:r>
    </w:p>
    <w:p>
      <w:pPr>
        <w:pStyle w:val="20"/>
        <w:numPr>
          <w:numId w:val="0"/>
        </w:numPr>
      </w:pPr>
      <w:r>
        <w:t>3.5 视觉组织与界面规范的依据</w:t>
      </w:r>
    </w:p>
    <w:p>
      <w:pPr>
        <w:pStyle w:val="30"/>
        <w:numPr>
          <w:numId w:val="0"/>
        </w:numPr>
      </w:pPr>
      <w:r>
        <w:t>3.5.1 知觉分组与画布层级</w:t>
      </w:r>
    </w:p>
    <w:p>
      <w:pPr>
        <w:pStyle w:val="a2"/>
        <w:widowControl/>
        <w:ind w:firstLineChars="200" w:firstLine="480"/>
      </w:pPr>
      <w:r>
        <w:t>Wagemans等对知觉分组与图底组织的综述指出，接近、相似、共同区域等线索参与视觉组织，图形与背景的关系也影响对象辨认</w:t>
      </w:r>
      <w:r>
        <w:rPr>
          <w:sz w:val="18"/>
          <w:vertAlign w:val="superscript"/>
        </w:rPr>
        <w:t>⁠[16]</w:t>
      </w:r>
      <w:r>
        <w:t>。迁移到创作界面，相关工具可通过位置与共同区域形成组，面板与作品可借助层级和边界区分，见图3.7。其目的在于使操作区域可辨认，并避免预览控制框被误作作品内容。</w:t>
      </w:r>
    </w:p>
    <w:p>
      <w:pPr>
        <w:pStyle w:val="a2"/>
        <w:widowControl/>
        <w:ind w:firstLineChars="200" w:firstLine="480"/>
      </w:pPr>
      <w:r>
        <w:t>这些研究不能推导高饱和紫色、某种圆角或深色背景必然最优。灰阶底色、紫色强调、图标线宽与毛玻璃面板属于本项目视觉选择，应接受对比度、状态辨识和画面遮挡的检验。尤其在明亮或细节丰富的作品上，半透明面板仍须保持可读，而不能只在空白背景中评价。</w:t>
      </w:r>
    </w:p>
    <w:p>
      <w:pPr>
        <w:keepNext/>
        <w:spacing w:before="120" w:after="60" w:line="240" w:lineRule="auto"/>
        <w:ind w:firstLine="0"/>
        <w:jc w:val="center"/>
      </w:pPr>
      <w:r>
        <w:drawing>
          <wp:inline xmlns:a="http://schemas.openxmlformats.org/drawingml/2006/main" xmlns:pic="http://schemas.openxmlformats.org/drawingml/2006/picture">
            <wp:extent cx="5580000" cy="2538000"/>
            <wp:docPr id="7" name="Picture 7" descr="界面工具分组与作品区域的视觉分离。来源：作者依据知觉分组与图底组织研究绘制；示意仅说明组织关系，不代表特定布局已获可用性验证。"/>
            <wp:cNvGraphicFramePr>
              <a:graphicFrameLocks noChangeAspect="1"/>
            </wp:cNvGraphicFramePr>
            <a:graphic>
              <a:graphicData uri="http://schemas.openxmlformats.org/drawingml/2006/picture">
                <pic:pic>
                  <pic:nvPicPr>
                    <pic:cNvPr id="0" name="知觉分组界面图.png"/>
                    <pic:cNvPicPr/>
                  </pic:nvPicPr>
                  <pic:blipFill>
                    <a:blip r:embed="rId35"/>
                    <a:stretch>
                      <a:fillRect/>
                    </a:stretch>
                  </pic:blipFill>
                  <pic:spPr>
                    <a:xfrm>
                      <a:off x="0" y="0"/>
                      <a:ext cx="5580000" cy="2538000"/>
                    </a:xfrm>
                    <a:prstGeom prst="rect"/>
                  </pic:spPr>
                </pic:pic>
              </a:graphicData>
            </a:graphic>
          </wp:inline>
        </w:drawing>
      </w:r>
    </w:p>
    <w:p>
      <w:pPr>
        <w:pStyle w:val="aa"/>
        <w:keepNext/>
        <w:keepLines/>
        <w:spacing w:before="0" w:after="0" w:line="300" w:lineRule="atLeast"/>
        <w:ind w:firstLine="0"/>
        <w:jc w:val="center"/>
      </w:pPr>
      <w:r>
        <w:t>图3.7  界面工具分组与作品区域的视觉分离</w:t>
      </w:r>
    </w:p>
    <w:p>
      <w:pPr>
        <w:pStyle w:val="ad"/>
        <w:keepNext/>
        <w:keepLines/>
        <w:spacing w:before="0" w:after="0" w:line="300" w:lineRule="atLeast"/>
        <w:ind w:firstLine="0"/>
        <w:jc w:val="center"/>
      </w:pPr>
      <w:r>
        <w:t>Figure 3.7  Visual separation of tool groups and the artwork</w:t>
      </w:r>
    </w:p>
    <w:p>
      <w:pPr>
        <w:keepLines/>
        <w:spacing w:line="260" w:lineRule="atLeast" w:before="60" w:after="120"/>
        <w:ind w:firstLine="0"/>
      </w:pPr>
      <w:r>
        <w:rPr>
          <w:sz w:val="19"/>
        </w:rPr>
        <w:t>来源：作者依据知觉分组与图底组织研究</w:t>
      </w:r>
      <w:r>
        <w:rPr>
          <w:sz w:val="18"/>
          <w:vertAlign w:val="superscript"/>
        </w:rPr>
        <w:t>⁠[16]</w:t>
      </w:r>
      <w:r>
        <w:rPr>
          <w:sz w:val="19"/>
        </w:rPr>
        <w:t>绘制；示意仅说明组织关系，不代表特定布局已获可用性验证。</w:t>
      </w:r>
    </w:p>
    <w:p>
      <w:pPr>
        <w:pStyle w:val="30"/>
        <w:numPr>
          <w:numId w:val="0"/>
        </w:numPr>
      </w:pPr>
      <w:r>
        <w:t>3.5.2 一致性与可访问性的规范依据</w:t>
      </w:r>
    </w:p>
    <w:p>
      <w:pPr>
        <w:pStyle w:val="a2"/>
        <w:widowControl/>
        <w:ind w:firstLineChars="200" w:firstLine="480"/>
      </w:pPr>
      <w:r>
        <w:t>《Web内容可访问性指南》（Web Content Accessibility Guidelines，WCAG）2.2提供可测试的网页约束</w:t>
      </w:r>
      <w:r>
        <w:rPr>
          <w:sz w:val="18"/>
          <w:vertAlign w:val="superscript"/>
        </w:rPr>
        <w:t>⁠[17]</w:t>
      </w:r>
      <w:r>
        <w:t>：普通文本最低对比度通常为4.5∶1，大号文本为3∶1；必要的非文本界面信息需满足相应对比要求，状态不能只依赖颜色。第2.5.8条规定目标尺寸最低要求及例外，第2.5.7条要求在适用条件下为拖拽提供非拖拽方式。它们约束操作能否被感知和使用，不决定品牌风格。</w:t>
      </w:r>
    </w:p>
    <w:p>
      <w:pPr>
        <w:pStyle w:val="a2"/>
        <w:widowControl/>
        <w:ind w:firstLineChars="200" w:firstLine="480"/>
      </w:pPr>
      <w:r>
        <w:t>Apple人机界面指南中的可访问性建议可作为触控、可读性及减少动态效果的实践参照</w:t>
      </w:r>
      <w:r>
        <w:rPr>
          <w:sz w:val="18"/>
          <w:vertAlign w:val="superscript"/>
        </w:rPr>
        <w:t>⁠[18]</w:t>
      </w:r>
      <w:r>
        <w:t>，但原生平台建议不能直接替代网页标准。字体层级、按钮状态、间距与图标应建立统一规则，再按视口调整。表3.3将规范与本研究的检查对象对应；是否满足全部条款需逐项审计，不能由本节引用标准便宣称原型整体合规。</w:t>
      </w:r>
    </w:p>
    <w:p>
      <w:pPr>
        <w:pStyle w:val="aa"/>
        <w:keepNext/>
        <w:keepLines/>
        <w:spacing w:before="0" w:after="0" w:line="300" w:lineRule="atLeast"/>
        <w:ind w:firstLine="0"/>
        <w:jc w:val="center"/>
      </w:pPr>
      <w:r>
        <w:t>表3.3  视觉与操作规范的适用约束</w:t>
      </w:r>
    </w:p>
    <w:p>
      <w:pPr>
        <w:pStyle w:val="ad"/>
        <w:keepNext/>
        <w:keepLines/>
        <w:spacing w:before="0" w:after="0" w:line="300" w:lineRule="atLeast"/>
        <w:ind w:firstLine="0"/>
        <w:jc w:val="center"/>
      </w:pPr>
      <w:r>
        <w:t>Table 3.3  Applicable constraints for visual and interaction specifications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2324"/>
        <w:gridCol w:w="3345"/>
        <w:gridCol w:w="3118"/>
      </w:tblGrid>
      <w:tr>
        <w:trPr>
          <w:cantSplit/>
          <w:tblHeader/>
        </w:trPr>
        <w:tc>
          <w:tcPr>
            <w:tcW w:type="dxa" w:w="232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规范及位置</w:t>
            </w:r>
          </w:p>
        </w:tc>
        <w:tc>
          <w:tcPr>
            <w:tcW w:type="dxa" w:w="334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约束要点</w:t>
            </w:r>
          </w:p>
        </w:tc>
        <w:tc>
          <w:tcPr>
            <w:tcW w:type="dxa" w:w="311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本研究的检查对象</w:t>
            </w:r>
          </w:p>
        </w:tc>
      </w:tr>
      <w:tr>
        <w:trPr>
          <w:cantSplit/>
        </w:trPr>
        <w:tc>
          <w:tcPr>
            <w:tcW w:type="dxa" w:w="2324"/>
            <w:vAlign w:val="center"/>
            <w:tcMar>
              <w:top w:w="85" w:type="dxa"/>
              <w:bottom w:w="85" w:type="dxa"/>
              <w:left w:w="80" w:type="dxa"/>
              <w:right w:w="80" w:type="dxa"/>
            </w:tcMar>
          </w:tcPr>
          <w:p>
            <w:pPr>
              <w:pStyle w:val="af"/>
              <w:keepNext w:val="0"/>
              <w:spacing w:before="0" w:after="0" w:line="300" w:lineRule="atLeast"/>
              <w:ind w:firstLine="0"/>
              <w:jc w:val="left"/>
            </w:pPr>
            <w:r>
              <w:rPr>
                <w:b w:val="0"/>
              </w:rPr>
              <w:t>WCAG 1.4.3、1.4.11</w:t>
            </w:r>
          </w:p>
        </w:tc>
        <w:tc>
          <w:tcPr>
            <w:tcW w:type="dxa" w:w="3345"/>
            <w:vAlign w:val="center"/>
            <w:tcMar>
              <w:top w:w="85" w:type="dxa"/>
              <w:bottom w:w="85" w:type="dxa"/>
              <w:left w:w="80" w:type="dxa"/>
              <w:right w:w="80" w:type="dxa"/>
            </w:tcMar>
          </w:tcPr>
          <w:p>
            <w:pPr>
              <w:pStyle w:val="af"/>
              <w:keepNext w:val="0"/>
              <w:spacing w:before="0" w:after="0" w:line="300" w:lineRule="atLeast"/>
              <w:ind w:firstLine="0"/>
              <w:jc w:val="left"/>
            </w:pPr>
            <w:r>
              <w:rPr>
                <w:b w:val="0"/>
              </w:rPr>
              <w:t>普通／大号文本通常≥4.5∶1／3∶1；必要非文本信息≥3∶1，分别有适用范围</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提示文字、图标、选中框与面板背景</w:t>
            </w:r>
          </w:p>
        </w:tc>
      </w:tr>
      <w:tr>
        <w:trPr>
          <w:cantSplit/>
        </w:trPr>
        <w:tc>
          <w:tcPr>
            <w:tcW w:type="dxa" w:w="2324"/>
            <w:vAlign w:val="center"/>
            <w:tcMar>
              <w:top w:w="85" w:type="dxa"/>
              <w:bottom w:w="85" w:type="dxa"/>
              <w:left w:w="80" w:type="dxa"/>
              <w:right w:w="80" w:type="dxa"/>
            </w:tcMar>
          </w:tcPr>
          <w:p>
            <w:pPr>
              <w:pStyle w:val="af"/>
              <w:keepNext w:val="0"/>
              <w:spacing w:before="0" w:after="0" w:line="300" w:lineRule="atLeast"/>
              <w:ind w:firstLine="0"/>
              <w:jc w:val="left"/>
            </w:pPr>
            <w:r>
              <w:rPr>
                <w:b w:val="0"/>
              </w:rPr>
              <w:t>WCAG 1.4.1、2.1.1</w:t>
            </w:r>
          </w:p>
        </w:tc>
        <w:tc>
          <w:tcPr>
            <w:tcW w:type="dxa" w:w="3345"/>
            <w:vAlign w:val="center"/>
            <w:tcMar>
              <w:top w:w="85" w:type="dxa"/>
              <w:bottom w:w="85" w:type="dxa"/>
              <w:left w:w="80" w:type="dxa"/>
              <w:right w:w="80" w:type="dxa"/>
            </w:tcMar>
          </w:tcPr>
          <w:p>
            <w:pPr>
              <w:pStyle w:val="af"/>
              <w:keepNext w:val="0"/>
              <w:spacing w:before="0" w:after="0" w:line="300" w:lineRule="atLeast"/>
              <w:ind w:firstLine="0"/>
              <w:jc w:val="left"/>
            </w:pPr>
            <w:r>
              <w:rPr>
                <w:b w:val="0"/>
              </w:rPr>
              <w:t>状态不只靠颜色；功能需满足键盘操作要求及例外</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选中／禁用状态、焦点及工具调用</w:t>
            </w:r>
          </w:p>
        </w:tc>
      </w:tr>
      <w:tr>
        <w:trPr>
          <w:cantSplit/>
        </w:trPr>
        <w:tc>
          <w:tcPr>
            <w:tcW w:type="dxa" w:w="2324"/>
            <w:vAlign w:val="center"/>
            <w:tcMar>
              <w:top w:w="85" w:type="dxa"/>
              <w:bottom w:w="85" w:type="dxa"/>
              <w:left w:w="80" w:type="dxa"/>
              <w:right w:w="80" w:type="dxa"/>
            </w:tcMar>
          </w:tcPr>
          <w:p>
            <w:pPr>
              <w:pStyle w:val="af"/>
              <w:keepNext w:val="0"/>
              <w:spacing w:before="0" w:after="0" w:line="300" w:lineRule="atLeast"/>
              <w:ind w:firstLine="0"/>
              <w:jc w:val="left"/>
            </w:pPr>
            <w:r>
              <w:rPr>
                <w:b w:val="0"/>
              </w:rPr>
              <w:t>WCAG 2.5.8、2.5.7</w:t>
            </w:r>
          </w:p>
        </w:tc>
        <w:tc>
          <w:tcPr>
            <w:tcW w:type="dxa" w:w="3345"/>
            <w:vAlign w:val="center"/>
            <w:tcMar>
              <w:top w:w="85" w:type="dxa"/>
              <w:bottom w:w="85" w:type="dxa"/>
              <w:left w:w="80" w:type="dxa"/>
              <w:right w:w="80" w:type="dxa"/>
            </w:tcMar>
          </w:tcPr>
          <w:p>
            <w:pPr>
              <w:pStyle w:val="af"/>
              <w:keepNext w:val="0"/>
              <w:spacing w:before="0" w:after="0" w:line="300" w:lineRule="atLeast"/>
              <w:ind w:firstLine="0"/>
              <w:jc w:val="left"/>
            </w:pPr>
            <w:r>
              <w:rPr>
                <w:b w:val="0"/>
              </w:rPr>
              <w:t>最低目标尺寸24×24 CSS像素或满足条款例外；适用时提供非拖拽途径</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小屏按钮、素材节点、变换操作</w:t>
            </w:r>
          </w:p>
        </w:tc>
      </w:tr>
      <w:tr>
        <w:trPr>
          <w:cantSplit/>
        </w:trPr>
        <w:tc>
          <w:tcPr>
            <w:tcW w:type="dxa" w:w="2324"/>
            <w:vAlign w:val="center"/>
            <w:tcMar>
              <w:top w:w="85" w:type="dxa"/>
              <w:bottom w:w="85" w:type="dxa"/>
              <w:left w:w="80" w:type="dxa"/>
              <w:right w:w="80" w:type="dxa"/>
            </w:tcMar>
          </w:tcPr>
          <w:p>
            <w:pPr>
              <w:pStyle w:val="af"/>
              <w:keepNext w:val="0"/>
              <w:spacing w:before="0" w:after="0" w:line="300" w:lineRule="atLeast"/>
              <w:ind w:firstLine="0"/>
              <w:jc w:val="left"/>
            </w:pPr>
            <w:r>
              <w:rPr>
                <w:b w:val="0"/>
              </w:rPr>
              <w:t>WCAG 1.4.10；Apple指南</w:t>
            </w:r>
          </w:p>
        </w:tc>
        <w:tc>
          <w:tcPr>
            <w:tcW w:type="dxa" w:w="3345"/>
            <w:vAlign w:val="center"/>
            <w:tcMar>
              <w:top w:w="85" w:type="dxa"/>
              <w:bottom w:w="85" w:type="dxa"/>
              <w:left w:w="80" w:type="dxa"/>
              <w:right w:w="80" w:type="dxa"/>
            </w:tcMar>
          </w:tcPr>
          <w:p>
            <w:pPr>
              <w:pStyle w:val="af"/>
              <w:keepNext w:val="0"/>
              <w:spacing w:before="0" w:after="0" w:line="300" w:lineRule="atLeast"/>
              <w:ind w:firstLine="0"/>
              <w:jc w:val="left"/>
            </w:pPr>
            <w:r>
              <w:rPr>
                <w:b w:val="0"/>
              </w:rPr>
              <w:t>重排需区分必要二维内容；考虑可读性与减少动态效果</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画布周边工具、弹层文字、非必要转场</w:t>
            </w:r>
          </w:p>
        </w:tc>
      </w:tr>
    </w:tbl>
    <w:p>
      <w:pPr>
        <w:keepLines/>
        <w:spacing w:line="260" w:lineRule="atLeast" w:before="60" w:after="120"/>
        <w:ind w:firstLine="0"/>
      </w:pPr>
      <w:r>
        <w:rPr>
          <w:sz w:val="19"/>
        </w:rPr>
        <w:t>来源：作者根据WCAG 2.2</w:t>
      </w:r>
      <w:r>
        <w:rPr>
          <w:sz w:val="18"/>
          <w:vertAlign w:val="superscript"/>
        </w:rPr>
        <w:t>⁠[17]</w:t>
      </w:r>
      <w:r>
        <w:rPr>
          <w:sz w:val="19"/>
        </w:rPr>
        <w:t>及Apple官方指南</w:t>
      </w:r>
      <w:r>
        <w:rPr>
          <w:sz w:val="18"/>
          <w:vertAlign w:val="superscript"/>
        </w:rPr>
        <w:t>⁠[18]</w:t>
      </w:r>
      <w:r>
        <w:rPr>
          <w:sz w:val="19"/>
        </w:rPr>
        <w:t>整理。规范值不等同于本原型已经通过的检测结果。</w:t>
      </w:r>
    </w:p>
    <w:p>
      <w:pPr>
        <w:pStyle w:val="30"/>
        <w:numPr>
          <w:numId w:val="0"/>
        </w:numPr>
      </w:pPr>
      <w:r>
        <w:t>3.5.3 绘画产品案例的迁移条件</w:t>
      </w:r>
    </w:p>
    <w:p>
      <w:pPr>
        <w:pStyle w:val="a2"/>
        <w:widowControl/>
        <w:ind w:firstLineChars="200" w:firstLine="480"/>
      </w:pPr>
      <w:r>
        <w:t>Procreate将主要操作置于画布边缘，并按工具展开相应内容</w:t>
      </w:r>
      <w:r>
        <w:rPr>
          <w:sz w:val="18"/>
          <w:vertAlign w:val="superscript"/>
        </w:rPr>
        <w:t>⁠[19]</w:t>
      </w:r>
      <w:r>
        <w:t>；Feather的官方界面包含顶部工具、左侧面板及底部情境菜单</w:t>
      </w:r>
      <w:r>
        <w:rPr>
          <w:sz w:val="18"/>
          <w:vertAlign w:val="superscript"/>
        </w:rPr>
        <w:t>⁠[20]</w:t>
      </w:r>
      <w:r>
        <w:t>，提示工具位置与当前任务有关。画世界的图片导入、图层和作品回看则提供编辑与整理的实践参照</w:t>
      </w:r>
      <w:r>
        <w:rPr>
          <w:sz w:val="18"/>
          <w:vertAlign w:val="superscript"/>
        </w:rPr>
        <w:t>⁠[21]</w:t>
      </w:r>
      <w:r>
        <w:t>。这些案例说明成熟产品如何组织创作，不足以证明其布局直接适合所有初学者。</w:t>
      </w:r>
    </w:p>
    <w:p>
      <w:pPr>
        <w:pStyle w:val="a2"/>
        <w:widowControl/>
        <w:ind w:firstLineChars="200" w:firstLine="480"/>
      </w:pPr>
      <w:r>
        <w:t>本研究借鉴画布优先、对象变换与按需面板，迁移时需考虑二维网页、鼠标与触控的差异。移动端面板可能遮挡更多作品，隐藏工具也可能增加查找。因而保留清楚入口、控制遮挡和说明状态比复制某款产品的外观更重要，三维导航等与本任务无关的操作不进入方案。</w:t>
      </w:r>
    </w:p>
    <w:p>
      <w:pPr>
        <w:pStyle w:val="20"/>
        <w:numPr>
          <w:numId w:val="0"/>
        </w:numPr>
      </w:pPr>
      <w:r>
        <w:t>3.6 设计原则与表达要素映射</w:t>
      </w:r>
    </w:p>
    <w:p>
      <w:pPr>
        <w:pStyle w:val="30"/>
        <w:numPr>
          <w:numId w:val="0"/>
        </w:numPr>
      </w:pPr>
      <w:r>
        <w:t>3.6.1 面向表达支持的六项交互原则</w:t>
      </w:r>
    </w:p>
    <w:p>
      <w:pPr>
        <w:pStyle w:val="a2"/>
        <w:widowControl/>
        <w:ind w:firstLineChars="200" w:firstLine="480"/>
      </w:pPr>
      <w:r>
        <w:t>以下原则由第二章需求、上述理论及当前实现条件共同推导，用于指导并审视第四章设计。P1—P6是本研究的设计主张，不是已经验证的通用定律。统一对应见表3.4。</w:t>
      </w:r>
    </w:p>
    <w:p>
      <w:pPr>
        <w:pStyle w:val="a2"/>
        <w:widowControl/>
        <w:ind w:firstLineChars="200" w:firstLine="480"/>
      </w:pPr>
      <w:r>
        <w:t>P1表达决定可操作。把用户重视的对象及关系转为可选择、可比较的操作，允许在确认前移动、缩放、旋转和重复素材。P03的组合需求与P06的位置判断提供需求依据，外部表征研究解释其潜在价值</w:t>
      </w:r>
      <w:r>
        <w:rPr>
          <w:sz w:val="18"/>
          <w:vertAlign w:val="superscript"/>
        </w:rPr>
        <w:t>⁠[1,2]</w:t>
      </w:r>
      <w:r>
        <w:t>。素材缺失和变换困难均可能使这一原则失效。</w:t>
      </w:r>
    </w:p>
    <w:p>
      <w:pPr>
        <w:pStyle w:val="a2"/>
        <w:widowControl/>
        <w:ind w:firstLineChars="200" w:firstLine="480"/>
      </w:pPr>
      <w:r>
        <w:t>P2执行支持可理解。明确用户提供内容及关系、系统承担笔触执行，说明算法近似与功能限制。它回应第二章对造型和运笔困难的关注，也依据能力说明指南</w:t>
      </w:r>
      <w:r>
        <w:rPr>
          <w:sz w:val="18"/>
          <w:vertAlign w:val="superscript"/>
        </w:rPr>
        <w:t>⁠[15]</w:t>
      </w:r>
      <w:r>
        <w:t>约束系统表述。不能用“AI”名称暗示具备未实现的理解或构思能力。</w:t>
      </w:r>
    </w:p>
    <w:p>
      <w:pPr>
        <w:pStyle w:val="a2"/>
        <w:widowControl/>
        <w:ind w:firstLineChars="200" w:firstLine="480"/>
      </w:pPr>
      <w:r>
        <w:t>P3过程反馈可辨认。让用户辨认正在形成的区域、当前进度状态及预览与成画的区别，使其有条件判断是否符合表达目标。其依据是观看与设计判断的相互作用</w:t>
      </w:r>
      <w:r>
        <w:rPr>
          <w:sz w:val="18"/>
          <w:vertAlign w:val="superscript"/>
        </w:rPr>
        <w:t>⁠[4,5]</w:t>
      </w:r>
      <w:r>
        <w:t>，同时回应P03选区遗漏等状态辨识问题。反馈需指向变化本身，装饰性动效不能替代状态信息。</w:t>
      </w:r>
    </w:p>
    <w:p>
      <w:pPr>
        <w:pStyle w:val="a2"/>
        <w:widowControl/>
        <w:ind w:firstLineChars="200" w:firstLine="480"/>
      </w:pPr>
      <w:r>
        <w:t>P4创作介入可持续。在初始布局之后仍保留暂停、补充和继续的入口，允许意图保持、发展或结束。设计中的反思与动画可理解性研究提供依据</w:t>
      </w:r>
      <w:r>
        <w:rPr>
          <w:sz w:val="18"/>
          <w:vertAlign w:val="superscript"/>
        </w:rPr>
        <w:t>⁠[5,11]</w:t>
      </w:r>
      <w:r>
        <w:t>，第二章不同的简化与取舍说明后续操作并不总是修错。介入机会需要保留，但不以更多操作证明参与更深。</w:t>
      </w:r>
    </w:p>
    <w:p>
      <w:pPr>
        <w:pStyle w:val="a2"/>
        <w:widowControl/>
        <w:ind w:firstLineChars="200" w:firstLine="480"/>
      </w:pPr>
      <w:r>
        <w:t>P5操作后果可预期。使选择对象、确认范围及不可继续独立编辑的边界清楚对应。第二章选区和图层困难提示后果误判可能破坏原意，交互指南也要求传达行动影响</w:t>
      </w:r>
      <w:r>
        <w:rPr>
          <w:sz w:val="18"/>
          <w:vertAlign w:val="superscript"/>
        </w:rPr>
        <w:t>⁠[15]</w:t>
      </w:r>
      <w:r>
        <w:t>。当前确认会合并内容，因而应说明这一限制，不能使用控制框让用户误以为确认后仍可自由调整。</w:t>
      </w:r>
    </w:p>
    <w:p>
      <w:pPr>
        <w:pStyle w:val="a2"/>
        <w:widowControl/>
        <w:ind w:firstLineChars="200" w:firstLine="480"/>
      </w:pPr>
      <w:r>
        <w:t>P6工具视觉适度退让。以画面为主要观察对象，将相关工具分组，面板按需出现，并保持文字、触控和状态可辨。该原则依据知觉组织及可访问性规范</w:t>
      </w:r>
      <w:r>
        <w:rPr>
          <w:sz w:val="18"/>
          <w:vertAlign w:val="superscript"/>
        </w:rPr>
        <w:t>⁠[16,17,18]</w:t>
      </w:r>
      <w:r>
        <w:t>，回应第二章选色比较和工具查找的负担。退让并非把所有信息隐藏；使用者仍须找到下一步。</w:t>
      </w:r>
    </w:p>
    <w:p>
      <w:pPr>
        <w:pStyle w:val="aa"/>
        <w:keepNext/>
        <w:keepLines/>
        <w:spacing w:before="0" w:after="0" w:line="300" w:lineRule="atLeast"/>
        <w:ind w:firstLine="0"/>
        <w:jc w:val="center"/>
      </w:pPr>
      <w:r>
        <w:t>表3.4  需求理论与交互原则的统一对应</w:t>
      </w:r>
    </w:p>
    <w:p>
      <w:pPr>
        <w:pStyle w:val="ad"/>
        <w:keepNext/>
        <w:keepLines/>
        <w:spacing w:before="0" w:after="0" w:line="300" w:lineRule="atLeast"/>
        <w:ind w:firstLine="0"/>
        <w:jc w:val="center"/>
      </w:pPr>
      <w:r>
        <w:t>Table 3.4  Unified mapping of needs theories and interaction principles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474"/>
        <w:gridCol w:w="1984"/>
        <w:gridCol w:w="2268"/>
        <w:gridCol w:w="3061"/>
      </w:tblGrid>
      <w:tr>
        <w:trPr>
          <w:cantSplit/>
          <w:tblHeader/>
        </w:trPr>
        <w:tc>
          <w:tcPr>
            <w:tcW w:type="dxa" w:w="147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原则</w:t>
            </w:r>
          </w:p>
        </w:tc>
        <w:tc>
          <w:tcPr>
            <w:tcW w:type="dxa" w:w="198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第二章线索</w:t>
            </w:r>
          </w:p>
        </w:tc>
        <w:tc>
          <w:tcPr>
            <w:tcW w:type="dxa" w:w="226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解释依据</w:t>
            </w:r>
          </w:p>
        </w:tc>
        <w:tc>
          <w:tcPr>
            <w:tcW w:type="dxa" w:w="306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设计落点与检查</w:t>
            </w:r>
          </w:p>
        </w:tc>
      </w:tr>
      <w:tr>
        <w:trPr>
          <w:cantSplit/>
        </w:trPr>
        <w:tc>
          <w:tcPr>
            <w:tcW w:type="dxa" w:w="1474"/>
            <w:vAlign w:val="center"/>
            <w:tcMar>
              <w:top w:w="85" w:type="dxa"/>
              <w:bottom w:w="85" w:type="dxa"/>
              <w:left w:w="80" w:type="dxa"/>
              <w:right w:w="80" w:type="dxa"/>
            </w:tcMar>
          </w:tcPr>
          <w:p>
            <w:pPr>
              <w:pStyle w:val="af"/>
              <w:keepNext w:val="0"/>
              <w:spacing w:before="0" w:after="0" w:line="300" w:lineRule="atLeast"/>
              <w:ind w:firstLine="0"/>
              <w:jc w:val="left"/>
            </w:pPr>
            <w:r>
              <w:rPr>
                <w:b w:val="0"/>
              </w:rPr>
              <w:t>P1 可操作</w:t>
            </w:r>
          </w:p>
        </w:tc>
        <w:tc>
          <w:tcPr>
            <w:tcW w:type="dxa" w:w="1984"/>
            <w:vAlign w:val="center"/>
            <w:tcMar>
              <w:top w:w="85" w:type="dxa"/>
              <w:bottom w:w="85" w:type="dxa"/>
              <w:left w:w="80" w:type="dxa"/>
              <w:right w:w="80" w:type="dxa"/>
            </w:tcMar>
          </w:tcPr>
          <w:p>
            <w:pPr>
              <w:pStyle w:val="af"/>
              <w:keepNext w:val="0"/>
              <w:spacing w:before="0" w:after="0" w:line="300" w:lineRule="atLeast"/>
              <w:ind w:firstLine="0"/>
              <w:jc w:val="left"/>
            </w:pPr>
            <w:r>
              <w:rPr>
                <w:b w:val="0"/>
              </w:rPr>
              <w:t>P03组合；P06位置</w:t>
            </w:r>
          </w:p>
        </w:tc>
        <w:tc>
          <w:tcPr>
            <w:tcW w:type="dxa" w:w="2268"/>
            <w:vAlign w:val="center"/>
            <w:tcMar>
              <w:top w:w="85" w:type="dxa"/>
              <w:bottom w:w="85" w:type="dxa"/>
              <w:left w:w="80" w:type="dxa"/>
              <w:right w:w="80" w:type="dxa"/>
            </w:tcMar>
          </w:tcPr>
          <w:p>
            <w:pPr>
              <w:pStyle w:val="af"/>
              <w:keepNext w:val="0"/>
              <w:spacing w:before="0" w:after="0" w:line="300" w:lineRule="atLeast"/>
              <w:ind w:firstLine="0"/>
              <w:jc w:val="left"/>
            </w:pPr>
            <w:r>
              <w:rPr>
                <w:b w:val="0"/>
              </w:rPr>
              <w:t>外部表征</w:t>
            </w:r>
            <w:r>
              <w:rPr>
                <w:b w:val="0"/>
                <w:sz w:val="18"/>
                <w:vertAlign w:val="superscript"/>
              </w:rPr>
              <w:t>⁠[1,2]</w:t>
            </w:r>
            <w:r>
              <w:rPr>
                <w:b w:val="0"/>
              </w:rPr>
            </w:r>
          </w:p>
        </w:tc>
        <w:tc>
          <w:tcPr>
            <w:tcW w:type="dxa" w:w="3061"/>
            <w:vAlign w:val="center"/>
            <w:tcMar>
              <w:top w:w="85" w:type="dxa"/>
              <w:bottom w:w="85" w:type="dxa"/>
              <w:left w:w="80" w:type="dxa"/>
              <w:right w:w="80" w:type="dxa"/>
            </w:tcMar>
          </w:tcPr>
          <w:p>
            <w:pPr>
              <w:pStyle w:val="af"/>
              <w:keepNext w:val="0"/>
              <w:spacing w:before="0" w:after="0" w:line="300" w:lineRule="atLeast"/>
              <w:ind w:firstLine="0"/>
              <w:jc w:val="left"/>
            </w:pPr>
            <w:r>
              <w:rPr>
                <w:b w:val="0"/>
              </w:rPr>
              <w:t>选材与空间变换；关系能否落实</w:t>
            </w:r>
          </w:p>
        </w:tc>
      </w:tr>
      <w:tr>
        <w:trPr>
          <w:cantSplit/>
        </w:trPr>
        <w:tc>
          <w:tcPr>
            <w:tcW w:type="dxa" w:w="1474"/>
            <w:vAlign w:val="center"/>
            <w:tcMar>
              <w:top w:w="85" w:type="dxa"/>
              <w:bottom w:w="85" w:type="dxa"/>
              <w:left w:w="80" w:type="dxa"/>
              <w:right w:w="80" w:type="dxa"/>
            </w:tcMar>
          </w:tcPr>
          <w:p>
            <w:pPr>
              <w:pStyle w:val="af"/>
              <w:keepNext w:val="0"/>
              <w:spacing w:before="0" w:after="0" w:line="300" w:lineRule="atLeast"/>
              <w:ind w:firstLine="0"/>
              <w:jc w:val="left"/>
            </w:pPr>
            <w:r>
              <w:rPr>
                <w:b w:val="0"/>
              </w:rPr>
              <w:t>P2 可理解</w:t>
            </w:r>
          </w:p>
        </w:tc>
        <w:tc>
          <w:tcPr>
            <w:tcW w:type="dxa" w:w="1984"/>
            <w:vAlign w:val="center"/>
            <w:tcMar>
              <w:top w:w="85" w:type="dxa"/>
              <w:bottom w:w="85" w:type="dxa"/>
              <w:left w:w="80" w:type="dxa"/>
              <w:right w:w="80" w:type="dxa"/>
            </w:tcMar>
          </w:tcPr>
          <w:p>
            <w:pPr>
              <w:pStyle w:val="af"/>
              <w:keepNext w:val="0"/>
              <w:spacing w:before="0" w:after="0" w:line="300" w:lineRule="atLeast"/>
              <w:ind w:firstLine="0"/>
              <w:jc w:val="left"/>
            </w:pPr>
            <w:r>
              <w:rPr>
                <w:b w:val="0"/>
              </w:rPr>
              <w:t>P01、P02执行受阻</w:t>
            </w:r>
          </w:p>
        </w:tc>
        <w:tc>
          <w:tcPr>
            <w:tcW w:type="dxa" w:w="2268"/>
            <w:vAlign w:val="center"/>
            <w:tcMar>
              <w:top w:w="85" w:type="dxa"/>
              <w:bottom w:w="85" w:type="dxa"/>
              <w:left w:w="80" w:type="dxa"/>
              <w:right w:w="80" w:type="dxa"/>
            </w:tcMar>
          </w:tcPr>
          <w:p>
            <w:pPr>
              <w:pStyle w:val="af"/>
              <w:keepNext w:val="0"/>
              <w:spacing w:before="0" w:after="0" w:line="300" w:lineRule="atLeast"/>
              <w:ind w:firstLine="0"/>
              <w:jc w:val="left"/>
            </w:pPr>
            <w:r>
              <w:rPr>
                <w:b w:val="0"/>
              </w:rPr>
              <w:t>分工及能力说明</w:t>
            </w:r>
            <w:r>
              <w:rPr>
                <w:b w:val="0"/>
                <w:sz w:val="18"/>
                <w:vertAlign w:val="superscript"/>
              </w:rPr>
              <w:t>⁠[9,15]</w:t>
            </w:r>
            <w:r>
              <w:rPr>
                <w:b w:val="0"/>
              </w:rPr>
            </w:r>
          </w:p>
        </w:tc>
        <w:tc>
          <w:tcPr>
            <w:tcW w:type="dxa" w:w="3061"/>
            <w:vAlign w:val="center"/>
            <w:tcMar>
              <w:top w:w="85" w:type="dxa"/>
              <w:bottom w:w="85" w:type="dxa"/>
              <w:left w:w="80" w:type="dxa"/>
              <w:right w:w="80" w:type="dxa"/>
            </w:tcMar>
          </w:tcPr>
          <w:p>
            <w:pPr>
              <w:pStyle w:val="af"/>
              <w:keepNext w:val="0"/>
              <w:spacing w:before="0" w:after="0" w:line="300" w:lineRule="atLeast"/>
              <w:ind w:firstLine="0"/>
              <w:jc w:val="left"/>
            </w:pPr>
            <w:r>
              <w:rPr>
                <w:b w:val="0"/>
              </w:rPr>
              <w:t>职责说明；用户能否解释系统能力</w:t>
            </w:r>
          </w:p>
        </w:tc>
      </w:tr>
      <w:tr>
        <w:trPr>
          <w:cantSplit/>
        </w:trPr>
        <w:tc>
          <w:tcPr>
            <w:tcW w:type="dxa" w:w="1474"/>
            <w:vAlign w:val="center"/>
            <w:tcMar>
              <w:top w:w="85" w:type="dxa"/>
              <w:bottom w:w="85" w:type="dxa"/>
              <w:left w:w="80" w:type="dxa"/>
              <w:right w:w="80" w:type="dxa"/>
            </w:tcMar>
          </w:tcPr>
          <w:p>
            <w:pPr>
              <w:pStyle w:val="af"/>
              <w:keepNext w:val="0"/>
              <w:spacing w:before="0" w:after="0" w:line="300" w:lineRule="atLeast"/>
              <w:ind w:firstLine="0"/>
              <w:jc w:val="left"/>
            </w:pPr>
            <w:r>
              <w:rPr>
                <w:b w:val="0"/>
              </w:rPr>
              <w:t>P3 可辨认</w:t>
            </w:r>
          </w:p>
        </w:tc>
        <w:tc>
          <w:tcPr>
            <w:tcW w:type="dxa" w:w="1984"/>
            <w:vAlign w:val="center"/>
            <w:tcMar>
              <w:top w:w="85" w:type="dxa"/>
              <w:bottom w:w="85" w:type="dxa"/>
              <w:left w:w="80" w:type="dxa"/>
              <w:right w:w="80" w:type="dxa"/>
            </w:tcMar>
          </w:tcPr>
          <w:p>
            <w:pPr>
              <w:pStyle w:val="af"/>
              <w:keepNext w:val="0"/>
              <w:spacing w:before="0" w:after="0" w:line="300" w:lineRule="atLeast"/>
              <w:ind w:firstLine="0"/>
              <w:jc w:val="left"/>
            </w:pPr>
            <w:r>
              <w:rPr>
                <w:b w:val="0"/>
              </w:rPr>
              <w:t>P03选区遗漏</w:t>
            </w:r>
          </w:p>
        </w:tc>
        <w:tc>
          <w:tcPr>
            <w:tcW w:type="dxa" w:w="2268"/>
            <w:vAlign w:val="center"/>
            <w:tcMar>
              <w:top w:w="85" w:type="dxa"/>
              <w:bottom w:w="85" w:type="dxa"/>
              <w:left w:w="80" w:type="dxa"/>
              <w:right w:w="80" w:type="dxa"/>
            </w:tcMar>
          </w:tcPr>
          <w:p>
            <w:pPr>
              <w:pStyle w:val="af"/>
              <w:keepNext w:val="0"/>
              <w:spacing w:before="0" w:after="0" w:line="300" w:lineRule="atLeast"/>
              <w:ind w:firstLine="0"/>
              <w:jc w:val="left"/>
            </w:pPr>
            <w:r>
              <w:rPr>
                <w:b w:val="0"/>
              </w:rPr>
              <w:t>观看与判断</w:t>
            </w:r>
            <w:r>
              <w:rPr>
                <w:b w:val="0"/>
                <w:sz w:val="18"/>
                <w:vertAlign w:val="superscript"/>
              </w:rPr>
              <w:t>⁠[4,5]</w:t>
            </w:r>
            <w:r>
              <w:rPr>
                <w:b w:val="0"/>
              </w:rPr>
            </w:r>
          </w:p>
        </w:tc>
        <w:tc>
          <w:tcPr>
            <w:tcW w:type="dxa" w:w="3061"/>
            <w:vAlign w:val="center"/>
            <w:tcMar>
              <w:top w:w="85" w:type="dxa"/>
              <w:bottom w:w="85" w:type="dxa"/>
              <w:left w:w="80" w:type="dxa"/>
              <w:right w:w="80" w:type="dxa"/>
            </w:tcMar>
          </w:tcPr>
          <w:p>
            <w:pPr>
              <w:pStyle w:val="af"/>
              <w:keepNext w:val="0"/>
              <w:spacing w:before="0" w:after="0" w:line="300" w:lineRule="atLeast"/>
              <w:ind w:firstLine="0"/>
              <w:jc w:val="left"/>
            </w:pPr>
            <w:r>
              <w:rPr>
                <w:b w:val="0"/>
              </w:rPr>
              <w:t>状态及差异提示；误认情况</w:t>
            </w:r>
          </w:p>
        </w:tc>
      </w:tr>
      <w:tr>
        <w:trPr>
          <w:cantSplit/>
        </w:trPr>
        <w:tc>
          <w:tcPr>
            <w:tcW w:type="dxa" w:w="1474"/>
            <w:vAlign w:val="center"/>
            <w:tcMar>
              <w:top w:w="85" w:type="dxa"/>
              <w:bottom w:w="85" w:type="dxa"/>
              <w:left w:w="80" w:type="dxa"/>
              <w:right w:w="80" w:type="dxa"/>
            </w:tcMar>
          </w:tcPr>
          <w:p>
            <w:pPr>
              <w:pStyle w:val="af"/>
              <w:keepNext w:val="0"/>
              <w:spacing w:before="0" w:after="0" w:line="300" w:lineRule="atLeast"/>
              <w:ind w:firstLine="0"/>
              <w:jc w:val="left"/>
            </w:pPr>
            <w:r>
              <w:rPr>
                <w:b w:val="0"/>
              </w:rPr>
              <w:t>P4 可持续</w:t>
            </w:r>
          </w:p>
        </w:tc>
        <w:tc>
          <w:tcPr>
            <w:tcW w:type="dxa" w:w="1984"/>
            <w:vAlign w:val="center"/>
            <w:tcMar>
              <w:top w:w="85" w:type="dxa"/>
              <w:bottom w:w="85" w:type="dxa"/>
              <w:left w:w="80" w:type="dxa"/>
              <w:right w:w="80" w:type="dxa"/>
            </w:tcMar>
          </w:tcPr>
          <w:p>
            <w:pPr>
              <w:pStyle w:val="af"/>
              <w:keepNext w:val="0"/>
              <w:spacing w:before="0" w:after="0" w:line="300" w:lineRule="atLeast"/>
              <w:ind w:firstLine="0"/>
              <w:jc w:val="left"/>
            </w:pPr>
            <w:r>
              <w:rPr>
                <w:b w:val="0"/>
              </w:rPr>
              <w:t>P02、P06混合调整</w:t>
            </w:r>
          </w:p>
        </w:tc>
        <w:tc>
          <w:tcPr>
            <w:tcW w:type="dxa" w:w="2268"/>
            <w:vAlign w:val="center"/>
            <w:tcMar>
              <w:top w:w="85" w:type="dxa"/>
              <w:bottom w:w="85" w:type="dxa"/>
              <w:left w:w="80" w:type="dxa"/>
              <w:right w:w="80" w:type="dxa"/>
            </w:tcMar>
          </w:tcPr>
          <w:p>
            <w:pPr>
              <w:pStyle w:val="af"/>
              <w:keepNext w:val="0"/>
              <w:spacing w:before="0" w:after="0" w:line="300" w:lineRule="atLeast"/>
              <w:ind w:firstLine="0"/>
              <w:jc w:val="left"/>
            </w:pPr>
            <w:r>
              <w:rPr>
                <w:b w:val="0"/>
              </w:rPr>
              <w:t>反思与节奏</w:t>
            </w:r>
            <w:r>
              <w:rPr>
                <w:b w:val="0"/>
                <w:sz w:val="18"/>
                <w:vertAlign w:val="superscript"/>
              </w:rPr>
              <w:t>⁠[5,11]</w:t>
            </w:r>
            <w:r>
              <w:rPr>
                <w:b w:val="0"/>
              </w:rPr>
            </w:r>
          </w:p>
        </w:tc>
        <w:tc>
          <w:tcPr>
            <w:tcW w:type="dxa" w:w="3061"/>
            <w:vAlign w:val="center"/>
            <w:tcMar>
              <w:top w:w="85" w:type="dxa"/>
              <w:bottom w:w="85" w:type="dxa"/>
              <w:left w:w="80" w:type="dxa"/>
              <w:right w:w="80" w:type="dxa"/>
            </w:tcMar>
          </w:tcPr>
          <w:p>
            <w:pPr>
              <w:pStyle w:val="af"/>
              <w:keepNext w:val="0"/>
              <w:spacing w:before="0" w:after="0" w:line="300" w:lineRule="atLeast"/>
              <w:ind w:firstLine="0"/>
              <w:jc w:val="left"/>
            </w:pPr>
            <w:r>
              <w:rPr>
                <w:b w:val="0"/>
              </w:rPr>
              <w:t>暂停与再介入；时机及原因</w:t>
            </w:r>
          </w:p>
        </w:tc>
      </w:tr>
      <w:tr>
        <w:trPr>
          <w:cantSplit/>
        </w:trPr>
        <w:tc>
          <w:tcPr>
            <w:tcW w:type="dxa" w:w="1474"/>
            <w:vAlign w:val="center"/>
            <w:tcMar>
              <w:top w:w="85" w:type="dxa"/>
              <w:bottom w:w="85" w:type="dxa"/>
              <w:left w:w="80" w:type="dxa"/>
              <w:right w:w="80" w:type="dxa"/>
            </w:tcMar>
          </w:tcPr>
          <w:p>
            <w:pPr>
              <w:pStyle w:val="af"/>
              <w:keepNext w:val="0"/>
              <w:spacing w:before="0" w:after="0" w:line="300" w:lineRule="atLeast"/>
              <w:ind w:firstLine="0"/>
              <w:jc w:val="left"/>
            </w:pPr>
            <w:r>
              <w:rPr>
                <w:b w:val="0"/>
              </w:rPr>
              <w:t>P5 可预期</w:t>
            </w:r>
          </w:p>
        </w:tc>
        <w:tc>
          <w:tcPr>
            <w:tcW w:type="dxa" w:w="1984"/>
            <w:vAlign w:val="center"/>
            <w:tcMar>
              <w:top w:w="85" w:type="dxa"/>
              <w:bottom w:w="85" w:type="dxa"/>
              <w:left w:w="80" w:type="dxa"/>
              <w:right w:w="80" w:type="dxa"/>
            </w:tcMar>
          </w:tcPr>
          <w:p>
            <w:pPr>
              <w:pStyle w:val="af"/>
              <w:keepNext w:val="0"/>
              <w:spacing w:before="0" w:after="0" w:line="300" w:lineRule="atLeast"/>
              <w:ind w:firstLine="0"/>
              <w:jc w:val="left"/>
            </w:pPr>
            <w:r>
              <w:rPr>
                <w:b w:val="0"/>
              </w:rPr>
              <w:t>P03、P06对象操作困难</w:t>
            </w:r>
          </w:p>
        </w:tc>
        <w:tc>
          <w:tcPr>
            <w:tcW w:type="dxa" w:w="2268"/>
            <w:vAlign w:val="center"/>
            <w:tcMar>
              <w:top w:w="85" w:type="dxa"/>
              <w:bottom w:w="85" w:type="dxa"/>
              <w:left w:w="80" w:type="dxa"/>
              <w:right w:w="80" w:type="dxa"/>
            </w:tcMar>
          </w:tcPr>
          <w:p>
            <w:pPr>
              <w:pStyle w:val="af"/>
              <w:keepNext w:val="0"/>
              <w:spacing w:before="0" w:after="0" w:line="300" w:lineRule="atLeast"/>
              <w:ind w:firstLine="0"/>
              <w:jc w:val="left"/>
            </w:pPr>
            <w:r>
              <w:rPr>
                <w:b w:val="0"/>
              </w:rPr>
              <w:t>行动后果</w:t>
            </w:r>
            <w:r>
              <w:rPr>
                <w:b w:val="0"/>
                <w:sz w:val="18"/>
                <w:vertAlign w:val="superscript"/>
              </w:rPr>
              <w:t>⁠[15]</w:t>
            </w:r>
            <w:r>
              <w:rPr>
                <w:b w:val="0"/>
              </w:rPr>
            </w:r>
          </w:p>
        </w:tc>
        <w:tc>
          <w:tcPr>
            <w:tcW w:type="dxa" w:w="3061"/>
            <w:vAlign w:val="center"/>
            <w:tcMar>
              <w:top w:w="85" w:type="dxa"/>
              <w:bottom w:w="85" w:type="dxa"/>
              <w:left w:w="80" w:type="dxa"/>
              <w:right w:w="80" w:type="dxa"/>
            </w:tcMar>
          </w:tcPr>
          <w:p>
            <w:pPr>
              <w:pStyle w:val="af"/>
              <w:keepNext w:val="0"/>
              <w:spacing w:before="0" w:after="0" w:line="300" w:lineRule="atLeast"/>
              <w:ind w:firstLine="0"/>
              <w:jc w:val="left"/>
            </w:pPr>
            <w:r>
              <w:rPr>
                <w:b w:val="0"/>
              </w:rPr>
              <w:t>确认边界；错误与求助</w:t>
            </w:r>
          </w:p>
        </w:tc>
      </w:tr>
      <w:tr>
        <w:trPr>
          <w:cantSplit/>
        </w:trPr>
        <w:tc>
          <w:tcPr>
            <w:tcW w:type="dxa" w:w="1474"/>
            <w:vAlign w:val="center"/>
            <w:tcMar>
              <w:top w:w="85" w:type="dxa"/>
              <w:bottom w:w="85" w:type="dxa"/>
              <w:left w:w="80" w:type="dxa"/>
              <w:right w:w="80" w:type="dxa"/>
            </w:tcMar>
          </w:tcPr>
          <w:p>
            <w:pPr>
              <w:pStyle w:val="af"/>
              <w:keepNext w:val="0"/>
              <w:spacing w:before="0" w:after="0" w:line="300" w:lineRule="atLeast"/>
              <w:ind w:firstLine="0"/>
              <w:jc w:val="left"/>
            </w:pPr>
            <w:r>
              <w:rPr>
                <w:b w:val="0"/>
              </w:rPr>
              <w:t>P6 适度退让</w:t>
            </w:r>
          </w:p>
        </w:tc>
        <w:tc>
          <w:tcPr>
            <w:tcW w:type="dxa" w:w="1984"/>
            <w:vAlign w:val="center"/>
            <w:tcMar>
              <w:top w:w="85" w:type="dxa"/>
              <w:bottom w:w="85" w:type="dxa"/>
              <w:left w:w="80" w:type="dxa"/>
              <w:right w:w="80" w:type="dxa"/>
            </w:tcMar>
          </w:tcPr>
          <w:p>
            <w:pPr>
              <w:pStyle w:val="af"/>
              <w:keepNext w:val="0"/>
              <w:spacing w:before="0" w:after="0" w:line="300" w:lineRule="atLeast"/>
              <w:ind w:firstLine="0"/>
              <w:jc w:val="left"/>
            </w:pPr>
            <w:r>
              <w:rPr>
                <w:b w:val="0"/>
              </w:rPr>
              <w:t>P05选色比较负担</w:t>
            </w:r>
          </w:p>
        </w:tc>
        <w:tc>
          <w:tcPr>
            <w:tcW w:type="dxa" w:w="2268"/>
            <w:vAlign w:val="center"/>
            <w:tcMar>
              <w:top w:w="85" w:type="dxa"/>
              <w:bottom w:w="85" w:type="dxa"/>
              <w:left w:w="80" w:type="dxa"/>
              <w:right w:w="80" w:type="dxa"/>
            </w:tcMar>
          </w:tcPr>
          <w:p>
            <w:pPr>
              <w:pStyle w:val="af"/>
              <w:keepNext w:val="0"/>
              <w:spacing w:before="0" w:after="0" w:line="300" w:lineRule="atLeast"/>
              <w:ind w:firstLine="0"/>
              <w:jc w:val="left"/>
            </w:pPr>
            <w:r>
              <w:rPr>
                <w:b w:val="0"/>
              </w:rPr>
              <w:t>知觉组织与规范</w:t>
            </w:r>
            <w:r>
              <w:rPr>
                <w:b w:val="0"/>
                <w:sz w:val="18"/>
                <w:vertAlign w:val="superscript"/>
              </w:rPr>
              <w:t>⁠[16,17,18]</w:t>
            </w:r>
            <w:r>
              <w:rPr>
                <w:b w:val="0"/>
              </w:rPr>
            </w:r>
          </w:p>
        </w:tc>
        <w:tc>
          <w:tcPr>
            <w:tcW w:type="dxa" w:w="3061"/>
            <w:vAlign w:val="center"/>
            <w:tcMar>
              <w:top w:w="85" w:type="dxa"/>
              <w:bottom w:w="85" w:type="dxa"/>
              <w:left w:w="80" w:type="dxa"/>
              <w:right w:w="80" w:type="dxa"/>
            </w:tcMar>
          </w:tcPr>
          <w:p>
            <w:pPr>
              <w:pStyle w:val="af"/>
              <w:keepNext w:val="0"/>
              <w:spacing w:before="0" w:after="0" w:line="300" w:lineRule="atLeast"/>
              <w:ind w:firstLine="0"/>
              <w:jc w:val="left"/>
            </w:pPr>
            <w:r>
              <w:rPr>
                <w:b w:val="0"/>
              </w:rPr>
              <w:t>工具分组与弹层；查找及遮挡</w:t>
            </w:r>
          </w:p>
        </w:tc>
      </w:tr>
    </w:tbl>
    <w:p>
      <w:pPr>
        <w:keepLines/>
        <w:spacing w:line="260" w:lineRule="atLeast" w:before="60" w:after="120"/>
        <w:ind w:firstLine="0"/>
      </w:pPr>
      <w:r>
        <w:rPr>
          <w:sz w:val="19"/>
        </w:rPr>
        <w:t>来源：作者综合第二章材料与本章文献绘制。原则仅为设计依据，效果由后续研究检验。</w:t>
      </w:r>
    </w:p>
    <w:p>
      <w:pPr>
        <w:pStyle w:val="30"/>
        <w:numPr>
          <w:numId w:val="0"/>
        </w:numPr>
      </w:pPr>
      <w:r>
        <w:t>3.6.2 内容与构图向操作的映射</w:t>
      </w:r>
    </w:p>
    <w:p>
      <w:pPr>
        <w:pStyle w:val="a2"/>
        <w:widowControl/>
        <w:ind w:firstLineChars="200" w:firstLine="480"/>
      </w:pPr>
      <w:r>
        <w:t>映射首先识别表达要素，再寻找可操作参数。内容对应素材选择与数量；位置对应平面移动；尺度对应缩放；方向对应旋转。主次和疏密是若干参数共同形成的关系，例如增大一个对象、减少周围元素或改变间距，都可能突出重点。外部表征研究与对象变换案例支持将关系显化为可比较状态</w:t>
      </w:r>
      <w:r>
        <w:rPr>
          <w:sz w:val="18"/>
          <w:vertAlign w:val="superscript"/>
        </w:rPr>
        <w:t>⁠[2,8]</w:t>
      </w:r>
      <w:r>
        <w:t>，但不能据此规定主角必须居中或某个方向必然表示积极情绪。</w:t>
      </w:r>
    </w:p>
    <w:p>
      <w:pPr>
        <w:pStyle w:val="a2"/>
        <w:widowControl/>
        <w:ind w:firstLineChars="200" w:firstLine="480"/>
      </w:pPr>
      <w:r>
        <w:t>图3.8把直接可控参数与需要综合判断的表达关系分开。素材名称不等于完整表达意义，一朵花既可能是生活记录中的具体对象，也可能承担装饰或情感联想，其用途应由用户说明。色彩气氛可以提供整体尝试，但暖色、原色或低饱和配色不具有唯一情绪解释；同样，留白既可能是主动选择，也可能来自尚未完成。</w:t>
      </w:r>
    </w:p>
    <w:p>
      <w:pPr>
        <w:keepNext/>
        <w:spacing w:before="120" w:after="60" w:line="240" w:lineRule="auto"/>
        <w:ind w:firstLine="0"/>
        <w:jc w:val="center"/>
      </w:pPr>
      <w:r>
        <w:drawing>
          <wp:inline xmlns:a="http://schemas.openxmlformats.org/drawingml/2006/main" xmlns:pic="http://schemas.openxmlformats.org/drawingml/2006/picture">
            <wp:extent cx="5580000" cy="2700000"/>
            <wp:docPr id="8" name="Picture 8" descr="表达要素与素材编排操作的映射。来源：作者根据外部表征研究、变换操作案例及第二章表达要素归纳绘制。多对多连接表示可能关系，不规定审美答案。"/>
            <wp:cNvGraphicFramePr>
              <a:graphicFrameLocks noChangeAspect="1"/>
            </wp:cNvGraphicFramePr>
            <a:graphic>
              <a:graphicData uri="http://schemas.openxmlformats.org/drawingml/2006/picture">
                <pic:pic>
                  <pic:nvPicPr>
                    <pic:cNvPr id="0" name="表达要素映射图.png"/>
                    <pic:cNvPicPr/>
                  </pic:nvPicPr>
                  <pic:blipFill>
                    <a:blip r:embed="rId36"/>
                    <a:stretch>
                      <a:fillRect/>
                    </a:stretch>
                  </pic:blipFill>
                  <pic:spPr>
                    <a:xfrm>
                      <a:off x="0" y="0"/>
                      <a:ext cx="5580000" cy="2700000"/>
                    </a:xfrm>
                    <a:prstGeom prst="rect"/>
                  </pic:spPr>
                </pic:pic>
              </a:graphicData>
            </a:graphic>
          </wp:inline>
        </w:drawing>
      </w:r>
    </w:p>
    <w:p>
      <w:pPr>
        <w:pStyle w:val="aa"/>
        <w:keepNext/>
        <w:keepLines/>
        <w:spacing w:before="0" w:after="0" w:line="300" w:lineRule="atLeast"/>
        <w:ind w:firstLine="0"/>
        <w:jc w:val="center"/>
      </w:pPr>
      <w:r>
        <w:t>图3.8  表达要素与素材编排操作的映射</w:t>
      </w:r>
    </w:p>
    <w:p>
      <w:pPr>
        <w:pStyle w:val="ad"/>
        <w:keepNext/>
        <w:keepLines/>
        <w:spacing w:before="0" w:after="0" w:line="300" w:lineRule="atLeast"/>
        <w:ind w:firstLine="0"/>
        <w:jc w:val="center"/>
      </w:pPr>
      <w:r>
        <w:t>Figure 3.8  Mapping expressive elements to material-arrangement operations</w:t>
      </w:r>
    </w:p>
    <w:p>
      <w:pPr>
        <w:keepLines/>
        <w:spacing w:line="260" w:lineRule="atLeast" w:before="60" w:after="120"/>
        <w:ind w:firstLine="0"/>
      </w:pPr>
      <w:r>
        <w:rPr>
          <w:sz w:val="19"/>
        </w:rPr>
        <w:t>来源：作者根据外部表征研究</w:t>
      </w:r>
      <w:r>
        <w:rPr>
          <w:sz w:val="18"/>
          <w:vertAlign w:val="superscript"/>
        </w:rPr>
        <w:t>⁠[1,2]</w:t>
      </w:r>
      <w:r>
        <w:rPr>
          <w:sz w:val="19"/>
        </w:rPr>
        <w:t>、变换操作案例</w:t>
      </w:r>
      <w:r>
        <w:rPr>
          <w:sz w:val="18"/>
          <w:vertAlign w:val="superscript"/>
        </w:rPr>
        <w:t>⁠[8]</w:t>
      </w:r>
      <w:r>
        <w:rPr>
          <w:sz w:val="19"/>
        </w:rPr>
        <w:t>及第二章表达要素归纳绘制。多对多连接表示可能关系，不规定审美答案。</w:t>
      </w:r>
    </w:p>
    <w:p>
      <w:pPr>
        <w:pStyle w:val="a2"/>
        <w:widowControl/>
        <w:ind w:firstLineChars="200" w:firstLine="480"/>
      </w:pPr>
      <w:r>
        <w:t>因此，评价应比较用户希望保留的具体关系是否出现，而非统计添加了多少素材。某种关系未落实时，还需区分资源不足、变换困难与成画偏差。这样才能判断问题发生在选择、操作还是执行阶段，并避免把用户主动删减误计为系统失败。</w:t>
      </w:r>
    </w:p>
    <w:p>
      <w:pPr>
        <w:pStyle w:val="30"/>
        <w:numPr>
          <w:numId w:val="0"/>
        </w:numPr>
      </w:pPr>
      <w:r>
        <w:t>3.6.3 笔触与反馈向评价的映射</w:t>
      </w:r>
    </w:p>
    <w:p>
      <w:pPr>
        <w:pStyle w:val="a2"/>
        <w:widowControl/>
        <w:ind w:firstLineChars="200" w:firstLine="480"/>
      </w:pPr>
      <w:r>
        <w:t>自动执行对应降低手绘要求的设计目标，评价关注表达是否落实及是否仍需外部帮助；预览与成画的差异对应状态理解，需记录用户能否解释未绘区域及确认后的对象；局部优先续绘对应新增关系的可见响应，需考察其是否及时、是否影响其他区域。节奏控制则对应等待与判断机会，不能仅以更快完成判为更好。</w:t>
      </w:r>
    </w:p>
    <w:p>
      <w:pPr>
        <w:pStyle w:val="a2"/>
        <w:widowControl/>
        <w:ind w:firstLineChars="200" w:firstLine="480"/>
      </w:pPr>
      <w:r>
        <w:t>本研究将这些关系整理为表3.5。D1侧重编排模块效果，D2侧重观看后的过程解释，D3侧重执行分工中的主观体验。2×2对照只能检验执行方式、编排支持及其交互关系，无法同时隔离每项原则的独立效果；局部续绘、笔刷动画和视觉样式也不能在同一实验中各自获得因果归因。</w:t>
      </w:r>
    </w:p>
    <w:p>
      <w:pPr>
        <w:pStyle w:val="aa"/>
        <w:keepNext/>
        <w:keepLines/>
        <w:spacing w:before="0" w:after="0" w:line="300" w:lineRule="atLeast"/>
        <w:ind w:firstLine="0"/>
        <w:jc w:val="center"/>
      </w:pPr>
      <w:r>
        <w:t>表3.5  设计命题与评价证据的对应</w:t>
      </w:r>
    </w:p>
    <w:p>
      <w:pPr>
        <w:pStyle w:val="ad"/>
        <w:keepNext/>
        <w:keepLines/>
        <w:spacing w:before="0" w:after="0" w:line="300" w:lineRule="atLeast"/>
        <w:ind w:firstLine="0"/>
        <w:jc w:val="center"/>
      </w:pPr>
      <w:r>
        <w:t>Table 3.5  Design propositions and corresponding evaluation evidence</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2381"/>
        <w:gridCol w:w="3118"/>
        <w:gridCol w:w="3288"/>
      </w:tblGrid>
      <w:tr>
        <w:trPr>
          <w:cantSplit/>
          <w:tblHeader/>
        </w:trPr>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命题与设计对象</w:t>
            </w:r>
          </w:p>
        </w:tc>
        <w:tc>
          <w:tcPr>
            <w:tcW w:type="dxa" w:w="311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主要证据</w:t>
            </w:r>
          </w:p>
        </w:tc>
        <w:tc>
          <w:tcPr>
            <w:tcW w:type="dxa" w:w="328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推断边界</w:t>
            </w:r>
          </w:p>
        </w:tc>
      </w:tr>
      <w:tr>
        <w:trPr>
          <w:cantSplit/>
        </w:trPr>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D1 编排支持表达落实</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RQ3b及因素交互；意图与作品对照；操作回顾</w:t>
            </w:r>
          </w:p>
        </w:tc>
        <w:tc>
          <w:tcPr>
            <w:tcW w:type="dxa" w:w="3288"/>
            <w:vAlign w:val="center"/>
            <w:tcMar>
              <w:top w:w="85" w:type="dxa"/>
              <w:bottom w:w="85" w:type="dxa"/>
              <w:left w:w="80" w:type="dxa"/>
              <w:right w:w="80" w:type="dxa"/>
            </w:tcMar>
          </w:tcPr>
          <w:p>
            <w:pPr>
              <w:pStyle w:val="af"/>
              <w:keepNext w:val="0"/>
              <w:spacing w:before="0" w:after="0" w:line="300" w:lineRule="atLeast"/>
              <w:ind w:firstLine="0"/>
              <w:jc w:val="left"/>
            </w:pPr>
            <w:r>
              <w:rPr>
                <w:b w:val="0"/>
              </w:rPr>
              <w:t>模块效果不等于认知卸载中介成立</w:t>
            </w:r>
          </w:p>
        </w:tc>
      </w:tr>
      <w:tr>
        <w:trPr>
          <w:cantSplit/>
        </w:trPr>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D2 渐进反馈支持持续判断</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画面阶段、回顾说明与后续操作的对应</w:t>
            </w:r>
          </w:p>
        </w:tc>
        <w:tc>
          <w:tcPr>
            <w:tcW w:type="dxa" w:w="3288"/>
            <w:vAlign w:val="center"/>
            <w:tcMar>
              <w:top w:w="85" w:type="dxa"/>
              <w:bottom w:w="85" w:type="dxa"/>
              <w:left w:w="80" w:type="dxa"/>
              <w:right w:w="80" w:type="dxa"/>
            </w:tcMar>
          </w:tcPr>
          <w:p>
            <w:pPr>
              <w:pStyle w:val="af"/>
              <w:keepNext w:val="0"/>
              <w:spacing w:before="0" w:after="0" w:line="300" w:lineRule="atLeast"/>
              <w:ind w:firstLine="0"/>
              <w:jc w:val="left"/>
            </w:pPr>
            <w:r>
              <w:rPr>
                <w:b w:val="0"/>
              </w:rPr>
              <w:t>过程探索；不增设第三因素，不以停顿推断灵感</w:t>
            </w:r>
          </w:p>
        </w:tc>
      </w:tr>
      <w:tr>
        <w:trPr>
          <w:cantSplit/>
        </w:trPr>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D3 自动执行中保留自主体验</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IMI分量表；贡献辨认访谈；执行因素及其交互</w:t>
            </w:r>
          </w:p>
        </w:tc>
        <w:tc>
          <w:tcPr>
            <w:tcW w:type="dxa" w:w="3288"/>
            <w:vAlign w:val="center"/>
            <w:tcMar>
              <w:top w:w="85" w:type="dxa"/>
              <w:bottom w:w="85" w:type="dxa"/>
              <w:left w:w="80" w:type="dxa"/>
              <w:right w:w="80" w:type="dxa"/>
            </w:tcMar>
          </w:tcPr>
          <w:p>
            <w:pPr>
              <w:pStyle w:val="af"/>
              <w:keepNext w:val="0"/>
              <w:spacing w:before="0" w:after="0" w:line="300" w:lineRule="atLeast"/>
              <w:ind w:firstLine="0"/>
              <w:jc w:val="left"/>
            </w:pPr>
            <w:r>
              <w:rPr>
                <w:b w:val="0"/>
              </w:rPr>
              <w:t>感知选择不等于完整主体性；能力感不是技能测验</w:t>
            </w:r>
          </w:p>
        </w:tc>
      </w:tr>
      <w:tr>
        <w:trPr>
          <w:cantSplit/>
        </w:trPr>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状态与操作支持的可用性</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SUS、求助、错误、等待及误认记录</w:t>
            </w:r>
          </w:p>
        </w:tc>
        <w:tc>
          <w:tcPr>
            <w:tcW w:type="dxa" w:w="3288"/>
            <w:vAlign w:val="center"/>
            <w:tcMar>
              <w:top w:w="85" w:type="dxa"/>
              <w:bottom w:w="85" w:type="dxa"/>
              <w:left w:w="80" w:type="dxa"/>
              <w:right w:w="80" w:type="dxa"/>
            </w:tcMar>
          </w:tcPr>
          <w:p>
            <w:pPr>
              <w:pStyle w:val="af"/>
              <w:keepNext w:val="0"/>
              <w:spacing w:before="0" w:after="0" w:line="300" w:lineRule="atLeast"/>
              <w:ind w:firstLine="0"/>
              <w:jc w:val="left"/>
            </w:pPr>
            <w:r>
              <w:rPr>
                <w:b w:val="0"/>
              </w:rPr>
              <w:t>不将可用性或速度单独视为表达成功</w:t>
            </w:r>
          </w:p>
        </w:tc>
      </w:tr>
      <w:tr>
        <w:trPr>
          <w:cantSplit/>
        </w:trPr>
        <w:tc>
          <w:tcPr>
            <w:tcW w:type="dxa" w:w="2381"/>
            <w:vAlign w:val="center"/>
            <w:tcMar>
              <w:top w:w="85" w:type="dxa"/>
              <w:bottom w:w="85" w:type="dxa"/>
              <w:left w:w="80" w:type="dxa"/>
              <w:right w:w="80" w:type="dxa"/>
            </w:tcMar>
          </w:tcPr>
          <w:p>
            <w:pPr>
              <w:pStyle w:val="af"/>
              <w:keepNext w:val="0"/>
              <w:spacing w:before="0" w:after="0" w:line="300" w:lineRule="atLeast"/>
              <w:ind w:firstLine="0"/>
              <w:jc w:val="left"/>
            </w:pPr>
            <w:r>
              <w:rPr>
                <w:b w:val="0"/>
              </w:rPr>
              <w:t>星月分工的叙事表达</w:t>
            </w:r>
          </w:p>
        </w:tc>
        <w:tc>
          <w:tcPr>
            <w:tcW w:type="dxa" w:w="3118"/>
            <w:vAlign w:val="center"/>
            <w:tcMar>
              <w:top w:w="85" w:type="dxa"/>
              <w:bottom w:w="85" w:type="dxa"/>
              <w:left w:w="80" w:type="dxa"/>
              <w:right w:w="80" w:type="dxa"/>
            </w:tcMar>
          </w:tcPr>
          <w:p>
            <w:pPr>
              <w:pStyle w:val="af"/>
              <w:keepNext w:val="0"/>
              <w:spacing w:before="0" w:after="0" w:line="300" w:lineRule="atLeast"/>
              <w:ind w:firstLine="0"/>
              <w:jc w:val="left"/>
            </w:pPr>
            <w:r>
              <w:rPr>
                <w:b w:val="0"/>
              </w:rPr>
              <w:t>角色理解及作品贡献的回顾访谈</w:t>
            </w:r>
          </w:p>
        </w:tc>
        <w:tc>
          <w:tcPr>
            <w:tcW w:type="dxa" w:w="3288"/>
            <w:vAlign w:val="center"/>
            <w:tcMar>
              <w:top w:w="85" w:type="dxa"/>
              <w:bottom w:w="85" w:type="dxa"/>
              <w:left w:w="80" w:type="dxa"/>
              <w:right w:w="80" w:type="dxa"/>
            </w:tcMar>
          </w:tcPr>
          <w:p>
            <w:pPr>
              <w:pStyle w:val="af"/>
              <w:keepNext w:val="0"/>
              <w:spacing w:before="0" w:after="0" w:line="300" w:lineRule="atLeast"/>
              <w:ind w:firstLine="0"/>
              <w:jc w:val="left"/>
            </w:pPr>
            <w:r>
              <w:rPr>
                <w:b w:val="0"/>
              </w:rPr>
              <w:t>探索性解释；不单独归因于叙事或拟人化效果</w:t>
            </w:r>
          </w:p>
        </w:tc>
      </w:tr>
    </w:tbl>
    <w:p>
      <w:pPr>
        <w:keepLines/>
        <w:spacing w:line="260" w:lineRule="atLeast" w:before="60" w:after="120"/>
        <w:ind w:firstLine="0"/>
      </w:pPr>
      <w:r>
        <w:rPr>
          <w:sz w:val="19"/>
        </w:rPr>
        <w:t>来源：作者依据本章设计推导及IMI说明</w:t>
      </w:r>
      <w:r>
        <w:rPr>
          <w:sz w:val="18"/>
          <w:vertAlign w:val="superscript"/>
        </w:rPr>
        <w:t>⁠[13]</w:t>
      </w:r>
      <w:r>
        <w:rPr>
          <w:sz w:val="19"/>
        </w:rPr>
        <w:t>整理；评价计划不包含尚未获得的实验结果。</w:t>
      </w:r>
    </w:p>
    <w:p>
      <w:pPr>
        <w:pStyle w:val="a2"/>
        <w:widowControl/>
        <w:ind w:firstLineChars="200" w:firstLine="480"/>
      </w:pPr>
      <w:r>
        <w:t>星月角色用于解释贡献分工：星光对应用户加入的对象及关系，月光对应系统的笔触推进。它是一种界面叙事，不能替代功能说明，也不构成系统具有自主意图的证据。其是否帮助用户辨认贡献，可在访谈中探索；与画面质量或动机变化的关系，暂不作独立效果主张。</w:t>
      </w:r>
    </w:p>
    <w:p>
      <w:pPr>
        <w:pStyle w:val="30"/>
        <w:numPr>
          <w:numId w:val="0"/>
        </w:numPr>
      </w:pPr>
      <w:r>
        <w:t>3.6.4 本章小结</w:t>
      </w:r>
    </w:p>
    <w:p>
      <w:pPr>
        <w:pStyle w:val="a2"/>
        <w:widowControl/>
        <w:ind w:firstLineChars="200" w:firstLine="480"/>
      </w:pPr>
      <w:r>
        <w:t>本章从外部认知、设计中的反思与自我决定理论出发，解释素材编排、渐进反馈和执行分工各自可能支持的活动，并借助COFI及视觉规范限定实现条件。D1—D3提出编排落实、过程判断和自主体验的可检验或可探索关系；认知卸载机制、一般创造力与长期技能提升均未因此得到证明。六项原则把第二章需求转为设计要求，同时保留素材不足、状态误认与旁观感等相反可能。</w:t>
      </w:r>
    </w:p>
    <w:p>
      <w:pPr>
        <w:pStyle w:val="a2"/>
        <w:widowControl/>
        <w:ind w:firstLineChars="200" w:firstLine="480"/>
      </w:pPr>
      <w:r>
        <w:t>上述原则规定了应保留的用户决定、系统执行边界及反馈方式。第四章将把这些原则落到具体页面、操作和笔触响应，并说明实现中的取舍。</w:t>
      </w:r>
    </w:p>
    <w:p>
      <w:pPr>
        <w:pStyle w:val="20"/>
        <w:pageBreakBefore/>
        <w:numPr>
          <w:numId w:val="0"/>
        </w:numPr>
      </w:pPr>
      <w:r>
        <w:t>本章参考文献</w:t>
      </w:r>
    </w:p>
    <w:p>
      <w:pPr>
        <w:pStyle w:val="af1"/>
        <w:keepLines/>
        <w:widowControl/>
        <w:spacing w:after="0"/>
        <w:ind w:firstLine="0" w:left="0"/>
        <w:jc w:val="left"/>
      </w:pPr>
      <w:r>
        <w:t>[1] SCAIFE M, ROGERS Y. External cognition: how do graphical representations work?[J]. International Journal of Human-Computer Studies, 1996, 45(2): 185–213. DOI: 10.1006/ijhc.1996.0048.</w:t>
      </w:r>
    </w:p>
    <w:p>
      <w:pPr>
        <w:pStyle w:val="af1"/>
        <w:keepLines/>
        <w:widowControl/>
        <w:spacing w:after="0"/>
        <w:ind w:firstLine="0" w:left="0"/>
        <w:jc w:val="left"/>
      </w:pPr>
      <w:r>
        <w:t>[2] KIRSH D. Thinking with external representations[J]. AI &amp; Society, 2010, 25(4): 441–454. DOI: 10.1007/s00146-010-0272-8.</w:t>
      </w:r>
    </w:p>
    <w:p>
      <w:pPr>
        <w:pStyle w:val="af1"/>
        <w:keepLines/>
        <w:widowControl/>
        <w:spacing w:after="0"/>
        <w:ind w:firstLine="0" w:left="0"/>
        <w:jc w:val="left"/>
      </w:pPr>
      <w:r>
        <w:t>[3] RISKO E F, GILBERT S J. Cognitive offloading[J]. Trends in Cognitive Sciences, 2016, 20(9): 676–688. DOI: 10.1016/j.tics.2016.07.002.</w:t>
      </w:r>
    </w:p>
    <w:p>
      <w:pPr>
        <w:pStyle w:val="af1"/>
        <w:keepLines/>
        <w:widowControl/>
        <w:spacing w:after="0"/>
        <w:ind w:firstLine="0" w:left="0"/>
        <w:jc w:val="left"/>
      </w:pPr>
      <w:r>
        <w:t>[4] SCHÖN D A, WIGGINS G. Kinds of seeing and their functions in designing[J]. Design Studies, 1992, 13(2): 135–156. DOI: 10.1016/0142-694X(92)90268-F.</w:t>
      </w:r>
    </w:p>
    <w:p>
      <w:pPr>
        <w:pStyle w:val="af1"/>
        <w:keepLines/>
        <w:widowControl/>
        <w:spacing w:after="0"/>
        <w:ind w:firstLine="0" w:left="0"/>
        <w:jc w:val="left"/>
      </w:pPr>
      <w:r>
        <w:t>[5] SCHÖN D A. Designing as reflective conversation with the materials of a design situation[J]. Research in Engineering Design, 1992, 3(3): 131–147. DOI: 10.1007/BF01580516.</w:t>
      </w:r>
    </w:p>
    <w:p>
      <w:pPr>
        <w:pStyle w:val="af1"/>
        <w:keepLines/>
        <w:widowControl/>
        <w:spacing w:after="0"/>
        <w:ind w:firstLine="0" w:left="0"/>
        <w:jc w:val="left"/>
      </w:pPr>
      <w:r>
        <w:t>[6] RYAN R M, DECI E L. Self-determination theory and the facilitation of intrinsic motivation, social development, and well-being[J]. American Psychologist, 2000, 55(1): 68–78. DOI: 10.1037/0003-066X.55.1.68.</w:t>
      </w:r>
    </w:p>
    <w:p>
      <w:pPr>
        <w:pStyle w:val="af1"/>
        <w:keepLines/>
        <w:widowControl/>
        <w:spacing w:after="0"/>
        <w:ind w:firstLine="0" w:left="0"/>
        <w:jc w:val="left"/>
      </w:pPr>
      <w:r>
        <w:t>[7] KIRSH D, MAGLIO P. On distinguishing epistemic from pragmatic action[J]. Cognitive Science, 1994, 18(4): 513–549. DOI: 10.1207/s15516709cog1804_1.</w:t>
      </w:r>
    </w:p>
    <w:p>
      <w:pPr>
        <w:pStyle w:val="af1"/>
        <w:keepLines/>
        <w:widowControl/>
        <w:spacing w:after="0"/>
        <w:ind w:firstLine="0" w:left="0"/>
        <w:jc w:val="left"/>
      </w:pPr>
      <w:r>
        <w:t>[8] SAVAGE INTERACTIVE. Procreate handbook: Transform—Interface and gestures[EB/OL]. [2026-10-30]. https://help.procreate.com/procreate/handbook/transform/transform-interface-gestures.</w:t>
      </w:r>
    </w:p>
    <w:p>
      <w:pPr>
        <w:pStyle w:val="af1"/>
        <w:keepLines/>
        <w:widowControl/>
        <w:spacing w:after="0"/>
        <w:ind w:firstLine="0" w:left="0"/>
        <w:jc w:val="left"/>
      </w:pPr>
      <w:r>
        <w:t>[9] REZWANA J, MAHER M L. Designing creative AI partners with COFI: A framework for modeling interaction in human-AI co-creative systems[J]. ACM Transactions on Computer-Human Interaction, 2023, 30(5): 1–28. DOI: 10.1145/3519026.</w:t>
      </w:r>
    </w:p>
    <w:p>
      <w:pPr>
        <w:pStyle w:val="af1"/>
        <w:keepLines/>
        <w:widowControl/>
        <w:spacing w:after="0"/>
        <w:ind w:firstLine="0" w:left="0"/>
        <w:jc w:val="left"/>
      </w:pPr>
      <w:r>
        <w:t>[10] CHUNG J J Y, ADAR E. PromptPaint: Steering text-to-image generation through paint medium-like interactions[C]//Proceedings of the 36th Annual ACM Symposium on User Interface Software and Technology. New York: ACM, 2023: 1–17. DOI: 10.1145/3586183.3606777.</w:t>
      </w:r>
    </w:p>
    <w:p>
      <w:pPr>
        <w:pStyle w:val="af1"/>
        <w:keepLines/>
        <w:widowControl/>
        <w:spacing w:after="0"/>
        <w:ind w:firstLine="0" w:left="0"/>
        <w:jc w:val="left"/>
      </w:pPr>
      <w:r>
        <w:t>[11] TVERSKY B, MORRISON J B, BÉTRANCOURT M. Animation: can it facilitate?[J]. International Journal of Human-Computer Studies, 2002, 57(4): 247–262. DOI: 10.1006/ijhc.2002.1017.</w:t>
      </w:r>
    </w:p>
    <w:p>
      <w:pPr>
        <w:pStyle w:val="af1"/>
        <w:keepLines/>
        <w:widowControl/>
        <w:spacing w:after="0"/>
        <w:ind w:firstLine="0" w:left="0"/>
        <w:jc w:val="left"/>
      </w:pPr>
      <w:r>
        <w:t>[12] BENEDETTI L, WINNEMÖLLER H, CORSINI M, et al. Painting with Bob: Assisted creativity for novices[C]//Proceedings of the 27th Annual ACM Symposium on User Interface Software and Technology. New York: ACM, 2014: 419–428. DOI: 10.1145/2642918.2647415.</w:t>
      </w:r>
    </w:p>
    <w:p>
      <w:pPr>
        <w:pStyle w:val="af1"/>
        <w:keepLines/>
        <w:widowControl/>
        <w:spacing w:after="0"/>
        <w:ind w:firstLine="0" w:left="0"/>
        <w:jc w:val="left"/>
      </w:pPr>
      <w:r>
        <w:t>[13] CENTER FOR SELF-DETERMINATION THEORY. Intrinsic Motivation Inventory (IMI)[EB/OL]. [2026-10-30]. https://selfdeterminationtheory.org/intrinsic-motivation-inventory/.</w:t>
      </w:r>
    </w:p>
    <w:p>
      <w:pPr>
        <w:pStyle w:val="af1"/>
        <w:keepLines/>
        <w:widowControl/>
        <w:spacing w:after="0"/>
        <w:ind w:firstLine="0" w:left="0"/>
        <w:jc w:val="left"/>
      </w:pPr>
      <w:r>
        <w:t>[14] BROOKE J. SUS: A quick and dirty usability scale[M]//JORDAN P W, THOMAS B, WEERDMEESTER B A, et al. Usability Evaluation in Industry. London: Taylor &amp; Francis, 1996: 189–194.</w:t>
      </w:r>
    </w:p>
    <w:p>
      <w:pPr>
        <w:pStyle w:val="af1"/>
        <w:keepLines/>
        <w:widowControl/>
        <w:spacing w:after="0"/>
        <w:ind w:firstLine="0" w:left="0"/>
        <w:jc w:val="left"/>
      </w:pPr>
      <w:r>
        <w:t>[15] AMERSHI S, WELD D, VORVOREANU M, et al. Guidelines for human-AI interaction[C]//Proceedings of the 2019 CHI Conference on Human Factors in Computing Systems. New York: ACM, 2019: 1–13. DOI: 10.1145/3290605.3300233.</w:t>
      </w:r>
    </w:p>
    <w:p>
      <w:pPr>
        <w:pStyle w:val="af1"/>
        <w:keepLines/>
        <w:widowControl/>
        <w:spacing w:after="0"/>
        <w:ind w:firstLine="0" w:left="0"/>
        <w:jc w:val="left"/>
      </w:pPr>
      <w:r>
        <w:t>[16] WAGEMANS J, ELDER J H, KUBOVY M, et al. A century of Gestalt psychology in visual perception: I. Perceptual grouping and figure–ground organization[J]. Psychological Bulletin, 2012, 138(6): 1172–1217. DOI: 10.1037/a0029333.</w:t>
      </w:r>
    </w:p>
    <w:p>
      <w:pPr>
        <w:pStyle w:val="af1"/>
        <w:keepLines/>
        <w:widowControl/>
        <w:spacing w:after="0"/>
        <w:ind w:firstLine="0" w:left="0"/>
        <w:jc w:val="left"/>
      </w:pPr>
      <w:r>
        <w:t>[17] WORLD WIDE WEB CONSORTIUM. Web Content Accessibility Guidelines (WCAG) 2.2[EB/OL]. (2024-12-12)[2026-10-30]. https://www.w3.org/TR/2024/REC-WCAG22-20241212/.</w:t>
      </w:r>
    </w:p>
    <w:p>
      <w:pPr>
        <w:pStyle w:val="af1"/>
        <w:keepLines/>
        <w:widowControl/>
        <w:spacing w:after="0"/>
        <w:ind w:firstLine="0" w:left="0"/>
        <w:jc w:val="left"/>
      </w:pPr>
      <w:r>
        <w:t>[18] APPLE. Human interface guidelines: Accessibility[EB/OL]. [2026-10-30]. https://developer.apple.com/design/human-interface-guidelines/accessibility.</w:t>
      </w:r>
    </w:p>
    <w:p>
      <w:pPr>
        <w:pStyle w:val="af1"/>
        <w:keepLines/>
        <w:widowControl/>
        <w:spacing w:after="0"/>
        <w:ind w:firstLine="0" w:left="0"/>
        <w:jc w:val="left"/>
      </w:pPr>
      <w:r>
        <w:t>[19] SAVAGE INTERACTIVE. Procreate handbook: Interface[EB/OL]. [2026-10-30]. https://help.procreate.com/procreate/handbook/interface-gestures/interface.</w:t>
      </w:r>
    </w:p>
    <w:p>
      <w:pPr>
        <w:pStyle w:val="af1"/>
        <w:keepLines/>
        <w:widowControl/>
        <w:spacing w:after="0"/>
        <w:ind w:firstLine="0" w:left="0"/>
        <w:jc w:val="left"/>
      </w:pPr>
      <w:r>
        <w:t>[20] SKETCHSOFT. Feather documentation: Interface[EB/OL]. [2026-10-30]. https://support.feather.art/docs/interfaceandgestures/interface.</w:t>
      </w:r>
    </w:p>
    <w:p>
      <w:pPr>
        <w:pStyle w:val="af1"/>
        <w:keepLines/>
        <w:widowControl/>
        <w:spacing w:after="0"/>
        <w:ind w:firstLine="0" w:left="0"/>
        <w:jc w:val="left"/>
      </w:pPr>
      <w:r>
        <w:t>[21] SHIJIAZHUANG HUANCI NETWORK TECHNOLOGY CO., LTD. 画世界[EB/OL]. [2026-10-30]. https://apps.apple.com/cn/app/%E7%94%BB%E4%B8%96%E7%95%8C/id1450111327.</w:t>
      </w:r>
    </w:p>
    <w:sectPr w:rsidR="00387DC6" w:rsidSect="007C65D7">
      <w:headerReference w:type="default" r:id="rId27"/>
      <w:footerReference w:type="default" r:id="rId28"/>
      <w:pgSz w:w="11906" w:h="16838" w:code="9"/>
      <w:pgMar w:top="1985" w:right="1418" w:bottom="2268" w:left="1418" w:header="1418" w:footer="1701" w:gutter="284"/>
      <w:cols w:space="425"/>
      <w:docGrid w:linePitch="312"/>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5"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6"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w:t>
      </w:r>
      <w:r w:rsidR="0036339A" w:rsidRPr="0036339A">
        <w:rPr>
          <w:rFonts w:hint="eastAsia"/>
        </w:rPr>
        <w:t>非电脑输入姓名）。</w:t>
      </w:r>
    </w:p>
  </w:comment>
  <w:comment w:id="7"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w:t>
      </w:r>
      <w:proofErr w:type="gramStart"/>
      <w:r w:rsidRPr="005C77E5">
        <w:rPr>
          <w:rFonts w:hint="eastAsia"/>
        </w:rPr>
        <w:t>应勾选“内部论文”</w:t>
      </w:r>
      <w:proofErr w:type="gramEnd"/>
      <w:r w:rsidRPr="005C77E5">
        <w:rPr>
          <w:rFonts w:hint="eastAsia"/>
        </w:rPr>
        <w:t>。</w:t>
      </w:r>
    </w:p>
  </w:comment>
  <w:comment w:id="8"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9"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w:t>
      </w:r>
      <w:r w:rsidRPr="0036339A">
        <w:rPr>
          <w:rFonts w:hint="eastAsia"/>
        </w:rPr>
        <w:t>非电脑输入姓名）。</w:t>
      </w:r>
    </w:p>
  </w:comment>
  <w:comment w:id="10"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1"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2" w:author="作者" w:date="2023-11-08T08:30:00Z" w:initials="v">
    <w:p w14:paraId="5387C1FE" w14:textId="00332312" w:rsidR="00A143E9" w:rsidRDefault="00A143E9">
      <w:pPr>
        <w:pStyle w:val="af4"/>
      </w:pPr>
      <w:r>
        <w:rPr>
          <w:rStyle w:val="af3"/>
        </w:rPr>
        <w:annotationRef/>
      </w:r>
      <w:r w:rsidR="00DD69DC">
        <w:rPr>
          <w:rStyle w:val="af3"/>
        </w:rPr>
        <w:annotationRef/>
      </w:r>
      <w:proofErr w:type="gramStart"/>
      <w:r w:rsidR="00DB0379">
        <w:rPr>
          <w:rFonts w:hint="eastAsia"/>
        </w:rPr>
        <w:t>段前空</w:t>
      </w:r>
      <w:proofErr w:type="gramEnd"/>
      <w:r w:rsidR="00DB0379">
        <w:rPr>
          <w:rFonts w:hint="eastAsia"/>
        </w:rPr>
        <w:t>一行，</w:t>
      </w:r>
      <w:r w:rsidR="00DD69DC">
        <w:rPr>
          <w:rFonts w:hint="eastAsia"/>
        </w:rPr>
        <w:t>“关键词”三个字加粗。</w:t>
      </w:r>
    </w:p>
  </w:comment>
  <w:comment w:id="13"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4"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14:textId="1C695A8F" w:rsidR="009A7850" w:rsidRDefault="009A7850">
      <w:pPr>
        <w:pStyle w:val="af4"/>
      </w:pPr>
      <w:r>
        <w:rPr>
          <w:rStyle w:val="af3"/>
        </w:rPr>
        <w:annotationRef/>
      </w:r>
      <w:proofErr w:type="gramStart"/>
      <w:r w:rsidR="00DB0379">
        <w:rPr>
          <w:rFonts w:hint="eastAsia"/>
        </w:rPr>
        <w:t>段前空</w:t>
      </w:r>
      <w:proofErr w:type="gramEnd"/>
      <w:r w:rsidR="00DB0379">
        <w:rPr>
          <w:rFonts w:hint="eastAsia"/>
        </w:rPr>
        <w:t>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6"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w:t>
      </w:r>
      <w:proofErr w:type="gramStart"/>
      <w:r w:rsidR="004C20C5">
        <w:rPr>
          <w:rFonts w:hint="eastAsia"/>
        </w:rPr>
        <w:t>段前</w:t>
      </w:r>
      <w:r w:rsidR="009C6946">
        <w:t>6</w:t>
      </w:r>
      <w:r w:rsidR="004C20C5">
        <w:rPr>
          <w:rFonts w:hint="eastAsia"/>
        </w:rPr>
        <w:t>磅</w:t>
      </w:r>
      <w:proofErr w:type="gramEnd"/>
      <w:r w:rsidR="004C20C5">
        <w:rPr>
          <w:rFonts w:hint="eastAsia"/>
        </w:rPr>
        <w:t>，页码右对齐。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8"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9"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w:t>
      </w:r>
      <w:proofErr w:type="gramStart"/>
      <w:r w:rsidRPr="00E0363D">
        <w:rPr>
          <w:rFonts w:hint="eastAsia"/>
        </w:rPr>
        <w:t>段前</w:t>
      </w:r>
      <w:r w:rsidRPr="00E0363D">
        <w:rPr>
          <w:rFonts w:hint="eastAsia"/>
        </w:rPr>
        <w:t>24</w:t>
      </w:r>
      <w:r w:rsidRPr="00E0363D">
        <w:rPr>
          <w:rFonts w:hint="eastAsia"/>
        </w:rPr>
        <w:t>磅</w:t>
      </w:r>
      <w:proofErr w:type="gramEnd"/>
      <w:r w:rsidRPr="00E0363D">
        <w:rPr>
          <w:rFonts w:hint="eastAsia"/>
        </w:rPr>
        <w:t>，段后</w:t>
      </w:r>
      <w:r w:rsidRPr="00E0363D">
        <w:rPr>
          <w:rFonts w:hint="eastAsia"/>
        </w:rPr>
        <w:t>18</w:t>
      </w:r>
      <w:r w:rsidRPr="00E0363D">
        <w:rPr>
          <w:rFonts w:hint="eastAsia"/>
        </w:rPr>
        <w:t>磅，序号与</w:t>
      </w:r>
      <w:proofErr w:type="gramStart"/>
      <w:r w:rsidRPr="00E0363D">
        <w:rPr>
          <w:rFonts w:hint="eastAsia"/>
        </w:rPr>
        <w:t>标题间空一个</w:t>
      </w:r>
      <w:proofErr w:type="gramEnd"/>
      <w:r w:rsidRPr="00E0363D">
        <w:rPr>
          <w:rFonts w:hint="eastAsia"/>
        </w:rPr>
        <w:t>字符。</w:t>
      </w:r>
    </w:p>
  </w:comment>
  <w:comment w:id="21"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w:t>
      </w:r>
      <w:proofErr w:type="gramStart"/>
      <w:r w:rsidR="008D7777" w:rsidRPr="008D7777">
        <w:rPr>
          <w:rFonts w:hint="eastAsia"/>
        </w:rPr>
        <w:t>段前</w:t>
      </w:r>
      <w:r w:rsidR="008D7777" w:rsidRPr="008D7777">
        <w:rPr>
          <w:rFonts w:hint="eastAsia"/>
        </w:rPr>
        <w:t>24</w:t>
      </w:r>
      <w:r w:rsidR="008D7777" w:rsidRPr="008D7777">
        <w:rPr>
          <w:rFonts w:hint="eastAsia"/>
        </w:rPr>
        <w:t>磅</w:t>
      </w:r>
      <w:proofErr w:type="gramEnd"/>
      <w:r w:rsidR="008D7777" w:rsidRPr="008D7777">
        <w:rPr>
          <w:rFonts w:hint="eastAsia"/>
        </w:rPr>
        <w:t>，段后</w:t>
      </w:r>
      <w:r w:rsidR="008D7777" w:rsidRPr="008D7777">
        <w:rPr>
          <w:rFonts w:hint="eastAsia"/>
        </w:rPr>
        <w:t>6</w:t>
      </w:r>
      <w:r w:rsidR="008D7777" w:rsidRPr="008D7777">
        <w:rPr>
          <w:rFonts w:hint="eastAsia"/>
        </w:rPr>
        <w:t>磅，序号与</w:t>
      </w:r>
      <w:proofErr w:type="gramStart"/>
      <w:r w:rsidR="008D7777" w:rsidRPr="008D7777">
        <w:rPr>
          <w:rFonts w:hint="eastAsia"/>
        </w:rPr>
        <w:t>标题间空一个</w:t>
      </w:r>
      <w:proofErr w:type="gramEnd"/>
      <w:r w:rsidR="008D7777" w:rsidRPr="008D7777">
        <w:rPr>
          <w:rFonts w:hint="eastAsia"/>
        </w:rPr>
        <w:t>字符。</w:t>
      </w:r>
    </w:p>
  </w:comment>
  <w:comment w:id="23"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w:t>
      </w:r>
      <w:proofErr w:type="gramStart"/>
      <w:r w:rsidR="005C38AF" w:rsidRPr="004F4EA5">
        <w:rPr>
          <w:rFonts w:hint="eastAsia"/>
        </w:rPr>
        <w:t>段前</w:t>
      </w:r>
      <w:r w:rsidR="005C38AF">
        <w:t>12</w:t>
      </w:r>
      <w:r w:rsidR="005C38AF" w:rsidRPr="004F4EA5">
        <w:rPr>
          <w:rFonts w:hint="eastAsia"/>
        </w:rPr>
        <w:t>磅</w:t>
      </w:r>
      <w:proofErr w:type="gramEnd"/>
      <w:r w:rsidR="005C38AF" w:rsidRPr="004F4EA5">
        <w:rPr>
          <w:rFonts w:hint="eastAsia"/>
        </w:rPr>
        <w:t>，段后</w:t>
      </w:r>
      <w:r w:rsidR="005C38AF" w:rsidRPr="004F4EA5">
        <w:rPr>
          <w:rFonts w:hint="eastAsia"/>
        </w:rPr>
        <w:t>6</w:t>
      </w:r>
      <w:r w:rsidR="005C38AF" w:rsidRPr="004F4EA5">
        <w:rPr>
          <w:rFonts w:hint="eastAsia"/>
        </w:rPr>
        <w:t>磅，序号与</w:t>
      </w:r>
      <w:proofErr w:type="gramStart"/>
      <w:r w:rsidR="005C38AF" w:rsidRPr="004F4EA5">
        <w:rPr>
          <w:rFonts w:hint="eastAsia"/>
        </w:rPr>
        <w:t>标题间空一个</w:t>
      </w:r>
      <w:proofErr w:type="gramEnd"/>
      <w:r w:rsidR="005C38AF" w:rsidRPr="004F4EA5">
        <w:rPr>
          <w:rFonts w:hint="eastAsia"/>
        </w:rPr>
        <w:t>汉字符。</w:t>
      </w:r>
    </w:p>
  </w:comment>
  <w:comment w:id="24"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w:t>
      </w:r>
      <w:proofErr w:type="gramStart"/>
      <w:r w:rsidR="008B086C" w:rsidRPr="004F4EA5">
        <w:rPr>
          <w:rFonts w:hint="eastAsia"/>
        </w:rPr>
        <w:t>段前</w:t>
      </w:r>
      <w:r w:rsidR="008B086C">
        <w:t>6</w:t>
      </w:r>
      <w:r w:rsidR="008B086C" w:rsidRPr="004F4EA5">
        <w:rPr>
          <w:rFonts w:hint="eastAsia"/>
        </w:rPr>
        <w:t>磅</w:t>
      </w:r>
      <w:proofErr w:type="gramEnd"/>
      <w:r w:rsidR="008B086C" w:rsidRPr="004F4EA5">
        <w:rPr>
          <w:rFonts w:hint="eastAsia"/>
        </w:rPr>
        <w:t>，段后</w:t>
      </w:r>
      <w:r w:rsidR="008B086C" w:rsidRPr="004F4EA5">
        <w:rPr>
          <w:rFonts w:hint="eastAsia"/>
        </w:rPr>
        <w:t>6</w:t>
      </w:r>
      <w:r w:rsidR="008B086C" w:rsidRPr="004F4EA5">
        <w:rPr>
          <w:rFonts w:hint="eastAsia"/>
        </w:rPr>
        <w:t>磅，序号与</w:t>
      </w:r>
      <w:proofErr w:type="gramStart"/>
      <w:r w:rsidR="008B086C" w:rsidRPr="004F4EA5">
        <w:rPr>
          <w:rFonts w:hint="eastAsia"/>
        </w:rPr>
        <w:t>标题间空一个</w:t>
      </w:r>
      <w:proofErr w:type="gramEnd"/>
      <w:r w:rsidR="008B086C" w:rsidRPr="004F4EA5">
        <w:rPr>
          <w:rFonts w:hint="eastAsia"/>
        </w:rPr>
        <w:t>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8"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1"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2"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40"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3"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4" w:author="作者" w:date="2023-11-08T08:58:00Z" w:initials="v">
    <w:p w14:paraId="66832AA6" w14:textId="2F0CB993" w:rsidR="00D63519" w:rsidRDefault="00D63519">
      <w:pPr>
        <w:pStyle w:val="af4"/>
      </w:pPr>
      <w:r>
        <w:rPr>
          <w:rStyle w:val="af3"/>
        </w:rPr>
        <w:annotationRef/>
      </w:r>
      <w:r w:rsidR="00ED3785">
        <w:rPr>
          <w:rFonts w:hint="eastAsia"/>
        </w:rPr>
        <w:t>表注：</w:t>
      </w:r>
      <w:proofErr w:type="gramStart"/>
      <w:r>
        <w:rPr>
          <w:rFonts w:hint="eastAsia"/>
        </w:rPr>
        <w:t>表</w:t>
      </w:r>
      <w:r w:rsidRPr="00A12497">
        <w:rPr>
          <w:rFonts w:hint="eastAsia"/>
        </w:rPr>
        <w:t>题置于</w:t>
      </w:r>
      <w:proofErr w:type="gramEnd"/>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w:t>
      </w:r>
      <w:proofErr w:type="gramStart"/>
      <w:r w:rsidRPr="00A12497">
        <w:rPr>
          <w:rFonts w:hint="eastAsia"/>
        </w:rPr>
        <w:t>及</w:t>
      </w:r>
      <w:r>
        <w:rPr>
          <w:rFonts w:hint="eastAsia"/>
        </w:rPr>
        <w:t>表</w:t>
      </w:r>
      <w:r w:rsidRPr="00A12497">
        <w:rPr>
          <w:rFonts w:hint="eastAsia"/>
        </w:rPr>
        <w:t>题置于</w:t>
      </w:r>
      <w:proofErr w:type="gramEnd"/>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w:t>
      </w:r>
      <w:proofErr w:type="gramStart"/>
      <w:r w:rsidRPr="00ED3785">
        <w:rPr>
          <w:rFonts w:hint="eastAsia"/>
        </w:rPr>
        <w:t>三线表</w:t>
      </w:r>
      <w:proofErr w:type="gramEnd"/>
      <w:r w:rsidRPr="00ED3785">
        <w:rPr>
          <w:rFonts w:hint="eastAsia"/>
        </w:rPr>
        <w:t>形式。</w:t>
      </w:r>
    </w:p>
  </w:comment>
  <w:comment w:id="46"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w:t>
      </w:r>
      <w:proofErr w:type="gramStart"/>
      <w:r w:rsidR="00783C2D" w:rsidRPr="00783C2D">
        <w:rPr>
          <w:rFonts w:hint="eastAsia"/>
        </w:rPr>
        <w:t>括</w:t>
      </w:r>
      <w:proofErr w:type="gramEnd"/>
      <w:r w:rsidR="00783C2D" w:rsidRPr="00783C2D">
        <w:rPr>
          <w:rFonts w:hint="eastAsia"/>
        </w:rPr>
        <w:t>起来写在右边行末，其间不加虚线。</w:t>
      </w:r>
    </w:p>
  </w:comment>
  <w:comment w:id="48"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0"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2"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4"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6"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proofErr w:type="gramStart"/>
      <w:r w:rsidR="0066244F" w:rsidRPr="0066244F">
        <w:rPr>
          <w:rFonts w:hint="eastAsia"/>
        </w:rPr>
        <w:t>段前</w:t>
      </w:r>
      <w:r w:rsidR="0066244F">
        <w:t>0</w:t>
      </w:r>
      <w:r w:rsidR="0066244F" w:rsidRPr="0066244F">
        <w:rPr>
          <w:rFonts w:hint="eastAsia"/>
        </w:rPr>
        <w:t>磅</w:t>
      </w:r>
      <w:proofErr w:type="gramEnd"/>
      <w:r w:rsidR="0066244F" w:rsidRPr="0066244F">
        <w:rPr>
          <w:rFonts w:hint="eastAsia"/>
        </w:rPr>
        <w:t>，段后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8"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0"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2"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406B3" w14:textId="77777777" w:rsidR="001419EE" w:rsidRDefault="001419EE" w:rsidP="00522E80">
      <w:r>
        <w:separator/>
      </w:r>
    </w:p>
  </w:endnote>
  <w:endnote w:type="continuationSeparator" w:id="0">
    <w:p w14:paraId="00FAB223" w14:textId="77777777" w:rsidR="001419EE" w:rsidRDefault="001419EE"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8"/>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3861" w14:textId="77777777" w:rsidR="001419EE" w:rsidRDefault="001419EE" w:rsidP="00522E80">
      <w:r>
        <w:separator/>
      </w:r>
    </w:p>
  </w:footnote>
  <w:footnote w:type="continuationSeparator" w:id="0">
    <w:p w14:paraId="7DF447D6" w14:textId="77777777" w:rsidR="001419EE" w:rsidRDefault="001419EE"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485F" w14:textId="26A62548"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830430">
      <w:rPr>
        <w:rFonts w:hint="eastAsia"/>
        <w:noProof/>
      </w:rPr>
      <w:t>摘　要</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863" w14:textId="1A189848"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7C65D7">
      <w:ptab w:relativeTo="margin" w:alignment="right" w:leader="none"/>
    </w:r>
    <w:r w:rsidR="001419EE">
      <w:fldChar w:fldCharType="begin"/>
    </w:r>
    <w:r w:rsidR="001419EE">
      <w:instrText xml:space="preserve"> STYLEREF 1 \n </w:instrText>
    </w:r>
    <w:r w:rsidR="001419EE">
      <w:fldChar w:fldCharType="separate"/>
    </w:r>
    <w:r w:rsidR="00830430">
      <w:rPr>
        <w:rFonts w:hint="eastAsia"/>
        <w:noProof/>
      </w:rPr>
      <w:t>第</w:t>
    </w:r>
    <w:r w:rsidR="00830430">
      <w:rPr>
        <w:rFonts w:hint="eastAsia"/>
        <w:noProof/>
      </w:rPr>
      <w:t> 4 </w:t>
    </w:r>
    <w:r w:rsidR="00830430">
      <w:rPr>
        <w:rFonts w:hint="eastAsia"/>
        <w:noProof/>
      </w:rPr>
      <w:t xml:space="preserve">章　</w:t>
    </w:r>
    <w:r w:rsidR="001419EE">
      <w:rPr>
        <w:noProof/>
      </w:rPr>
      <w:fldChar w:fldCharType="end"/>
    </w:r>
    <w:r w:rsidR="001419EE">
      <w:fldChar w:fldCharType="begin"/>
    </w:r>
    <w:r w:rsidR="001419EE">
      <w:instrText xml:space="preserve"> STYLEREF 1 </w:instrText>
    </w:r>
    <w:r w:rsidR="001419EE">
      <w:fldChar w:fldCharType="separate"/>
    </w:r>
    <w:r w:rsidR="00830430">
      <w:rPr>
        <w:rFonts w:hint="eastAsia"/>
        <w:noProof/>
      </w:rPr>
      <w:t>全文总结</w:t>
    </w:r>
    <w:r w:rsidR="001419E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8653" w14:textId="264B17DC"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830430">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990E" w14:textId="49002B42"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830430">
      <w:rPr>
        <w:rFonts w:hint="eastAsia"/>
        <w:noProof/>
      </w:rPr>
      <w:t>附录</w:t>
    </w:r>
    <w:r w:rsidR="00830430">
      <w:rPr>
        <w:rFonts w:hint="eastAsia"/>
        <w:noProof/>
      </w:rPr>
      <w:t> A</w:t>
    </w:r>
    <w:r w:rsidR="00830430">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830430">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8CF" w14:textId="4782E403"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830430">
      <w:rPr>
        <w:rFonts w:hint="eastAsia"/>
        <w:noProof/>
      </w:rPr>
      <w:t>学术论文和科研成果目录</w:t>
    </w:r>
    <w:r w:rsidR="001F1700">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6"/>
      <w:tabs>
        <w:tab w:pos="8787" w:val="right"/>
      </w:tabs>
      <w:jc w:val="left"/>
    </w:pPr>
    <w:r>
      <w:t>上海交通大学硕士学位论文</w:t>
    </w:r>
    <w:r>
      <w:tab/>
      <w:t>第3章 协同绘画理论与设计原则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4"/>
  </w:num>
  <w:num w:numId="13">
    <w:abstractNumId w:val="14"/>
  </w:num>
  <w:num w:numId="14">
    <w:abstractNumId w:val="20"/>
  </w:num>
  <w:num w:numId="15">
    <w:abstractNumId w:val="21"/>
  </w:num>
  <w:num w:numId="16">
    <w:abstractNumId w:val="49"/>
  </w:num>
  <w:num w:numId="17">
    <w:abstractNumId w:val="26"/>
  </w:num>
  <w:num w:numId="18">
    <w:abstractNumId w:val="45"/>
  </w:num>
  <w:num w:numId="19">
    <w:abstractNumId w:val="19"/>
  </w:num>
  <w:num w:numId="20">
    <w:abstractNumId w:val="18"/>
  </w:num>
  <w:num w:numId="21">
    <w:abstractNumId w:val="40"/>
  </w:num>
  <w:num w:numId="22">
    <w:abstractNumId w:val="41"/>
  </w:num>
  <w:num w:numId="23">
    <w:abstractNumId w:val="36"/>
  </w:num>
  <w:num w:numId="24">
    <w:abstractNumId w:val="15"/>
  </w:num>
  <w:num w:numId="25">
    <w:abstractNumId w:val="42"/>
  </w:num>
  <w:num w:numId="26">
    <w:abstractNumId w:val="35"/>
  </w:num>
  <w:num w:numId="27">
    <w:abstractNumId w:val="30"/>
  </w:num>
  <w:num w:numId="28">
    <w:abstractNumId w:val="38"/>
  </w:num>
  <w:num w:numId="29">
    <w:abstractNumId w:val="27"/>
  </w:num>
  <w:num w:numId="30">
    <w:abstractNumId w:val="17"/>
  </w:num>
  <w:num w:numId="31">
    <w:abstractNumId w:val="10"/>
  </w:num>
  <w:num w:numId="32">
    <w:abstractNumId w:val="23"/>
  </w:num>
  <w:num w:numId="33">
    <w:abstractNumId w:val="33"/>
  </w:num>
  <w:num w:numId="34">
    <w:abstractNumId w:val="29"/>
  </w:num>
  <w:num w:numId="35">
    <w:abstractNumId w:val="31"/>
  </w:num>
  <w:num w:numId="36">
    <w:abstractNumId w:val="39"/>
  </w:num>
  <w:num w:numId="37">
    <w:abstractNumId w:val="47"/>
  </w:num>
  <w:num w:numId="38">
    <w:abstractNumId w:val="32"/>
  </w:num>
  <w:num w:numId="39">
    <w:abstractNumId w:val="48"/>
  </w:num>
  <w:num w:numId="40">
    <w:abstractNumId w:val="25"/>
  </w:num>
  <w:num w:numId="41">
    <w:abstractNumId w:val="43"/>
  </w:num>
  <w:num w:numId="42">
    <w:abstractNumId w:val="46"/>
  </w:num>
  <w:num w:numId="43">
    <w:abstractNumId w:val="13"/>
  </w:num>
  <w:num w:numId="44">
    <w:abstractNumId w:val="37"/>
  </w:num>
  <w:num w:numId="45">
    <w:abstractNumId w:val="34"/>
  </w:num>
  <w:num w:numId="46">
    <w:abstractNumId w:val="44"/>
  </w:num>
  <w:num w:numId="47">
    <w:abstractNumId w:val="12"/>
  </w:num>
  <w:num w:numId="48">
    <w:abstractNumId w:val="11"/>
  </w:num>
  <w:num w:numId="49">
    <w:abstractNumId w:val="28"/>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32AA4"/>
  <w15:chartTrackingRefBased/>
  <w15:docId w15:val="{EC29F375-45A8-4EDE-BA48-FF9D5E256C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rFonts w:ascii="Times New Roman" w:hAnsi="Times New Roman" w:eastAsia="宋体" w:cs="Times New Roman"/>
      <w:b w:val="0"/>
      <w:color w:val="000000"/>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imes New Roman" w:hAnsi="Times New Roman" w:eastAsia="黑体" w:cs="Times New Roman"/>
      <w:b/>
      <w:bCs/>
      <w:color w:val="000000"/>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imes New Roman" w:hAnsi="Times New Roman" w:eastAsia="黑体" w:cs="Times New Roman"/>
      <w:b/>
      <w:bCs/>
      <w:color w:val="000000"/>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imes New Roman" w:hAnsi="Times New Roman" w:eastAsia="黑体" w:cs="Times New Roman"/>
      <w:b/>
      <w:bCs/>
      <w:color w:val="000000"/>
      <w:sz w:val="24"/>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rPr>
      <w:rFonts w:ascii="Times New Roman" w:hAnsi="Times New Roman" w:eastAsia="宋体" w:cs="Times New Roman"/>
      <w:b w:val="0"/>
      <w:color w:val="000000"/>
      <w:sz w:val="24"/>
    </w:r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rFonts w:ascii="Times New Roman" w:hAnsi="Times New Roman" w:eastAsia="宋体" w:cs="Times New Roman"/>
      <w:b w:val="0"/>
      <w:color w:val="000000"/>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rFonts w:ascii="Times New Roman" w:hAnsi="Times New Roman" w:eastAsia="宋体" w:cs="Times New Roman"/>
      <w:b w:val="0"/>
      <w:color w:val="000000"/>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rPr>
      <w:rFonts w:ascii="Times New Roman" w:hAnsi="Times New Roman" w:eastAsia="宋体" w:cs="Times New Roman"/>
      <w:b w:val="0"/>
      <w:color w:val="000000"/>
      <w:sz w:val="21"/>
    </w:r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rPr>
      <w:rFonts w:ascii="Times New Roman" w:hAnsi="Times New Roman" w:eastAsia="宋体" w:cs="Times New Roman"/>
      <w:b w:val="0"/>
      <w:color w:val="000000"/>
      <w:sz w:val="21"/>
    </w:r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rFonts w:ascii="Times New Roman" w:hAnsi="Times New Roman" w:eastAsia="宋体" w:cs="Times New Roman"/>
      <w:b w:val="0"/>
      <w:color w:val="000000"/>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rFonts w:ascii="Times New Roman" w:hAnsi="Times New Roman" w:eastAsia="宋体" w:cs="Times New Roman"/>
      <w:b w:val="0"/>
      <w:color w:val="000000"/>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28" Type="http://schemas.openxmlformats.org/officeDocument/2006/relationships/footer" Target="footer3.xm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16</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面向表达支持的协同绘画理论与交互设计原则</dc:title>
  <dc:subject>外部认知 反思性实践 自我决定 协作分工 交互原则</dc:subject>
  <dc:creator/>
  <cp:keywords/>
  <dc:description/>
  <cp:lastModifiedBy/>
  <cp:revision>307</cp:revision>
  <dcterms:created xsi:type="dcterms:W3CDTF">2023-11-05T22:06:00Z</dcterms:created>
  <dcterms:modified xsi:type="dcterms:W3CDTF">2024-06-30T02:42:00Z</dcterms:modified>
</cp:coreProperties>
</file>