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2.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0"/>
        <w:numPr>
          <w:numId w:val="0"/>
        </w:numPr>
      </w:pPr>
      <w:r>
        <w:t>第2章 非绘画专业者的创作表达需求与阻力研究</w:t>
      </w:r>
    </w:p>
    <w:p>
      <w:pPr>
        <w:pStyle w:val="a2"/>
        <w:widowControl/>
        <w:ind w:firstLineChars="200" w:firstLine="480"/>
      </w:pPr>
      <w:r>
        <w:t>稿件说明：本章为研究准备稿。现阶段尚无可供分析的本项目真实访谈与任务观察记录，以下将研究方案、文献归纳和产品资料分析分别表述，不报告受访者原话、行为统计或已完成的用户研究结论。访谈实施后，应依据原始材料修订用户画像、需求及机会点。</w:t>
      </w:r>
    </w:p>
    <w:p>
      <w:pPr>
        <w:pStyle w:val="a2"/>
        <w:widowControl/>
        <w:ind w:firstLineChars="200" w:firstLine="480"/>
      </w:pPr>
      <w:r>
        <w:t>创作表达工具能否提供帮助，取决于使用者想表达什么，以及困难发生在哪里。Frich等对创意支持工具的梳理表明，这类工具的对象、活动和评价方式具有差异</w:t>
      </w:r>
      <w:r>
        <w:rPr>
          <w:sz w:val="18"/>
          <w:vertAlign w:val="superscript"/>
        </w:rPr>
        <w:t>⁠[1]</w:t>
      </w:r>
      <w:r>
        <w:t>。因此，工具具备自动绘制能力，并不足以说明它回应了用户需要。本章围绕RQ1，界定需求核查对象与方法，建立表达需要和创作阻力的分析维度，并从绘画产品中比较可供研究的交互组织方式，为下一章讨论设计依据提供问题范围。</w:t>
      </w:r>
    </w:p>
    <w:p>
      <w:pPr>
        <w:pStyle w:val="20"/>
        <w:numPr>
          <w:numId w:val="0"/>
        </w:numPr>
      </w:pPr>
      <w:r>
        <w:t>2.1 研究对象与需求核查方法</w:t>
      </w:r>
    </w:p>
    <w:p>
      <w:pPr>
        <w:pStyle w:val="30"/>
        <w:numPr>
          <w:numId w:val="0"/>
        </w:numPr>
      </w:pPr>
      <w:r>
        <w:t>2.1.1 目标用户与表达场景</w:t>
      </w:r>
    </w:p>
    <w:p>
      <w:pPr>
        <w:pStyle w:val="a2"/>
        <w:widowControl/>
        <w:ind w:firstLineChars="200" w:firstLine="480"/>
      </w:pPr>
      <w:r>
        <w:t>本研究关注未以绘画为专业训练或职业实践、对视觉表达具有兴趣的使用者。非绘画专业者并不等于完全没有绘画经验：有人接触过纸笔速写，有人擅长照片编辑，也有人了解数字图层却难以控制线条。招募时应记录近期练习频率、典型作品、常用设备和具体工具经验，结合简短操作了解其熟练度，避免只依靠“新手”的自我判断。具有表达愿望者也不必事先认可自动绘画。</w:t>
      </w:r>
    </w:p>
    <w:p>
      <w:pPr>
        <w:pStyle w:val="a2"/>
        <w:widowControl/>
        <w:ind w:firstLineChars="200" w:firstLine="480"/>
      </w:pPr>
      <w:r>
        <w:t>表达场景主要涉及生活记录、情绪抒发、个人装饰和对已有图像的再解释。Ayobi等从纸质子弹日记的公开图像及交流内容中讨论了记录形式与个人意义之间的关系</w:t>
      </w:r>
      <w:r>
        <w:rPr>
          <w:sz w:val="18"/>
          <w:vertAlign w:val="superscript"/>
        </w:rPr>
        <w:t>⁠[2]</w:t>
      </w:r>
      <w:r>
        <w:t>。这一研究为关注日常记录提供参照，但不能替代本项目的用户材料。访谈应追问近期一次记录行为及其对象、目的和去向，将“热爱生活”转化为可讨论的经历，而不把它设为人格评分或道德筛选条件。</w:t>
      </w:r>
    </w:p>
    <w:p>
      <w:pPr>
        <w:pStyle w:val="a2"/>
        <w:widowControl/>
        <w:ind w:firstLineChars="200" w:firstLine="480"/>
      </w:pPr>
      <w:r>
        <w:t>拟招募十名参与者，其中成年男性与成年女性各三名，未成年男孩与女孩各两名，分层安排见表2.1。成年人以约28岁为招募参照；未成年人须逐一登记实际年龄与年级，不能沿用成人年龄描述。人数用于安排探索性研究，不代表样本已完成，也不构成主题饱和或总体代表性的证明。</w:t>
      </w:r>
    </w:p>
    <w:p>
      <w:pPr>
        <w:pStyle w:val="aa"/>
        <w:keepNext/>
        <w:keepLines/>
        <w:spacing w:before="0" w:after="0" w:line="300" w:lineRule="atLeast"/>
        <w:ind w:firstLine="0"/>
        <w:jc w:val="center"/>
      </w:pPr>
      <w:r>
        <w:t>表2.1  拟招募对象与背景记录范围</w:t>
      </w:r>
    </w:p>
    <w:p>
      <w:pPr>
        <w:pStyle w:val="ad"/>
        <w:keepNext/>
        <w:keepLines/>
        <w:spacing w:before="0" w:after="0" w:line="300" w:lineRule="atLeast"/>
        <w:ind w:firstLine="0"/>
        <w:jc w:val="center"/>
      </w:pPr>
      <w:r>
        <w:t>Table 2.1  Planned recruitment groups and background records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361"/>
        <w:gridCol w:w="1417"/>
        <w:gridCol w:w="3005"/>
        <w:gridCol w:w="3005"/>
      </w:tblGrid>
      <w:tr>
        <w:trPr>
          <w:cantSplit/>
          <w:tblHeader/>
        </w:trPr>
        <w:tc>
          <w:tcPr>
            <w:tcW w:type="dxa" w:w="136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对象层次</w:t>
            </w:r>
          </w:p>
        </w:tc>
        <w:tc>
          <w:tcPr>
            <w:tcW w:type="dxa" w:w="1417"/>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计划人数</w:t>
            </w:r>
          </w:p>
        </w:tc>
        <w:tc>
          <w:tcPr>
            <w:tcW w:type="dxa" w:w="300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需记录的信息</w:t>
            </w:r>
          </w:p>
        </w:tc>
        <w:tc>
          <w:tcPr>
            <w:tcW w:type="dxa" w:w="3005"/>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分析边界</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成年人</w:t>
            </w:r>
          </w:p>
        </w:tc>
        <w:tc>
          <w:tcPr>
            <w:tcW w:type="dxa" w:w="1417"/>
            <w:vAlign w:val="center"/>
            <w:tcMar>
              <w:top w:w="85" w:type="dxa"/>
              <w:bottom w:w="85" w:type="dxa"/>
              <w:left w:w="80" w:type="dxa"/>
              <w:right w:w="80" w:type="dxa"/>
            </w:tcMar>
          </w:tcPr>
          <w:p>
            <w:pPr>
              <w:pStyle w:val="af"/>
              <w:keepNext/>
              <w:spacing w:before="0" w:after="0" w:line="300" w:lineRule="atLeast"/>
              <w:ind w:firstLine="0"/>
              <w:jc w:val="left"/>
            </w:pPr>
            <w:r>
              <w:rPr>
                <w:b w:val="0"/>
              </w:rPr>
              <w:t>6人</w:t>
              <w:br/>
              <w:t>男性、女性各3人</w:t>
            </w:r>
          </w:p>
        </w:tc>
        <w:tc>
          <w:tcPr>
            <w:tcW w:type="dxa" w:w="3005"/>
            <w:vAlign w:val="center"/>
            <w:tcMar>
              <w:top w:w="85" w:type="dxa"/>
              <w:bottom w:w="85" w:type="dxa"/>
              <w:left w:w="80" w:type="dxa"/>
              <w:right w:w="80" w:type="dxa"/>
            </w:tcMar>
          </w:tcPr>
          <w:p>
            <w:pPr>
              <w:pStyle w:val="af"/>
              <w:keepNext/>
              <w:spacing w:before="0" w:after="0" w:line="300" w:lineRule="atLeast"/>
              <w:ind w:firstLine="0"/>
              <w:jc w:val="left"/>
            </w:pPr>
            <w:r>
              <w:rPr>
                <w:b w:val="0"/>
              </w:rPr>
              <w:t>实际年龄、职业、绘画练习、数字工具及设备经验</w:t>
            </w:r>
          </w:p>
        </w:tc>
        <w:tc>
          <w:tcPr>
            <w:tcW w:type="dxa" w:w="3005"/>
            <w:vAlign w:val="center"/>
            <w:tcMar>
              <w:top w:w="85" w:type="dxa"/>
              <w:bottom w:w="85" w:type="dxa"/>
              <w:left w:w="80" w:type="dxa"/>
              <w:right w:w="80" w:type="dxa"/>
            </w:tcMar>
          </w:tcPr>
          <w:p>
            <w:pPr>
              <w:pStyle w:val="af"/>
              <w:keepNext/>
              <w:spacing w:before="0" w:after="0" w:line="300" w:lineRule="atLeast"/>
              <w:ind w:firstLine="0"/>
              <w:jc w:val="left"/>
            </w:pPr>
            <w:r>
              <w:rPr>
                <w:b w:val="0"/>
              </w:rPr>
              <w:t>保留职业与熟练度差异，不据性别推定偏好</w:t>
            </w:r>
          </w:p>
        </w:tc>
      </w:tr>
      <w:tr>
        <w:trPr>
          <w:cantSplit/>
        </w:trPr>
        <w:tc>
          <w:tcPr>
            <w:tcW w:type="dxa" w:w="1361"/>
            <w:vAlign w:val="center"/>
            <w:tcMar>
              <w:top w:w="85" w:type="dxa"/>
              <w:bottom w:w="85" w:type="dxa"/>
              <w:left w:w="80" w:type="dxa"/>
              <w:right w:w="80" w:type="dxa"/>
            </w:tcMar>
          </w:tcPr>
          <w:p>
            <w:pPr>
              <w:pStyle w:val="af"/>
              <w:keepNext/>
              <w:spacing w:before="0" w:after="0" w:line="300" w:lineRule="atLeast"/>
              <w:ind w:firstLine="0"/>
              <w:jc w:val="left"/>
            </w:pPr>
            <w:r>
              <w:rPr>
                <w:b w:val="0"/>
              </w:rPr>
              <w:t>未成年人</w:t>
            </w:r>
          </w:p>
        </w:tc>
        <w:tc>
          <w:tcPr>
            <w:tcW w:type="dxa" w:w="1417"/>
            <w:vAlign w:val="center"/>
            <w:tcMar>
              <w:top w:w="85" w:type="dxa"/>
              <w:bottom w:w="85" w:type="dxa"/>
              <w:left w:w="80" w:type="dxa"/>
              <w:right w:w="80" w:type="dxa"/>
            </w:tcMar>
          </w:tcPr>
          <w:p>
            <w:pPr>
              <w:pStyle w:val="af"/>
              <w:keepNext/>
              <w:spacing w:before="0" w:after="0" w:line="300" w:lineRule="atLeast"/>
              <w:ind w:firstLine="0"/>
              <w:jc w:val="left"/>
            </w:pPr>
            <w:r>
              <w:rPr>
                <w:b w:val="0"/>
              </w:rPr>
              <w:t>4人</w:t>
              <w:br/>
              <w:t>男孩、女孩各2人</w:t>
            </w:r>
          </w:p>
        </w:tc>
        <w:tc>
          <w:tcPr>
            <w:tcW w:type="dxa" w:w="3005"/>
            <w:vAlign w:val="center"/>
            <w:tcMar>
              <w:top w:w="85" w:type="dxa"/>
              <w:bottom w:w="85" w:type="dxa"/>
              <w:left w:w="80" w:type="dxa"/>
              <w:right w:w="80" w:type="dxa"/>
            </w:tcMar>
          </w:tcPr>
          <w:p>
            <w:pPr>
              <w:pStyle w:val="af"/>
              <w:keepNext/>
              <w:spacing w:before="0" w:after="0" w:line="300" w:lineRule="atLeast"/>
              <w:ind w:firstLine="0"/>
              <w:jc w:val="left"/>
            </w:pPr>
            <w:r>
              <w:rPr>
                <w:b w:val="0"/>
              </w:rPr>
              <w:t>逐人年龄、年级、课外绘画经历、设备接触及监护安排</w:t>
            </w:r>
          </w:p>
        </w:tc>
        <w:tc>
          <w:tcPr>
            <w:tcW w:type="dxa" w:w="3005"/>
            <w:vAlign w:val="center"/>
            <w:tcMar>
              <w:top w:w="85" w:type="dxa"/>
              <w:bottom w:w="85" w:type="dxa"/>
              <w:left w:w="80" w:type="dxa"/>
              <w:right w:w="80" w:type="dxa"/>
            </w:tcMar>
          </w:tcPr>
          <w:p>
            <w:pPr>
              <w:pStyle w:val="af"/>
              <w:keepNext/>
              <w:spacing w:before="0" w:after="0" w:line="300" w:lineRule="atLeast"/>
              <w:ind w:firstLine="0"/>
              <w:jc w:val="left"/>
            </w:pPr>
            <w:r>
              <w:rPr>
                <w:b w:val="0"/>
              </w:rPr>
              <w:t>单独分析表达方式与操作理解，不与成人简单合并</w:t>
            </w:r>
          </w:p>
        </w:tc>
      </w:tr>
    </w:tbl>
    <w:p>
      <w:pPr>
        <w:keepLines/>
        <w:spacing w:line="260" w:lineRule="atLeast" w:before="60" w:after="120"/>
        <w:ind w:firstLine="0"/>
      </w:pPr>
      <w:r>
        <w:rPr>
          <w:sz w:val="19"/>
        </w:rPr>
        <w:t>来源：作者拟定的招募方案，非已完成样本统计。</w:t>
      </w:r>
    </w:p>
    <w:p>
      <w:pPr>
        <w:pStyle w:val="30"/>
        <w:numPr>
          <w:numId w:val="0"/>
        </w:numPr>
      </w:pPr>
      <w:r>
        <w:t>2.1.2 访谈与任务观察设计</w:t>
      </w:r>
    </w:p>
    <w:p>
      <w:pPr>
        <w:pStyle w:val="a2"/>
        <w:widowControl/>
        <w:ind w:firstLineChars="200" w:firstLine="480"/>
      </w:pPr>
      <w:r>
        <w:t>需求核查拟采用半结构式访谈与任务观察相结合的方法。PromptPaint研究将使用经验调查、创作操作、问卷与访谈结合，考察使用者对控制和探索的理解</w:t>
      </w:r>
      <w:r>
        <w:rPr>
          <w:sz w:val="18"/>
          <w:vertAlign w:val="superscript"/>
        </w:rPr>
        <w:t>⁠[3]</w:t>
      </w:r>
      <w:r>
        <w:t>。本文借鉴多种材料相互参照的做法，研究对象与技术机制则另行界定。由于现有原型已形成，本次工作属于既有方案背景下的需求再核查，不能将后续收集的意见写成最初设计的历史依据。</w:t>
      </w:r>
    </w:p>
    <w:p>
      <w:pPr>
        <w:pStyle w:val="a2"/>
        <w:widowControl/>
        <w:ind w:firstLineChars="200" w:firstLine="480"/>
      </w:pPr>
      <w:r>
        <w:t>研究按图2.1分阶段展开。取得知情同意后，先以10—15分钟回顾近期真实表达经历，讨论已经采用的照片、文字、拼贴或绘画方法。随后进行约15—20分钟的普通数字画布开放表达任务，主题由参与者从自己的生活经历中选择；研究者只介绍必要操作，不提供本产品的素材编排方式。任务前记录希望保留的内容，任务中允许调整目标并说明原因。全过程记录操作、停顿、求助及放弃行为，结束后结合过程回顾，核对当时想法。上述时长为实施安排，须经预试调整。</w:t>
      </w:r>
    </w:p>
    <w:p>
      <w:pPr>
        <w:pStyle w:val="a2"/>
        <w:widowControl/>
        <w:ind w:firstLineChars="200" w:firstLine="480"/>
      </w:pPr>
      <w:r>
        <w:t>对未成年人采用更短的提问和分段休息，使用其能够理解的词语，不把成人问卷直接用于儿童。Newman等的儿童共创研究关注儿童如何理解和影响工具输出，为分龄组织活动提供方法参照</w:t>
      </w:r>
      <w:r>
        <w:rPr>
          <w:sz w:val="18"/>
          <w:vertAlign w:val="superscript"/>
        </w:rPr>
        <w:t>⁠[4]</w:t>
      </w:r>
      <w:r>
        <w:t>。本项目须同时取得监护人知情同意与儿童本人同意，允许随时停止；监护人协助与研究者提示分别记录。此部分属于探索性需求材料，不自动扩展后续成人对照实验的样本范围。</w:t>
      </w:r>
    </w:p>
    <w:p>
      <w:pPr>
        <w:pStyle w:val="a2"/>
        <w:widowControl/>
        <w:ind w:firstLineChars="200" w:firstLine="480"/>
      </w:pPr>
      <w:r>
        <w:t>普通画布任务及回顾结束后，再介绍产品。产品介绍后的期待、尝试和评价另行归档，以免功能演示改变先前需求的解释。访谈提纲见表2.2，问题由经历逐步进入辅助边界，避免先问“是否需要AI帮忙画”。录屏、录音和作品分别征得许可，照片由参与者自主提供并可替换；资料采用编号保存，个人身份信息与分析文本分开管理。</w:t>
      </w:r>
    </w:p>
    <w:p>
      <w:pPr>
        <w:keepNext/>
        <w:spacing w:before="120" w:after="60" w:line="240" w:lineRule="auto"/>
        <w:ind w:firstLine="0"/>
        <w:jc w:val="center"/>
      </w:pPr>
      <w:r>
        <w:drawing>
          <wp:inline xmlns:a="http://schemas.openxmlformats.org/drawingml/2006/main" xmlns:pic="http://schemas.openxmlformats.org/drawingml/2006/picture">
            <wp:extent cx="5580000" cy="2970000"/>
            <wp:docPr id="1" name="Picture 1" descr="需求核查的阶段安排与材料分离。来源：作者绘制。研究方法参照文献，流程为本项目拟开展的需求核查安排。"/>
            <wp:cNvGraphicFramePr>
              <a:graphicFrameLocks noChangeAspect="1"/>
            </wp:cNvGraphicFramePr>
            <a:graphic>
              <a:graphicData uri="http://schemas.openxmlformats.org/drawingml/2006/picture">
                <pic:pic>
                  <pic:nvPicPr>
                    <pic:cNvPr id="0" name="需求核查流程图.png"/>
                    <pic:cNvPicPr/>
                  </pic:nvPicPr>
                  <pic:blipFill>
                    <a:blip r:embed="rId29"/>
                    <a:stretch>
                      <a:fillRect/>
                    </a:stretch>
                  </pic:blipFill>
                  <pic:spPr>
                    <a:xfrm>
                      <a:off x="0" y="0"/>
                      <a:ext cx="5580000" cy="2970000"/>
                    </a:xfrm>
                    <a:prstGeom prst="rect"/>
                  </pic:spPr>
                </pic:pic>
              </a:graphicData>
            </a:graphic>
          </wp:inline>
        </w:drawing>
      </w:r>
    </w:p>
    <w:p>
      <w:pPr>
        <w:pStyle w:val="aa"/>
        <w:keepNext/>
        <w:keepLines/>
        <w:spacing w:before="0" w:after="0" w:line="300" w:lineRule="atLeast"/>
        <w:ind w:firstLine="0"/>
        <w:jc w:val="center"/>
      </w:pPr>
      <w:r>
        <w:t>图2.1  需求核查的阶段安排与材料分离</w:t>
      </w:r>
    </w:p>
    <w:p>
      <w:pPr>
        <w:pStyle w:val="ad"/>
        <w:keepNext/>
        <w:keepLines/>
        <w:spacing w:before="0" w:after="0" w:line="300" w:lineRule="atLeast"/>
        <w:ind w:firstLine="0"/>
        <w:jc w:val="center"/>
      </w:pPr>
      <w:r>
        <w:t>Figure 2.1  Planned stages and separation of research materials</w:t>
      </w:r>
    </w:p>
    <w:p>
      <w:pPr>
        <w:keepLines/>
        <w:spacing w:line="260" w:lineRule="atLeast" w:before="60" w:after="120"/>
        <w:ind w:firstLine="0"/>
      </w:pPr>
      <w:r>
        <w:rPr>
          <w:sz w:val="19"/>
        </w:rPr>
        <w:t>来源：作者绘制。研究方法参照文献</w:t>
      </w:r>
      <w:r>
        <w:rPr>
          <w:sz w:val="18"/>
          <w:vertAlign w:val="superscript"/>
        </w:rPr>
        <w:t>⁠[3—4]</w:t>
      </w:r>
      <w:r>
        <w:rPr>
          <w:sz w:val="19"/>
        </w:rPr>
        <w:t>，流程为本项目拟开展的需求核查安排。</w:t>
      </w:r>
    </w:p>
    <w:p>
      <w:pPr>
        <w:pStyle w:val="aa"/>
        <w:keepNext/>
        <w:keepLines/>
        <w:spacing w:before="0" w:after="0" w:line="300" w:lineRule="atLeast"/>
        <w:ind w:firstLine="0"/>
        <w:jc w:val="center"/>
      </w:pPr>
      <w:r>
        <w:t>表2.2  半结构式访谈与任务回顾提纲</w:t>
      </w:r>
    </w:p>
    <w:p>
      <w:pPr>
        <w:pStyle w:val="ad"/>
        <w:keepNext/>
        <w:keepLines/>
        <w:spacing w:before="0" w:after="0" w:line="300" w:lineRule="atLeast"/>
        <w:ind w:firstLine="0"/>
        <w:jc w:val="center"/>
      </w:pPr>
      <w:r>
        <w:t>Table 2.2  Guide for semi structured interviews and task recall</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587"/>
        <w:gridCol w:w="3458"/>
        <w:gridCol w:w="3742"/>
      </w:tblGrid>
      <w:tr>
        <w:trPr>
          <w:cantSplit/>
          <w:tblHeader/>
        </w:trPr>
        <w:tc>
          <w:tcPr>
            <w:tcW w:type="dxa" w:w="1587"/>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主题</w:t>
            </w:r>
          </w:p>
        </w:tc>
        <w:tc>
          <w:tcPr>
            <w:tcW w:type="dxa" w:w="345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主要提问</w:t>
            </w:r>
          </w:p>
        </w:tc>
        <w:tc>
          <w:tcPr>
            <w:tcW w:type="dxa" w:w="3742"/>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追问及记录重点</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背景与经验</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你的年龄、职业或年级是什么？平时用哪些设备？</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逐人记录；儿童使用适龄表述，登记监护人协助。</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绘画尝试</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最近一次画画是什么时候？当时想画什么？</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频率、练习方式、工具；经许可查看作品，不按自称水平分组。</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生活记录</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最近有什么事情让你想留下记录？最后怎么做的？</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对象、触发情境、记录方法及保存或分享去向。</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表达需要</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如果重新表达这件事，你最想保留什么？</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内容、情绪或关系；追问已有方法是否已经足够。</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工具经历</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用过哪些创作工具？哪些操作需要查找或请人帮助？</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区分手绘、图片编辑和界面操作经验。</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任务中的意图</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开始前想完成什么？过程中有没有改变想法？</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记录前后目标，区分主动探索与被困难迫使改变。</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任务卡点</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刚才停下或重复操作时，你想解决什么？</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对应时间片段，核对原因、求助内容与后果。</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辅助边界</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哪些步骤愿意交给工具？哪些地方希望自己决定？</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分别讨论选内容、布局、色彩、落笔与完成判断。</w:t>
            </w:r>
          </w:p>
        </w:tc>
      </w:tr>
      <w:tr>
        <w:trPr>
          <w:cantSplit/>
        </w:trPr>
        <w:tc>
          <w:tcPr>
            <w:tcW w:type="dxa" w:w="1587"/>
            <w:vAlign w:val="center"/>
            <w:tcMar>
              <w:top w:w="85" w:type="dxa"/>
              <w:bottom w:w="85" w:type="dxa"/>
              <w:left w:w="80" w:type="dxa"/>
              <w:right w:w="80" w:type="dxa"/>
            </w:tcMar>
          </w:tcPr>
          <w:p>
            <w:pPr>
              <w:pStyle w:val="af"/>
              <w:keepNext w:val="0"/>
              <w:spacing w:before="0" w:after="0" w:line="300" w:lineRule="atLeast"/>
              <w:ind w:firstLine="0"/>
              <w:jc w:val="left"/>
            </w:pPr>
            <w:r>
              <w:rPr>
                <w:b w:val="0"/>
              </w:rPr>
              <w:t>产品展示后</w:t>
            </w:r>
          </w:p>
        </w:tc>
        <w:tc>
          <w:tcPr>
            <w:tcW w:type="dxa" w:w="3458"/>
            <w:vAlign w:val="center"/>
            <w:tcMar>
              <w:top w:w="85" w:type="dxa"/>
              <w:bottom w:w="85" w:type="dxa"/>
              <w:left w:w="80" w:type="dxa"/>
              <w:right w:w="80" w:type="dxa"/>
            </w:tcMar>
          </w:tcPr>
          <w:p>
            <w:pPr>
              <w:pStyle w:val="af"/>
              <w:keepNext w:val="0"/>
              <w:spacing w:before="0" w:after="0" w:line="300" w:lineRule="atLeast"/>
              <w:ind w:firstLine="0"/>
              <w:jc w:val="left"/>
            </w:pPr>
            <w:r>
              <w:rPr>
                <w:b w:val="0"/>
              </w:rPr>
              <w:t>这个操作与你原先的方法有什么不同？有什么不愿接受？</w:t>
            </w:r>
          </w:p>
        </w:tc>
        <w:tc>
          <w:tcPr>
            <w:tcW w:type="dxa" w:w="3742"/>
            <w:vAlign w:val="center"/>
            <w:tcMar>
              <w:top w:w="85" w:type="dxa"/>
              <w:bottom w:w="85" w:type="dxa"/>
              <w:left w:w="80" w:type="dxa"/>
              <w:right w:w="80" w:type="dxa"/>
            </w:tcMar>
          </w:tcPr>
          <w:p>
            <w:pPr>
              <w:pStyle w:val="af"/>
              <w:keepNext w:val="0"/>
              <w:spacing w:before="0" w:after="0" w:line="300" w:lineRule="atLeast"/>
              <w:ind w:firstLine="0"/>
              <w:jc w:val="left"/>
            </w:pPr>
            <w:r>
              <w:rPr>
                <w:b w:val="0"/>
              </w:rPr>
              <w:t>单列展示后材料；追问遗漏需要及替代方案。</w:t>
            </w:r>
          </w:p>
        </w:tc>
      </w:tr>
    </w:tbl>
    <w:p>
      <w:pPr>
        <w:keepLines/>
        <w:spacing w:line="260" w:lineRule="atLeast" w:before="60" w:after="120"/>
        <w:ind w:firstLine="0"/>
      </w:pPr>
      <w:r>
        <w:rPr>
          <w:sz w:val="19"/>
        </w:rPr>
        <w:t>来源：作者据研究问题编制；问题为访谈提纲，不是参与者引语。</w:t>
      </w:r>
    </w:p>
    <w:p>
      <w:pPr>
        <w:pStyle w:val="30"/>
        <w:numPr>
          <w:numId w:val="0"/>
        </w:numPr>
      </w:pPr>
      <w:r>
        <w:t>2.1.3 用户画像</w:t>
      </w:r>
    </w:p>
    <w:p>
      <w:pPr>
        <w:pStyle w:val="a2"/>
        <w:widowControl/>
        <w:ind w:firstLineChars="200" w:firstLine="480"/>
      </w:pPr>
      <w:r>
        <w:t>用户画像需要概括可追溯的行为差异。本章先建立画像的分析维度，待真实材料补充后再决定是否形成稳定类型。表2.3将生活记录、情绪表达和图像再解释列为可能的关注方向；同一人可以在不同任务中表现出不同取向，不宜为每名参与者固定一种性格或动机。年龄与性别仅用于理解研究情境，不直接决定画像类别。</w:t>
      </w:r>
    </w:p>
    <w:p>
      <w:pPr>
        <w:pStyle w:val="a2"/>
        <w:widowControl/>
        <w:ind w:firstLineChars="200" w:firstLine="480"/>
      </w:pPr>
      <w:r>
        <w:t>画像中的痛点指妨碍目标的具体困难，需求指为实现目标必须得到的支持，期待则指在基本任务之外可能增加满足感的体验。“希望作品好看”过于宽泛，应追问好看与什么有关：是让他人认出场景、呈现某种情绪，还是保留个人选择。画像还应保留已有替代方法、无需自动辅助的情形和不愿交出的决定。这样形成的描述才能用于后续设计判断，而不只是为现有功能寻找使用者。</w:t>
      </w:r>
    </w:p>
    <w:p>
      <w:pPr>
        <w:pStyle w:val="aa"/>
        <w:keepNext/>
        <w:keepLines/>
        <w:spacing w:before="0" w:after="0" w:line="300" w:lineRule="atLeast"/>
        <w:ind w:firstLine="0"/>
        <w:jc w:val="center"/>
      </w:pPr>
      <w:r>
        <w:t>表2.3  用户画像的待核查维度</w:t>
      </w:r>
    </w:p>
    <w:p>
      <w:pPr>
        <w:pStyle w:val="ad"/>
        <w:keepNext/>
        <w:keepLines/>
        <w:spacing w:before="0" w:after="0" w:line="300" w:lineRule="atLeast"/>
        <w:ind w:firstLine="0"/>
        <w:jc w:val="center"/>
      </w:pPr>
      <w:r>
        <w:t>Table 2.3  Dimensions to examine when developing user profiles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304"/>
        <w:gridCol w:w="2381"/>
        <w:gridCol w:w="2551"/>
        <w:gridCol w:w="2551"/>
      </w:tblGrid>
      <w:tr>
        <w:trPr>
          <w:cantSplit/>
          <w:tblHeader/>
        </w:trPr>
        <w:tc>
          <w:tcPr>
            <w:tcW w:type="dxa" w:w="130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关注方向</w:t>
            </w:r>
          </w:p>
        </w:tc>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可能的阻力</w:t>
            </w:r>
          </w:p>
        </w:tc>
        <w:tc>
          <w:tcPr>
            <w:tcW w:type="dxa" w:w="255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待核查的需要</w:t>
            </w:r>
          </w:p>
        </w:tc>
        <w:tc>
          <w:tcPr>
            <w:tcW w:type="dxa" w:w="255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进阶期待</w:t>
            </w:r>
          </w:p>
        </w:tc>
      </w:tr>
      <w:tr>
        <w:trPr>
          <w:cantSplit/>
        </w:trPr>
        <w:tc>
          <w:tcPr>
            <w:tcW w:type="dxa" w:w="1304"/>
            <w:vAlign w:val="center"/>
            <w:tcMar>
              <w:top w:w="85" w:type="dxa"/>
              <w:bottom w:w="85" w:type="dxa"/>
              <w:left w:w="80" w:type="dxa"/>
              <w:right w:w="80" w:type="dxa"/>
            </w:tcMar>
          </w:tcPr>
          <w:p>
            <w:pPr>
              <w:pStyle w:val="af"/>
              <w:keepNext/>
              <w:spacing w:before="0" w:after="0" w:line="300" w:lineRule="atLeast"/>
              <w:ind w:firstLine="0"/>
              <w:jc w:val="left"/>
            </w:pPr>
            <w:r>
              <w:rPr>
                <w:b w:val="0"/>
              </w:rPr>
              <w:t>生活记录</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有具体记忆，却难以重现关键形态</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保留地点、对象及个人关注点</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作品便于再次查看并唤起记忆</w:t>
            </w:r>
          </w:p>
        </w:tc>
      </w:tr>
      <w:tr>
        <w:trPr>
          <w:cantSplit/>
        </w:trPr>
        <w:tc>
          <w:tcPr>
            <w:tcW w:type="dxa" w:w="1304"/>
            <w:vAlign w:val="center"/>
            <w:tcMar>
              <w:top w:w="85" w:type="dxa"/>
              <w:bottom w:w="85" w:type="dxa"/>
              <w:left w:w="80" w:type="dxa"/>
              <w:right w:w="80" w:type="dxa"/>
            </w:tcMar>
          </w:tcPr>
          <w:p>
            <w:pPr>
              <w:pStyle w:val="af"/>
              <w:keepNext/>
              <w:spacing w:before="0" w:after="0" w:line="300" w:lineRule="atLeast"/>
              <w:ind w:firstLine="0"/>
              <w:jc w:val="left"/>
            </w:pPr>
            <w:r>
              <w:rPr>
                <w:b w:val="0"/>
              </w:rPr>
              <w:t>情绪表达</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能够说明感受，却难以选出恰当视觉形式</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比较色彩、尺度和疏密关系</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成品能够体现自己的情绪判断</w:t>
            </w:r>
          </w:p>
        </w:tc>
      </w:tr>
      <w:tr>
        <w:trPr>
          <w:cantSplit/>
        </w:trPr>
        <w:tc>
          <w:tcPr>
            <w:tcW w:type="dxa" w:w="1304"/>
            <w:vAlign w:val="center"/>
            <w:tcMar>
              <w:top w:w="85" w:type="dxa"/>
              <w:bottom w:w="85" w:type="dxa"/>
              <w:left w:w="80" w:type="dxa"/>
              <w:right w:w="80" w:type="dxa"/>
            </w:tcMar>
          </w:tcPr>
          <w:p>
            <w:pPr>
              <w:pStyle w:val="af"/>
              <w:keepNext/>
              <w:spacing w:before="0" w:after="0" w:line="300" w:lineRule="atLeast"/>
              <w:ind w:firstLine="0"/>
              <w:jc w:val="left"/>
            </w:pPr>
            <w:r>
              <w:rPr>
                <w:b w:val="0"/>
              </w:rPr>
              <w:t>图像再解释</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想改变照片含义，但不熟悉局部处理</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增删内容、调整关系及检查整体效果</w:t>
            </w:r>
          </w:p>
        </w:tc>
        <w:tc>
          <w:tcPr>
            <w:tcW w:type="dxa" w:w="2551"/>
            <w:vAlign w:val="center"/>
            <w:tcMar>
              <w:top w:w="85" w:type="dxa"/>
              <w:bottom w:w="85" w:type="dxa"/>
              <w:left w:w="80" w:type="dxa"/>
              <w:right w:w="80" w:type="dxa"/>
            </w:tcMar>
          </w:tcPr>
          <w:p>
            <w:pPr>
              <w:pStyle w:val="af"/>
              <w:keepNext/>
              <w:spacing w:before="0" w:after="0" w:line="300" w:lineRule="atLeast"/>
              <w:ind w:firstLine="0"/>
              <w:jc w:val="left"/>
            </w:pPr>
            <w:r>
              <w:rPr>
                <w:b w:val="0"/>
              </w:rPr>
              <w:t>形成不同于原图的个人表达</w:t>
            </w:r>
          </w:p>
        </w:tc>
      </w:tr>
    </w:tbl>
    <w:p>
      <w:pPr>
        <w:keepLines/>
        <w:spacing w:line="260" w:lineRule="atLeast" w:before="60" w:after="120"/>
        <w:ind w:firstLine="0"/>
      </w:pPr>
      <w:r>
        <w:rPr>
          <w:sz w:val="19"/>
        </w:rPr>
        <w:t>来源：作者根据文献</w:t>
      </w:r>
      <w:r>
        <w:rPr>
          <w:sz w:val="18"/>
          <w:vertAlign w:val="superscript"/>
        </w:rPr>
        <w:t>⁠[1—4]</w:t>
      </w:r>
      <w:r>
        <w:rPr>
          <w:sz w:val="19"/>
        </w:rPr>
        <w:t>及RQ1整理的分析维度，非访谈后形成的实证画像。</w:t>
      </w:r>
    </w:p>
    <w:p>
      <w:pPr>
        <w:pStyle w:val="30"/>
        <w:numPr>
          <w:numId w:val="0"/>
        </w:numPr>
      </w:pPr>
      <w:r>
        <w:t>2.1.4 产品机会点</w:t>
      </w:r>
    </w:p>
    <w:p>
      <w:pPr>
        <w:pStyle w:val="a2"/>
        <w:widowControl/>
        <w:ind w:firstLineChars="200" w:firstLine="480"/>
      </w:pPr>
      <w:r>
        <w:t>需求核查要判断什么支持值得提供，而非将所有阻力都转换为新功能。若使用者已有题材和关系想法，主要困难发生在落笔执行，工具可以研究如何把其选择转化为可见内容；若困难在于不知道想表达什么，单纯加快绘制未必有效。对于熟悉图片编辑、只需快速记录的人，直接拼贴或照片标记可能更合适。机会点因目标和已有能力而异。</w:t>
      </w:r>
    </w:p>
    <w:p>
      <w:pPr>
        <w:pStyle w:val="a2"/>
        <w:widowControl/>
        <w:ind w:firstLineChars="200" w:firstLine="480"/>
      </w:pPr>
      <w:r>
        <w:t>表2.4据此提出三类候选方向：让内容与关系可以调整，使执行结果能够被理解，以及保留观察之后再次判断的入口。这些方向均须由访谈和行为材料核查。对本项目而言，尤其需要追问素材编排是否承载了用户在意的选择：如果素材只增加装饰，或系统绘制改变了布局关系，自动执行便可能削弱表达。第三章将进一步讨论相应理论与设计原则，本节仅提出需求及其证据要求。需求材料与后续章节的证据关联见图2.2。</w:t>
      </w:r>
    </w:p>
    <w:p>
      <w:pPr>
        <w:pStyle w:val="aa"/>
        <w:keepNext/>
        <w:keepLines/>
        <w:spacing w:before="0" w:after="0" w:line="300" w:lineRule="atLeast"/>
        <w:ind w:firstLine="0"/>
        <w:jc w:val="center"/>
      </w:pPr>
      <w:r>
        <w:t>表2.4  候选机会点及其核查要求</w:t>
      </w:r>
    </w:p>
    <w:p>
      <w:pPr>
        <w:pStyle w:val="ad"/>
        <w:keepNext/>
        <w:keepLines/>
        <w:spacing w:before="0" w:after="0" w:line="300" w:lineRule="atLeast"/>
        <w:ind w:firstLine="0"/>
        <w:jc w:val="center"/>
      </w:pPr>
      <w:r>
        <w:t>Table 2.4  Candidate opportunities and evidence requirements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2381"/>
        <w:gridCol w:w="2494"/>
        <w:gridCol w:w="3912"/>
      </w:tblGrid>
      <w:tr>
        <w:trPr>
          <w:cantSplit/>
          <w:tblHeader/>
        </w:trPr>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问题条件</w:t>
            </w:r>
          </w:p>
        </w:tc>
        <w:tc>
          <w:tcPr>
            <w:tcW w:type="dxa" w:w="2494"/>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候选支持方向</w:t>
            </w:r>
          </w:p>
        </w:tc>
        <w:tc>
          <w:tcPr>
            <w:tcW w:type="dxa" w:w="3912"/>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所需证据与反例</w:t>
            </w:r>
          </w:p>
        </w:tc>
      </w:tr>
      <w:tr>
        <w:trPr>
          <w:cantSplit/>
        </w:trPr>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有内容想法，落笔困难</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允许通过选择与编排表达关系</w:t>
            </w:r>
          </w:p>
        </w:tc>
        <w:tc>
          <w:tcPr>
            <w:tcW w:type="dxa" w:w="3912"/>
            <w:vAlign w:val="center"/>
            <w:tcMar>
              <w:top w:w="85" w:type="dxa"/>
              <w:bottom w:w="85" w:type="dxa"/>
              <w:left w:w="80" w:type="dxa"/>
              <w:right w:w="80" w:type="dxa"/>
            </w:tcMar>
          </w:tcPr>
          <w:p>
            <w:pPr>
              <w:pStyle w:val="af"/>
              <w:keepNext/>
              <w:spacing w:before="0" w:after="0" w:line="300" w:lineRule="atLeast"/>
              <w:ind w:firstLine="0"/>
              <w:jc w:val="left"/>
            </w:pPr>
            <w:r>
              <w:rPr>
                <w:b w:val="0"/>
              </w:rPr>
              <w:t>核对选择是否出于表达意图；保留不愿编排的情况。</w:t>
            </w:r>
          </w:p>
        </w:tc>
      </w:tr>
      <w:tr>
        <w:trPr>
          <w:cantSplit/>
        </w:trPr>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难以判断操作后果</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呈现可辨认的对象与执行反馈</w:t>
            </w:r>
          </w:p>
        </w:tc>
        <w:tc>
          <w:tcPr>
            <w:tcW w:type="dxa" w:w="3912"/>
            <w:vAlign w:val="center"/>
            <w:tcMar>
              <w:top w:w="85" w:type="dxa"/>
              <w:bottom w:w="85" w:type="dxa"/>
              <w:left w:w="80" w:type="dxa"/>
              <w:right w:w="80" w:type="dxa"/>
            </w:tcMar>
          </w:tcPr>
          <w:p>
            <w:pPr>
              <w:pStyle w:val="af"/>
              <w:keepNext/>
              <w:spacing w:before="0" w:after="0" w:line="300" w:lineRule="atLeast"/>
              <w:ind w:firstLine="0"/>
              <w:jc w:val="left"/>
            </w:pPr>
            <w:r>
              <w:rPr>
                <w:b w:val="0"/>
              </w:rPr>
              <w:t>记录能否预测结果；区分不理解与主动试探。</w:t>
            </w:r>
          </w:p>
        </w:tc>
      </w:tr>
      <w:tr>
        <w:trPr>
          <w:cantSplit/>
        </w:trPr>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观察后产生新想法</w:t>
            </w:r>
          </w:p>
        </w:tc>
        <w:tc>
          <w:tcPr>
            <w:tcW w:type="dxa" w:w="2494"/>
            <w:vAlign w:val="center"/>
            <w:tcMar>
              <w:top w:w="85" w:type="dxa"/>
              <w:bottom w:w="85" w:type="dxa"/>
              <w:left w:w="80" w:type="dxa"/>
              <w:right w:w="80" w:type="dxa"/>
            </w:tcMar>
          </w:tcPr>
          <w:p>
            <w:pPr>
              <w:pStyle w:val="af"/>
              <w:keepNext/>
              <w:spacing w:before="0" w:after="0" w:line="300" w:lineRule="atLeast"/>
              <w:ind w:firstLine="0"/>
              <w:jc w:val="left"/>
            </w:pPr>
            <w:r>
              <w:rPr>
                <w:b w:val="0"/>
              </w:rPr>
              <w:t>允许继续调整并检查画面</w:t>
            </w:r>
          </w:p>
        </w:tc>
        <w:tc>
          <w:tcPr>
            <w:tcW w:type="dxa" w:w="3912"/>
            <w:vAlign w:val="center"/>
            <w:tcMar>
              <w:top w:w="85" w:type="dxa"/>
              <w:bottom w:w="85" w:type="dxa"/>
              <w:left w:w="80" w:type="dxa"/>
              <w:right w:w="80" w:type="dxa"/>
            </w:tcMar>
          </w:tcPr>
          <w:p>
            <w:pPr>
              <w:pStyle w:val="af"/>
              <w:keepNext/>
              <w:spacing w:before="0" w:after="0" w:line="300" w:lineRule="atLeast"/>
              <w:ind w:firstLine="0"/>
              <w:jc w:val="left"/>
            </w:pPr>
            <w:r>
              <w:rPr>
                <w:b w:val="0"/>
              </w:rPr>
              <w:t>记录观察、想法和行动的先后；排除为纠错而增加操作。</w:t>
            </w:r>
          </w:p>
        </w:tc>
      </w:tr>
    </w:tbl>
    <w:p>
      <w:pPr>
        <w:keepLines/>
        <w:spacing w:line="260" w:lineRule="atLeast" w:before="60" w:after="120"/>
        <w:ind w:firstLine="0"/>
      </w:pPr>
      <w:r>
        <w:rPr>
          <w:sz w:val="19"/>
        </w:rPr>
        <w:t>来源：作者提出的候选设计方向，尚不构成已证实的用户需求。</w:t>
      </w:r>
    </w:p>
    <w:p>
      <w:pPr>
        <w:keepNext/>
        <w:spacing w:before="120" w:after="60" w:line="240" w:lineRule="auto"/>
        <w:ind w:firstLine="0"/>
        <w:jc w:val="center"/>
      </w:pPr>
      <w:r>
        <w:drawing>
          <wp:inline xmlns:a="http://schemas.openxmlformats.org/drawingml/2006/main" xmlns:pic="http://schemas.openxmlformats.org/drawingml/2006/picture">
            <wp:extent cx="5580000" cy="2484000"/>
            <wp:docPr id="2" name="Picture 2" descr="需求材料与后续章节的证据关联。来源：作者绘制。该图表示拟建立的论证联系，不表示需求与实验效果已获证实。"/>
            <wp:cNvGraphicFramePr>
              <a:graphicFrameLocks noChangeAspect="1"/>
            </wp:cNvGraphicFramePr>
            <a:graphic>
              <a:graphicData uri="http://schemas.openxmlformats.org/drawingml/2006/picture">
                <pic:pic>
                  <pic:nvPicPr>
                    <pic:cNvPr id="0" name="证据关联图.png"/>
                    <pic:cNvPicPr/>
                  </pic:nvPicPr>
                  <pic:blipFill>
                    <a:blip r:embed="rId30"/>
                    <a:stretch>
                      <a:fillRect/>
                    </a:stretch>
                  </pic:blipFill>
                  <pic:spPr>
                    <a:xfrm>
                      <a:off x="0" y="0"/>
                      <a:ext cx="5580000" cy="2484000"/>
                    </a:xfrm>
                    <a:prstGeom prst="rect"/>
                  </pic:spPr>
                </pic:pic>
              </a:graphicData>
            </a:graphic>
          </wp:inline>
        </w:drawing>
      </w:r>
    </w:p>
    <w:p>
      <w:pPr>
        <w:pStyle w:val="aa"/>
        <w:keepNext/>
        <w:keepLines/>
        <w:spacing w:before="0" w:after="0" w:line="300" w:lineRule="atLeast"/>
        <w:ind w:firstLine="0"/>
        <w:jc w:val="center"/>
      </w:pPr>
      <w:r>
        <w:t>图2.2  需求材料与后续章节的证据关联</w:t>
      </w:r>
    </w:p>
    <w:p>
      <w:pPr>
        <w:pStyle w:val="ad"/>
        <w:keepNext/>
        <w:keepLines/>
        <w:spacing w:before="0" w:after="0" w:line="300" w:lineRule="atLeast"/>
        <w:ind w:firstLine="0"/>
        <w:jc w:val="center"/>
      </w:pPr>
      <w:r>
        <w:t>Figure 2.2  Evidence links between research materials and subsequent chapters</w:t>
      </w:r>
    </w:p>
    <w:p>
      <w:pPr>
        <w:keepLines/>
        <w:spacing w:line="260" w:lineRule="atLeast" w:before="60" w:after="120"/>
        <w:ind w:firstLine="0"/>
      </w:pPr>
      <w:r>
        <w:rPr>
          <w:sz w:val="19"/>
        </w:rPr>
        <w:t>来源：作者绘制。该图表示拟建立的论证联系，不表示需求与实验效果已获证实。</w:t>
      </w:r>
    </w:p>
    <w:p>
      <w:pPr>
        <w:pStyle w:val="20"/>
        <w:numPr>
          <w:numId w:val="0"/>
        </w:numPr>
      </w:pPr>
      <w:r>
        <w:t>2.2 表达需求与绘画阻力的分析</w:t>
      </w:r>
    </w:p>
    <w:p>
      <w:pPr>
        <w:pStyle w:val="a2"/>
        <w:widowControl/>
        <w:ind w:firstLineChars="200" w:firstLine="480"/>
      </w:pPr>
      <w:r>
        <w:t>以下分析以相关研究为参照，提出后续访谈与观察需要核查的关系。分析单位是一次具有具体目的的表达活动，以及活动中相连的行为片段。文献可帮助确定观察方向，但不能给出本项目十名参与者的动机分布或困难比例。需求是否成立，仍需回到其经历、操作与作品之间的对应关系。</w:t>
      </w:r>
    </w:p>
    <w:p>
      <w:pPr>
        <w:pStyle w:val="30"/>
        <w:numPr>
          <w:numId w:val="0"/>
        </w:numPr>
      </w:pPr>
      <w:r>
        <w:t>2.2.1 表达动机与希望保留的创作决定</w:t>
      </w:r>
    </w:p>
    <w:p>
      <w:pPr>
        <w:pStyle w:val="a2"/>
        <w:widowControl/>
        <w:ind w:firstLineChars="200" w:firstLine="480"/>
      </w:pPr>
      <w:r>
        <w:t>生活记录重视经历的可辨认性与个人关联。照片保存了现场可见的信息，绘画或图像编辑则可能突出某个细节、删去干扰，或将不同时刻放在一起。Ayobi等所讨论的个性化记录形式提示，记录的意义还与使用者如何组织内容有关</w:t>
      </w:r>
      <w:r>
        <w:rPr>
          <w:sz w:val="18"/>
          <w:vertAlign w:val="superscript"/>
        </w:rPr>
        <w:t>⁠[2]</w:t>
      </w:r>
      <w:r>
        <w:t>。本文因此需要区分“留住现场”与“表达我如何记得现场”：前者可能由照片完成，后者才可能涉及重新选择和组织视觉元素。不能仅因参与者经常拍照，就推定其需要自动绘画。</w:t>
      </w:r>
    </w:p>
    <w:p>
      <w:pPr>
        <w:pStyle w:val="a2"/>
        <w:widowControl/>
        <w:ind w:firstLineChars="200" w:firstLine="480"/>
      </w:pPr>
      <w:r>
        <w:t>情绪抒发关注图像能否容纳使用者对经历的感受。具体研究应从一次想表达却没有完成的事件进入，追问其希望改变哪些内容，以及为何不直接使用文字。色彩偏好、夸张尺度或留白可能成为表达手段，但这些形式与情绪之间不宜建立固定对应。例如，选择暗色并不能单独证明消极情绪；同一种颜色也可能源于原始照片、工具默认值或个人审美。解释应以参与者的说明与操作情境为依据。</w:t>
      </w:r>
    </w:p>
    <w:p>
      <w:pPr>
        <w:pStyle w:val="a2"/>
        <w:widowControl/>
        <w:ind w:firstLineChars="200" w:firstLine="480"/>
      </w:pPr>
      <w:r>
        <w:t>装饰与再解释同样包含创作决定，但对系统的要求不同。装饰可以以丰富、整齐或适合某个使用场景为目标；再解释则涉及改变画面原有关系，使普通场景获得新的含义。两者可能交叠，也可能互不相关。研究中可比较用户为何加入某一内容、为何放在特定位置，以及删去它是否影响所要表达的意思。若选择只因素材方便取得，便不宜直接将其解释为明确的叙事意图。</w:t>
      </w:r>
    </w:p>
    <w:p>
      <w:pPr>
        <w:pStyle w:val="a2"/>
        <w:widowControl/>
        <w:ind w:firstLineChars="200" w:firstLine="480"/>
      </w:pPr>
      <w:r>
        <w:t>希望保留的创作决定可从题材、构图、色彩与完成判断四个方面核查。题材涉及表达对象及其个人关联；构图涉及大小、位置、重复与遮挡；色彩涉及保留原貌还是调整气氛；完成判断涉及何时认为画面已经足以传达想法。这些决定无需在开始时全部明确，也可以随着画面变化而形成。任务前记录意图，任务后允许修正解释，能够避免把未能执行的原计划误认为唯一正确目标。</w:t>
      </w:r>
    </w:p>
    <w:p>
      <w:pPr>
        <w:pStyle w:val="a2"/>
        <w:widowControl/>
        <w:ind w:firstLineChars="200" w:firstLine="480"/>
      </w:pPr>
      <w:r>
        <w:t>素材编排是否具有表达价值，应看决定能否在结果中得到辨认。素材数量多、画面变化大，都不足以说明参与更充分；反之，少量但与经历有关的选择，也可能构成主要表达。后续作品分析需要同时保留原图、编排状态和成品，结合使用者说明检查哪些关系被落实、遗漏或改变。由此才能讨论降低手绘要求后，用户保留的是实际决定，还是对系统结果的事后认同。</w:t>
      </w:r>
    </w:p>
    <w:p>
      <w:pPr>
        <w:pStyle w:val="30"/>
        <w:numPr>
          <w:numId w:val="0"/>
        </w:numPr>
      </w:pPr>
      <w:r>
        <w:t>2.2.2 从想法到笔迹的阻力及其差异</w:t>
      </w:r>
    </w:p>
    <w:p>
      <w:pPr>
        <w:pStyle w:val="a2"/>
        <w:widowControl/>
        <w:ind w:firstLineChars="200" w:firstLine="480"/>
      </w:pPr>
      <w:r>
        <w:t>从想到某个画面到形成笔迹，中间包含造型、动作控制、工具操作和效果判断等不同工作。DrawMyPhoto将照片转换为线条与明暗步骤，并提供压力、倾斜等反馈，说明绘画辅助可以针对具体执行环节展开</w:t>
      </w:r>
      <w:r>
        <w:rPr>
          <w:sz w:val="18"/>
          <w:vertAlign w:val="superscript"/>
        </w:rPr>
        <w:t>⁠[5]</w:t>
      </w:r>
      <w:r>
        <w:t>。ArtKrit则围绕构图、明度与色彩组织临摹支持，关注学习者如何理解参考图</w:t>
      </w:r>
      <w:r>
        <w:rPr>
          <w:sz w:val="18"/>
          <w:vertAlign w:val="superscript"/>
        </w:rPr>
        <w:t>⁠[6]</w:t>
      </w:r>
      <w:r>
        <w:t>。两者主要涉及绘画实践或训练，不能直接证明用户愿意将落笔交给系统；其价值在于帮助本文把“不会画”拆成能够观察的问题。</w:t>
      </w:r>
    </w:p>
    <w:p>
      <w:pPr>
        <w:pStyle w:val="a2"/>
        <w:widowControl/>
        <w:ind w:firstLineChars="200" w:firstLine="480"/>
      </w:pPr>
      <w:r>
        <w:t>造型阻力发生在使用者难以把对象理解为可描绘的轮廓、比例或空间关系时。任务观察需要记录其在看什么、尝试画什么，以及何处开始反复修正。运笔阻力则涉及手部动作与预期痕迹不一致，如线条难以稳定、填色难以控制。两类困难可能相伴出现，却应分别解释：选择现成形态可能缓解前者，简化输入或由系统落笔可能回应后者；若问题来自构图判断，两种支持都未必足够。</w:t>
      </w:r>
    </w:p>
    <w:p>
      <w:pPr>
        <w:pStyle w:val="a2"/>
        <w:widowControl/>
        <w:ind w:firstLineChars="200" w:firstLine="480"/>
      </w:pPr>
      <w:r>
        <w:t>界面操作会引入另一类阻力。找不到颜色入口、不理解当前选中对象、误将画布移动当成对象移动，都可能中断创作，但不表示用户缺乏表达能力。记录时应保留操作之前的目标、界面状态、尝试路径和获得帮助后的变化。研究者若过早告知答案，会掩盖发现功能的困难；因此除安全或明显无法继续的情形外，先记录问题，再按统一规则提供简短帮助，并注明帮助内容。</w:t>
      </w:r>
    </w:p>
    <w:p>
      <w:pPr>
        <w:pStyle w:val="a2"/>
        <w:widowControl/>
        <w:ind w:firstLineChars="200" w:firstLine="480"/>
      </w:pPr>
      <w:r>
        <w:t>效果判断困难涉及用户无法确定当前画面是否接近想法，或不知道下一步怎样调整。它也可能来自任务目标变化，而不一定是操作失败。本文拟以连续行为片段编码：先记录期待，再记录行动、画面反馈及后续判断，最后补充回顾解释。表2.5给出编码范围。长时间停顿不能直接记为受阻；反复尝试也可能是对不同表达方式的主动比较。只有结合目标、情绪说明和操作后果，才能区分执行失败与探索。</w:t>
      </w:r>
    </w:p>
    <w:p>
      <w:pPr>
        <w:pStyle w:val="a2"/>
        <w:widowControl/>
        <w:ind w:firstLineChars="200" w:firstLine="480"/>
      </w:pPr>
      <w:r>
        <w:t>熟练度、设备和任务会改变阻力的表现。纸笔经验较多者可能理解构图却不熟悉数字图层；图片编辑经验较多者可能善于编排，却不愿练习线条。鼠标、触屏与手写笔的输入方式不同，屏幕大小又影响工具查找和局部操作，不能将设备造成的差异全部归于能力。记录明确对象与表达抽象感受，也可能需要不同支持。分析时应并列呈现这些条件，而不把十人合成为一条统一的创作旅程。</w:t>
      </w:r>
    </w:p>
    <w:p>
      <w:pPr>
        <w:pStyle w:val="a2"/>
        <w:widowControl/>
        <w:ind w:firstLineChars="200" w:firstLine="480"/>
      </w:pPr>
      <w:r>
        <w:t>自动绘制可以减少部分动作要求，同时引入等待、结果预测和介入时机等问题。如果观看过程没有形成新的判断，它只是等待系统完成；如果观察之后出现了有意义的改动，则还需核查这一改动来自画面启发、纠正错误还是研究者提醒。因此，观察中发展想法属于过程问题，应以事件前后联系加以解释，不以操作次数直接证明人机协作，也不在此增加新的实验因素。</w:t>
      </w:r>
    </w:p>
    <w:p>
      <w:pPr>
        <w:pStyle w:val="aa"/>
        <w:keepNext/>
        <w:keepLines/>
        <w:spacing w:before="0" w:after="0" w:line="300" w:lineRule="atLeast"/>
        <w:ind w:firstLine="0"/>
        <w:jc w:val="center"/>
      </w:pPr>
      <w:r>
        <w:t>表2.5  任务观察的事件编码范围</w:t>
      </w:r>
    </w:p>
    <w:p>
      <w:pPr>
        <w:pStyle w:val="ad"/>
        <w:keepNext/>
        <w:keepLines/>
        <w:spacing w:before="0" w:after="0" w:line="300" w:lineRule="atLeast"/>
        <w:ind w:firstLine="0"/>
        <w:jc w:val="center"/>
      </w:pPr>
      <w:r>
        <w:t>Table 2.5  Event categories for task observation</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757"/>
        <w:gridCol w:w="3061"/>
        <w:gridCol w:w="3969"/>
      </w:tblGrid>
      <w:tr>
        <w:trPr>
          <w:cantSplit/>
          <w:tblHeader/>
        </w:trPr>
        <w:tc>
          <w:tcPr>
            <w:tcW w:type="dxa" w:w="1757"/>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事件类别</w:t>
            </w:r>
          </w:p>
        </w:tc>
        <w:tc>
          <w:tcPr>
            <w:tcW w:type="dxa" w:w="306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需要保留的材料</w:t>
            </w:r>
          </w:p>
        </w:tc>
        <w:tc>
          <w:tcPr>
            <w:tcW w:type="dxa" w:w="3969"/>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解释时的核查</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造型与运笔困难</w:t>
            </w:r>
          </w:p>
        </w:tc>
        <w:tc>
          <w:tcPr>
            <w:tcW w:type="dxa" w:w="3061"/>
            <w:vAlign w:val="center"/>
            <w:tcMar>
              <w:top w:w="85" w:type="dxa"/>
              <w:bottom w:w="85" w:type="dxa"/>
              <w:left w:w="80" w:type="dxa"/>
              <w:right w:w="80" w:type="dxa"/>
            </w:tcMar>
          </w:tcPr>
          <w:p>
            <w:pPr>
              <w:pStyle w:val="af"/>
              <w:keepNext/>
              <w:spacing w:before="0" w:after="0" w:line="300" w:lineRule="atLeast"/>
              <w:ind w:firstLine="0"/>
              <w:jc w:val="left"/>
            </w:pPr>
            <w:r>
              <w:rPr>
                <w:b w:val="0"/>
              </w:rPr>
              <w:t>目标对象、连续笔迹及修改片段</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动作能否落实想法，还是尚未决定形态</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界面理解困难</w:t>
            </w:r>
          </w:p>
        </w:tc>
        <w:tc>
          <w:tcPr>
            <w:tcW w:type="dxa" w:w="3061"/>
            <w:vAlign w:val="center"/>
            <w:tcMar>
              <w:top w:w="85" w:type="dxa"/>
              <w:bottom w:w="85" w:type="dxa"/>
              <w:left w:w="80" w:type="dxa"/>
              <w:right w:w="80" w:type="dxa"/>
            </w:tcMar>
          </w:tcPr>
          <w:p>
            <w:pPr>
              <w:pStyle w:val="af"/>
              <w:keepNext/>
              <w:spacing w:before="0" w:after="0" w:line="300" w:lineRule="atLeast"/>
              <w:ind w:firstLine="0"/>
              <w:jc w:val="left"/>
            </w:pPr>
            <w:r>
              <w:rPr>
                <w:b w:val="0"/>
              </w:rPr>
              <w:t>界面状态、查找路径、求助内容</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是否因工具位置或对象状态理解错误</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效果判断困难</w:t>
            </w:r>
          </w:p>
        </w:tc>
        <w:tc>
          <w:tcPr>
            <w:tcW w:type="dxa" w:w="3061"/>
            <w:vAlign w:val="center"/>
            <w:tcMar>
              <w:top w:w="85" w:type="dxa"/>
              <w:bottom w:w="85" w:type="dxa"/>
              <w:left w:w="80" w:type="dxa"/>
              <w:right w:w="80" w:type="dxa"/>
            </w:tcMar>
          </w:tcPr>
          <w:p>
            <w:pPr>
              <w:pStyle w:val="af"/>
              <w:keepNext/>
              <w:spacing w:before="0" w:after="0" w:line="300" w:lineRule="atLeast"/>
              <w:ind w:firstLine="0"/>
              <w:jc w:val="left"/>
            </w:pPr>
            <w:r>
              <w:rPr>
                <w:b w:val="0"/>
              </w:rPr>
              <w:t>当前画面、评价理由、后续动作</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标准不明确，还是主动改变了目标</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主动探索</w:t>
            </w:r>
          </w:p>
        </w:tc>
        <w:tc>
          <w:tcPr>
            <w:tcW w:type="dxa" w:w="3061"/>
            <w:vAlign w:val="center"/>
            <w:tcMar>
              <w:top w:w="85" w:type="dxa"/>
              <w:bottom w:w="85" w:type="dxa"/>
              <w:left w:w="80" w:type="dxa"/>
              <w:right w:w="80" w:type="dxa"/>
            </w:tcMar>
          </w:tcPr>
          <w:p>
            <w:pPr>
              <w:pStyle w:val="af"/>
              <w:keepNext/>
              <w:spacing w:before="0" w:after="0" w:line="300" w:lineRule="atLeast"/>
              <w:ind w:firstLine="0"/>
              <w:jc w:val="left"/>
            </w:pPr>
            <w:r>
              <w:rPr>
                <w:b w:val="0"/>
              </w:rPr>
              <w:t>备选方案、比较理由及保留选择</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尝试是否服务表达，不能只计作错误</w:t>
            </w:r>
          </w:p>
        </w:tc>
      </w:tr>
      <w:tr>
        <w:trPr>
          <w:cantSplit/>
        </w:trPr>
        <w:tc>
          <w:tcPr>
            <w:tcW w:type="dxa" w:w="1757"/>
            <w:vAlign w:val="center"/>
            <w:tcMar>
              <w:top w:w="85" w:type="dxa"/>
              <w:bottom w:w="85" w:type="dxa"/>
              <w:left w:w="80" w:type="dxa"/>
              <w:right w:w="80" w:type="dxa"/>
            </w:tcMar>
          </w:tcPr>
          <w:p>
            <w:pPr>
              <w:pStyle w:val="af"/>
              <w:keepNext/>
              <w:spacing w:before="0" w:after="0" w:line="300" w:lineRule="atLeast"/>
              <w:ind w:firstLine="0"/>
              <w:jc w:val="left"/>
            </w:pPr>
            <w:r>
              <w:rPr>
                <w:b w:val="0"/>
              </w:rPr>
              <w:t>观察后介入</w:t>
            </w:r>
          </w:p>
        </w:tc>
        <w:tc>
          <w:tcPr>
            <w:tcW w:type="dxa" w:w="3061"/>
            <w:vAlign w:val="center"/>
            <w:tcMar>
              <w:top w:w="85" w:type="dxa"/>
              <w:bottom w:w="85" w:type="dxa"/>
              <w:left w:w="80" w:type="dxa"/>
              <w:right w:w="80" w:type="dxa"/>
            </w:tcMar>
          </w:tcPr>
          <w:p>
            <w:pPr>
              <w:pStyle w:val="af"/>
              <w:keepNext/>
              <w:spacing w:before="0" w:after="0" w:line="300" w:lineRule="atLeast"/>
              <w:ind w:firstLine="0"/>
              <w:jc w:val="left"/>
            </w:pPr>
            <w:r>
              <w:rPr>
                <w:b w:val="0"/>
              </w:rPr>
              <w:t>观察片段、回顾说明及随后的调整</w:t>
            </w:r>
          </w:p>
        </w:tc>
        <w:tc>
          <w:tcPr>
            <w:tcW w:type="dxa" w:w="3969"/>
            <w:vAlign w:val="center"/>
            <w:tcMar>
              <w:top w:w="85" w:type="dxa"/>
              <w:bottom w:w="85" w:type="dxa"/>
              <w:left w:w="80" w:type="dxa"/>
              <w:right w:w="80" w:type="dxa"/>
            </w:tcMar>
          </w:tcPr>
          <w:p>
            <w:pPr>
              <w:pStyle w:val="af"/>
              <w:keepNext/>
              <w:spacing w:before="0" w:after="0" w:line="300" w:lineRule="atLeast"/>
              <w:ind w:firstLine="0"/>
              <w:jc w:val="left"/>
            </w:pPr>
            <w:r>
              <w:rPr>
                <w:b w:val="0"/>
              </w:rPr>
              <w:t>区分启发、纠错、提示与等待</w:t>
            </w:r>
          </w:p>
        </w:tc>
      </w:tr>
    </w:tbl>
    <w:p>
      <w:pPr>
        <w:keepLines/>
        <w:spacing w:line="260" w:lineRule="atLeast" w:before="60" w:after="120"/>
        <w:ind w:firstLine="0"/>
      </w:pPr>
      <w:r>
        <w:rPr>
          <w:sz w:val="19"/>
        </w:rPr>
        <w:t>来源：作者拟定的分析编码范围。编码须依据原始材料修订，表内不含已观察到的事件数量。</w:t>
      </w:r>
    </w:p>
    <w:p>
      <w:pPr>
        <w:pStyle w:val="30"/>
        <w:numPr>
          <w:numId w:val="0"/>
        </w:numPr>
      </w:pPr>
      <w:r>
        <w:t>2.2.3 自动辅助的接受范围与替代方案</w:t>
      </w:r>
    </w:p>
    <w:p>
      <w:pPr>
        <w:pStyle w:val="a2"/>
        <w:widowControl/>
        <w:ind w:firstLineChars="200" w:firstLine="480"/>
      </w:pPr>
      <w:r>
        <w:t>接受自动辅助并不意味着愿意交出全部创作。Painting with Bob研究发现，智能工具带来的主观画面质量与简单工具所提供的控制感并非同一评价</w:t>
      </w:r>
      <w:r>
        <w:rPr>
          <w:sz w:val="18"/>
          <w:vertAlign w:val="superscript"/>
        </w:rPr>
        <w:t>⁠[7]</w:t>
      </w:r>
      <w:r>
        <w:t>。这一结果提示本项目应分别核查执行便利和决定权。使用者可能愿意让系统重复落笔，却希望自己确定对象和位置；也可能愿意采用整幅转换效果，却不愿花时间编排。自动化的适用范围必须落实到具体工作，不能只问是否喜欢AI。</w:t>
      </w:r>
    </w:p>
    <w:p>
      <w:pPr>
        <w:pStyle w:val="a2"/>
        <w:widowControl/>
        <w:ind w:firstLineChars="200" w:firstLine="480"/>
      </w:pPr>
      <w:r>
        <w:t>内容选择、关系编排、笔迹执行和完成判断可以分别讨论。对具有明确内容想法却难以手绘的人，可操作的素材可能使其先表达位置与组合关系，再由系统形成笔迹。这是本文需要检验的设计方向。成立的条件包括：有合适内容可选，用户理解编排后果，系统保留重要关系，而且结果变化仍可被使用者理解。若素材范围限制了想法，或系统覆盖了关键对象，降低手绘要求也可能伴随新的表达损失。</w:t>
      </w:r>
    </w:p>
    <w:p>
      <w:pPr>
        <w:pStyle w:val="a2"/>
        <w:widowControl/>
        <w:ind w:firstLineChars="200" w:firstLine="480"/>
      </w:pPr>
      <w:r>
        <w:t>过程参与还取决于是否有继续判断的必要。PromptPaint将生成过程中的介入与控制作为交互研究内容</w:t>
      </w:r>
      <w:r>
        <w:rPr>
          <w:sz w:val="18"/>
          <w:vertAlign w:val="superscript"/>
        </w:rPr>
        <w:t>⁠[3]</w:t>
      </w:r>
      <w:r>
        <w:t>，但其文本生成图像机制不同于本文的图像笔触拆解。本文仅据此关注介入时机，不移植其效果结论。对于本项目，应询问参与者何时希望观看、何时希望尽快完成，以及何种画面变化值得暂停。观看本身不等于协作；用户也不应为了证明参与而承担无意义的点击任务。</w:t>
      </w:r>
    </w:p>
    <w:p>
      <w:pPr>
        <w:pStyle w:val="a2"/>
        <w:widowControl/>
        <w:ind w:firstLineChars="200" w:firstLine="480"/>
      </w:pPr>
      <w:r>
        <w:t>已有替代方法能够帮助界定工具价值。若目标是准确保存场景，照片可能已足够；若希望快速加入一个符号，直接拼贴可能更直接；若只需稳定风格的成品，模板可能减少选择成本。相反，希望保留自己的布局，并接受系统将其转化为统一笔迹的人，才与本文所研究的分工较为接近。研究应记录替代方法为何足够或不足，而不能用专业手绘的困难排除这些选择。</w:t>
      </w:r>
    </w:p>
    <w:p>
      <w:pPr>
        <w:pStyle w:val="a2"/>
        <w:widowControl/>
        <w:ind w:firstLineChars="200" w:firstLine="480"/>
      </w:pPr>
      <w:r>
        <w:t>访谈中的期待与任务中的行为还需相互核对。口头表示愿意自主决定，不一定伴随清晰的编排目标；表示愿意自动完成，也可能在看到结果后要求调整。分析应分别保留展示前的需求、展示后的想象及实际操作，再讨论其是否一致。最终需要评价的是表达意图与作品的对应、关键选择是否保留，以及操作和求助负担。画面美观和使用满意度可以补充说明，但不能代替上述关系的检验。</w:t>
      </w:r>
    </w:p>
    <w:p>
      <w:pPr>
        <w:pStyle w:val="20"/>
        <w:numPr>
          <w:numId w:val="0"/>
        </w:numPr>
      </w:pPr>
      <w:r>
        <w:t>2.3 绘画产品分析</w:t>
      </w:r>
    </w:p>
    <w:p>
      <w:pPr>
        <w:pStyle w:val="a2"/>
        <w:widowControl/>
        <w:ind w:firstLineChars="200" w:firstLine="480"/>
      </w:pPr>
      <w:r>
        <w:t>案例选取围绕直接绘画、空间创作和移动创作社区三种情境展开，分别考察Procreate、Feather与画世界。资料以官方使用手册和开发者商店说明为主，关注画布、工具选择、对象处理和作品管理，不据动态榜位推算下载量或销售量。本节属于文档分析，尚不等同于实际使用中的可用性测试；案例所展示的交互方式，也不能直接作为本项目效果已获验证的依据。</w:t>
      </w:r>
    </w:p>
    <w:p>
      <w:pPr>
        <w:pStyle w:val="30"/>
        <w:numPr>
          <w:numId w:val="0"/>
        </w:numPr>
      </w:pPr>
      <w:r>
        <w:t>2.3.1 Procreate的直接绘画与工具组织</w:t>
      </w:r>
    </w:p>
    <w:p>
      <w:pPr>
        <w:pStyle w:val="a2"/>
        <w:widowControl/>
        <w:ind w:firstLineChars="200" w:firstLine="480"/>
      </w:pPr>
      <w:r>
        <w:t>Procreate将常用绘画工具、编辑功能与画布操作分别组织在屏幕边缘，使作品区域保持较完整的可见范围</w:t>
      </w:r>
      <w:r>
        <w:rPr>
          <w:sz w:val="18"/>
          <w:vertAlign w:val="superscript"/>
        </w:rPr>
        <w:t>⁠[8]</w:t>
      </w:r>
      <w:r>
        <w:t>。从任务组织看，这种安排区分了“正在处理什么”与“需要调用什么工具”：使用者可以在画面中连续操作，进入工具时再查看更详细的选项。本文关注的是这一层次关系，而非将其视为所有屏幕和输入方式均适用的固定布局。</w:t>
      </w:r>
    </w:p>
    <w:p>
      <w:pPr>
        <w:pStyle w:val="a2"/>
        <w:widowControl/>
        <w:ind w:firstLineChars="200" w:firstLine="480"/>
      </w:pPr>
      <w:r>
        <w:t>笔刷库以笔刷组组织内容，并提供名称及笔迹预览，支持从类别进入具体对象</w:t>
      </w:r>
      <w:r>
        <w:rPr>
          <w:sz w:val="18"/>
          <w:vertAlign w:val="superscript"/>
        </w:rPr>
        <w:t>⁠[9]</w:t>
      </w:r>
      <w:r>
        <w:t>。当选项较多时，分类与可见示例有助于比较选择，但名称、分类是否容易理解仍需结合目标用户考察。对于素材类资源，值得研究的问题是如何在有限面板内找到需要的内容，并在选择后保持创作上下文。笔刷选择与素材添加的对象性质不同，不能照搬全部管理方式。</w:t>
      </w:r>
    </w:p>
    <w:p>
      <w:pPr>
        <w:pStyle w:val="a2"/>
        <w:widowControl/>
        <w:ind w:firstLineChars="200" w:firstLine="480"/>
      </w:pPr>
      <w:r>
        <w:t>变换工具通过选区边界和控制点处理移动、缩放及旋转，画廊则以缩略图、命名与分组管理作品</w:t>
      </w:r>
      <w:r>
        <w:rPr>
          <w:sz w:val="18"/>
          <w:vertAlign w:val="superscript"/>
        </w:rPr>
        <w:t>⁠[10—11]</w:t>
      </w:r>
      <w:r>
        <w:t>。这些机制分别回应对象关系调整与作品回访。Procreate的使用仍以直接绘画能力为重要基础，其完整工具体系不等于低经验用户的低负担。本文因而将其作为交互组织参照，同时保留本研究从内容编排进入表达的研究范围。</w:t>
      </w:r>
    </w:p>
    <w:p>
      <w:pPr>
        <w:pStyle w:val="30"/>
        <w:numPr>
          <w:numId w:val="0"/>
        </w:numPr>
      </w:pPr>
      <w:r>
        <w:t>2.3.2 Feather的画布优先与情境操作</w:t>
      </w:r>
    </w:p>
    <w:p>
      <w:pPr>
        <w:pStyle w:val="a2"/>
        <w:widowControl/>
        <w:ind w:firstLineChars="200" w:firstLine="480"/>
      </w:pPr>
      <w:r>
        <w:t>Feather是三维绘画工具。官方文档区分左上系统菜单、右上工具菜单、左侧画笔与历史面板，并设置底部情境菜单；部分选项依据当前三维引导操作出现</w:t>
      </w:r>
      <w:r>
        <w:rPr>
          <w:sz w:val="18"/>
          <w:vertAlign w:val="superscript"/>
        </w:rPr>
        <w:t>⁠[12]</w:t>
      </w:r>
      <w:r>
        <w:t>。其布局将作品操作与工具调用分开，情境变化又决定哪些选项需要被看见。本文由此关注界面如何维持当前任务的连续性，而不把减少常驻选项简单等同于降低学习成本。</w:t>
      </w:r>
    </w:p>
    <w:p>
      <w:pPr>
        <w:pStyle w:val="a2"/>
        <w:widowControl/>
        <w:ind w:firstLineChars="200" w:firstLine="480"/>
      </w:pPr>
      <w:r>
        <w:t>按需显示可以使画面更完整，也可能使初次使用者难以发现入口。因此，分析时要同时检查功能隐藏之后是否仍有可辨认线索，以及用户能否判断当前对象和操作模式。相较于持续展开全部参数，按操作情境组织面板提供了另一种选择；其适用性仍取决于入口、状态反馈和使用经验。</w:t>
      </w:r>
    </w:p>
    <w:p>
      <w:pPr>
        <w:pStyle w:val="a2"/>
        <w:widowControl/>
        <w:ind w:firstLineChars="200" w:firstLine="480"/>
      </w:pPr>
      <w:r>
        <w:t>Feather还以笔记和文件夹组织作品，提供创建、重命名、移动等管理方式</w:t>
      </w:r>
      <w:r>
        <w:rPr>
          <w:sz w:val="18"/>
          <w:vertAlign w:val="superscript"/>
        </w:rPr>
        <w:t>⁠[13]</w:t>
      </w:r>
      <w:r>
        <w:t>。这种将创作空间与作品集合联系起来的做法，可用于讨论用户如何回访作品。三维空间中的视角、空间引导与几何变换具有专门语境，二维网页只能借鉴其任务分组和情境操作思路，不能据此声称已经获得同等空间创作体验。</w:t>
      </w:r>
    </w:p>
    <w:p>
      <w:pPr>
        <w:pStyle w:val="30"/>
        <w:numPr>
          <w:numId w:val="0"/>
        </w:numPr>
      </w:pPr>
      <w:r>
        <w:t>2.3.3 画世界的移动创作与作品交流</w:t>
      </w:r>
    </w:p>
    <w:p>
      <w:pPr>
        <w:pStyle w:val="a2"/>
        <w:widowControl/>
        <w:ind w:firstLineChars="200" w:firstLine="480"/>
      </w:pPr>
      <w:r>
        <w:t>画世界将绘画工具与作品交流放在同一产品中。开发者说明列出了自定义画布、画笔、图层、图片导入及快速图形等功能，也包括过程回看、画题与画集</w:t>
      </w:r>
      <w:r>
        <w:rPr>
          <w:sz w:val="18"/>
          <w:vertAlign w:val="superscript"/>
        </w:rPr>
        <w:t>⁠[14]</w:t>
      </w:r>
      <w:r>
        <w:t>。由此可以将其观察范围分成画面编辑、过程回顾和作品组织三部分。本节分析对象为“画世界”，不将“画世界Pro”的功能说明混入比较。</w:t>
      </w:r>
    </w:p>
    <w:p>
      <w:pPr>
        <w:pStyle w:val="a2"/>
        <w:widowControl/>
        <w:ind w:firstLineChars="200" w:firstLine="480"/>
      </w:pPr>
      <w:r>
        <w:t>图片导入使已有图像能够进入创作任务，图层与快速图形则提供不同于逐笔描绘的操作单位。本文据此关注多种创作动作如何在同一活动中衔接，而不推断这些功能能够自动消除手绘困难。官方商店说明不足以确认每个面板的精确布局及首次使用表现，具体入口和操作成本仍需后续走查核查。</w:t>
      </w:r>
    </w:p>
    <w:p>
      <w:pPr>
        <w:pStyle w:val="a2"/>
        <w:widowControl/>
        <w:ind w:firstLineChars="200" w:firstLine="480"/>
      </w:pPr>
      <w:r>
        <w:t>过程回看与画集将完成后的作品延伸为可再次查看的材料，交流场景则提示作品可能有不同接收者。对日常表达研究而言，需要区分私人保存和公开展示，不能将发布意愿作为创作兴趣的必要条件。移动端经验也不能替代桌面端评价。由于本研究包含未成年人，需求任务无需其注册公开社区或发布个人资料，产品文档分析与儿童研究应保持分离。</w:t>
      </w:r>
    </w:p>
    <w:p>
      <w:pPr>
        <w:pStyle w:val="30"/>
        <w:numPr>
          <w:numId w:val="0"/>
        </w:numPr>
      </w:pPr>
      <w:r>
        <w:t>2.3.4 绘画类创作表达工具的设计启示</w:t>
      </w:r>
    </w:p>
    <w:p>
      <w:pPr>
        <w:pStyle w:val="a2"/>
        <w:widowControl/>
        <w:ind w:firstLineChars="200" w:firstLine="480"/>
      </w:pPr>
      <w:r>
        <w:t>三款产品提供了不同的任务组织方式，比较见表2.6。Procreate突出直接绘画中的工具选择和对象处理；Feather提供空间创作中的情境操作参照；画世界呈现编辑、回看与交流之间的联系。可借鉴的是功能怎样围绕活动展开，而非某一工具数量、界面配色或面板外观。资料还表明，工具丰富程度不能直接用来判断表达支持是否充分。</w:t>
      </w:r>
    </w:p>
    <w:p>
      <w:pPr>
        <w:pStyle w:val="a2"/>
        <w:widowControl/>
        <w:ind w:firstLineChars="200" w:firstLine="480"/>
      </w:pPr>
      <w:r>
        <w:t>面向非专业者，需要把“能否找到工具”“能否完成动作”和“动作能否落实意图”分别考察。减少参数可能降低查找负担，也可能限制用户希望保留的选择；工具按需出现可以释放画面，却需要清楚的入口和对象状态。对素材资源而言，分类、预览与关系调整可以成为研究方向，但应先由真实任务确认需要何种内容与操作，不能将现有原型的功能直接写成需求结论。</w:t>
      </w:r>
    </w:p>
    <w:p>
      <w:pPr>
        <w:pStyle w:val="a2"/>
        <w:widowControl/>
        <w:ind w:firstLineChars="200" w:firstLine="480"/>
      </w:pPr>
      <w:r>
        <w:t>因此，本节输出四项评价关注：工具入口能否理解，选中对象能否辨认，操作结果能否预测，以及作品能否支持回顾。它们与2.2节的表达决定相互对应，但尚不是一套经过验证的设计原则。下一章将结合理论讨论这些关注如何转化为设计依据，第四章再说明具体方案及其取舍。</w:t>
      </w:r>
    </w:p>
    <w:p>
      <w:pPr>
        <w:pStyle w:val="aa"/>
        <w:keepNext/>
        <w:keepLines/>
        <w:spacing w:before="0" w:after="0" w:line="300" w:lineRule="atLeast"/>
        <w:ind w:firstLine="0"/>
        <w:jc w:val="center"/>
      </w:pPr>
      <w:r>
        <w:t>表2.6  产品案例的交互组织比较</w:t>
      </w:r>
    </w:p>
    <w:p>
      <w:pPr>
        <w:pStyle w:val="ad"/>
        <w:keepNext/>
        <w:keepLines/>
        <w:spacing w:before="0" w:after="0" w:line="300" w:lineRule="atLeast"/>
        <w:ind w:firstLine="0"/>
        <w:jc w:val="center"/>
      </w:pPr>
      <w:r>
        <w:t>Table 2.6  Comparison of interaction organization across product cases</w:t>
      </w:r>
    </w:p>
    <w:tbl>
      <w:tblPr>
        <w:tblW w:type="auto" w:w="0"/>
        <w:jc w:val="center"/>
        <w:tblLayout w:type="fixed"/>
        <w:tblLook w:firstColumn="1" w:firstRow="1" w:lastColumn="0" w:lastRow="0" w:noHBand="0" w:noVBand="1" w:val="04A0"/>
        <w:tblBorders>
          <w:top w:val="single" w:sz="9" w:color="000000"/>
          <w:bottom w:val="single" w:sz="9" w:color="000000"/>
          <w:left w:val="nil" w:sz="9" w:color="000000"/>
          <w:right w:val="nil" w:sz="9" w:color="000000"/>
          <w:insideH w:val="nil" w:sz="9" w:color="000000"/>
          <w:insideV w:val="nil" w:sz="9" w:color="000000"/>
        </w:tblBorders>
      </w:tblPr>
      <w:tblGrid>
        <w:gridCol w:w="1531"/>
        <w:gridCol w:w="2438"/>
        <w:gridCol w:w="2438"/>
        <w:gridCol w:w="2381"/>
      </w:tblGrid>
      <w:tr>
        <w:trPr>
          <w:cantSplit/>
          <w:tblHeader/>
        </w:trPr>
        <w:tc>
          <w:tcPr>
            <w:tcW w:type="dxa" w:w="153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比较维度</w:t>
            </w:r>
          </w:p>
        </w:tc>
        <w:tc>
          <w:tcPr>
            <w:tcW w:type="dxa" w:w="243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Procreate</w:t>
            </w:r>
          </w:p>
        </w:tc>
        <w:tc>
          <w:tcPr>
            <w:tcW w:type="dxa" w:w="2438"/>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Feather</w:t>
            </w:r>
          </w:p>
        </w:tc>
        <w:tc>
          <w:tcPr>
            <w:tcW w:type="dxa" w:w="2381"/>
            <w:vAlign w:val="center"/>
            <w:tcMar>
              <w:top w:w="85" w:type="dxa"/>
              <w:bottom w:w="85" w:type="dxa"/>
              <w:left w:w="80" w:type="dxa"/>
              <w:right w:w="80" w:type="dxa"/>
            </w:tcMar>
            <w:tcBorders>
              <w:bottom w:val="single" w:sz="5" w:color="000000"/>
            </w:tcBorders>
          </w:tcPr>
          <w:p>
            <w:pPr>
              <w:pStyle w:val="af"/>
              <w:keepNext/>
              <w:spacing w:before="0" w:after="0" w:line="300" w:lineRule="atLeast"/>
              <w:ind w:firstLine="0"/>
              <w:jc w:val="center"/>
            </w:pPr>
            <w:r>
              <w:rPr>
                <w:b/>
              </w:rPr>
              <w:t>画世界</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主要创作情境</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直接数字绘画</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三维绘画</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移动绘画与交流</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工具与对象</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笔刷分类、预览及选区变换</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边缘工具、面板与情境菜单</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画笔、图层、导入及快速图形</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作品回访</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缩略图、命名与分组</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笔记与文件夹</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回看、画集与交流</w:t>
            </w:r>
          </w:p>
        </w:tc>
      </w:tr>
      <w:tr>
        <w:trPr>
          <w:cantSplit/>
        </w:trPr>
        <w:tc>
          <w:tcPr>
            <w:tcW w:type="dxa" w:w="1531"/>
            <w:vAlign w:val="center"/>
            <w:tcMar>
              <w:top w:w="85" w:type="dxa"/>
              <w:bottom w:w="85" w:type="dxa"/>
              <w:left w:w="80" w:type="dxa"/>
              <w:right w:w="80" w:type="dxa"/>
            </w:tcMar>
          </w:tcPr>
          <w:p>
            <w:pPr>
              <w:pStyle w:val="af"/>
              <w:keepNext/>
              <w:spacing w:before="0" w:after="0" w:line="300" w:lineRule="atLeast"/>
              <w:ind w:firstLine="0"/>
              <w:jc w:val="left"/>
            </w:pPr>
            <w:r>
              <w:rPr>
                <w:b w:val="0"/>
              </w:rPr>
              <w:t>迁移时需核查</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经验与发现成本</w:t>
            </w:r>
          </w:p>
        </w:tc>
        <w:tc>
          <w:tcPr>
            <w:tcW w:type="dxa" w:w="2438"/>
            <w:vAlign w:val="center"/>
            <w:tcMar>
              <w:top w:w="85" w:type="dxa"/>
              <w:bottom w:w="85" w:type="dxa"/>
              <w:left w:w="80" w:type="dxa"/>
              <w:right w:w="80" w:type="dxa"/>
            </w:tcMar>
          </w:tcPr>
          <w:p>
            <w:pPr>
              <w:pStyle w:val="af"/>
              <w:keepNext/>
              <w:spacing w:before="0" w:after="0" w:line="300" w:lineRule="atLeast"/>
              <w:ind w:firstLine="0"/>
              <w:jc w:val="left"/>
            </w:pPr>
            <w:r>
              <w:rPr>
                <w:b w:val="0"/>
              </w:rPr>
              <w:t>空间任务差异</w:t>
            </w:r>
          </w:p>
        </w:tc>
        <w:tc>
          <w:tcPr>
            <w:tcW w:type="dxa" w:w="2381"/>
            <w:vAlign w:val="center"/>
            <w:tcMar>
              <w:top w:w="85" w:type="dxa"/>
              <w:bottom w:w="85" w:type="dxa"/>
              <w:left w:w="80" w:type="dxa"/>
              <w:right w:w="80" w:type="dxa"/>
            </w:tcMar>
          </w:tcPr>
          <w:p>
            <w:pPr>
              <w:pStyle w:val="af"/>
              <w:keepNext/>
              <w:spacing w:before="0" w:after="0" w:line="300" w:lineRule="atLeast"/>
              <w:ind w:firstLine="0"/>
              <w:jc w:val="left"/>
            </w:pPr>
            <w:r>
              <w:rPr>
                <w:b w:val="0"/>
              </w:rPr>
              <w:t>编辑与分享差异</w:t>
            </w:r>
          </w:p>
        </w:tc>
      </w:tr>
    </w:tbl>
    <w:p>
      <w:pPr>
        <w:keepLines/>
        <w:spacing w:line="260" w:lineRule="atLeast" w:before="60" w:after="120"/>
        <w:ind w:firstLine="0"/>
      </w:pPr>
      <w:r>
        <w:rPr>
          <w:sz w:val="19"/>
        </w:rPr>
        <w:t>来源：作者根据官方资料</w:t>
      </w:r>
      <w:r>
        <w:rPr>
          <w:sz w:val="18"/>
          <w:vertAlign w:val="superscript"/>
        </w:rPr>
        <w:t>⁠[8—14]</w:t>
      </w:r>
      <w:r>
        <w:rPr>
          <w:sz w:val="19"/>
        </w:rPr>
        <w:t>整理。比较为文档分析，不是三款产品的用户测试结果。</w:t>
      </w:r>
    </w:p>
    <w:p>
      <w:pPr>
        <w:pStyle w:val="20"/>
        <w:numPr>
          <w:numId w:val="0"/>
        </w:numPr>
      </w:pPr>
      <w:r>
        <w:t>2.4 本章小结</w:t>
      </w:r>
    </w:p>
    <w:p>
      <w:pPr>
        <w:pStyle w:val="a2"/>
        <w:widowControl/>
        <w:ind w:firstLineChars="200" w:firstLine="480"/>
      </w:pPr>
      <w:r>
        <w:t>本章围绕非绘画专业者的表达需要，建立了需求核查方案及分析范围。研究对象按绘画与数字工具经验加以区分，成人与未成年人分层组织；访谈从近期真实经历进入，普通画布任务在产品展示之前展开，展示后的意见单独记录。这样的安排旨在保留原有需要与产品诱发期待之间的区别。现阶段尚不能据此宣称已经回答RQ1，用户画像和机会点仍需原始材料支持。</w:t>
      </w:r>
    </w:p>
    <w:p>
      <w:pPr>
        <w:pStyle w:val="a2"/>
        <w:widowControl/>
        <w:ind w:firstLineChars="200" w:firstLine="480"/>
      </w:pPr>
      <w:r>
        <w:t>文献分析将后续核查集中于一项关系：降低手绘执行要求时，用户在内容、位置、组合及完成判断上的决定，能否保留并进入表达结果。为说明这项关系，需要区分造型、运笔、操作理解与效果判断的困难，保留主动探索和已有替代方法。自动执行是否合适，取决于使用者愿意委托哪些工作，而非其绘画水平单一高低；观看后的改动也需说明具体起因。</w:t>
      </w:r>
    </w:p>
    <w:p>
      <w:pPr>
        <w:pStyle w:val="a2"/>
        <w:widowControl/>
        <w:ind w:firstLineChars="200" w:firstLine="480"/>
      </w:pPr>
      <w:r>
        <w:t>产品分析补充了工具分类、对象处理、情境面板及作品回访的参照，同时限定了二维与三维、成人与儿童、私人记录与公开交流之间的迁移范围。下一步应把访谈片段、观察事件及作品状态对应起来，经反例核查形成需求陈述，再进入理论推导。第二章向第三章传递的应是具有证据的需求与评价要求，而不是用产品功能包装的结论。第三章据此讨论用户决定、系统执行与持续介入的理论依据，后续实验再评价相应交互配置的效果及其适用范围。</w:t>
      </w:r>
    </w:p>
    <w:p>
      <w:pPr>
        <w:pStyle w:val="20"/>
        <w:pageBreakBefore/>
        <w:numPr>
          <w:numId w:val="0"/>
        </w:numPr>
      </w:pPr>
      <w:r>
        <w:t>本章参考文献</w:t>
      </w:r>
    </w:p>
    <w:p>
      <w:pPr>
        <w:pStyle w:val="af1"/>
        <w:keepLines/>
        <w:widowControl/>
        <w:spacing w:after="0"/>
        <w:ind w:firstLine="0" w:left="0"/>
        <w:jc w:val="left"/>
      </w:pPr>
      <w:r>
        <w:t>[1] FRICH J, MACDONALD VERMEULEN L, REMY C, et al. Mapping the landscape of creativity support tools in HCI[C]//Proceedings of the 2019 CHI Conference on Human Factors in Computing Systems. New York: ACM, 2019: 1–18. DOI: 10.1145/3290605.3300619.</w:t>
      </w:r>
    </w:p>
    <w:p>
      <w:pPr>
        <w:pStyle w:val="af1"/>
        <w:keepLines/>
        <w:widowControl/>
        <w:spacing w:after="0"/>
        <w:ind w:firstLine="0" w:left="0"/>
        <w:jc w:val="left"/>
      </w:pPr>
      <w:r>
        <w:t>[2] AYOBI A, SONNE T, MARSHALL P, et al. Flexible and mindful self-tracking: Design implications from paper bullet journals[C]//Proceedings of the 2018 CHI Conference on Human Factors in Computing Systems. New York: ACM, 2018: 1–14. DOI: 10.1145/3173574.3173602.</w:t>
      </w:r>
    </w:p>
    <w:p>
      <w:pPr>
        <w:pStyle w:val="af1"/>
        <w:keepLines/>
        <w:widowControl/>
        <w:spacing w:after="0"/>
        <w:ind w:firstLine="0" w:left="0"/>
        <w:jc w:val="left"/>
      </w:pPr>
      <w:r>
        <w:t>[3] CHUNG J J Y, ADAR E. PromptPaint: Steering text-to-image generation through paint medium-like interactions[C]//Proceedings of the 36th Annual ACM Symposium on User Interface Software and Technology. New York: ACM, 2023: 1–17. DOI: 10.1145/3586183.3606777.</w:t>
      </w:r>
    </w:p>
    <w:p>
      <w:pPr>
        <w:pStyle w:val="af1"/>
        <w:keepLines/>
        <w:widowControl/>
        <w:spacing w:after="0"/>
        <w:ind w:firstLine="0" w:left="0"/>
        <w:jc w:val="left"/>
      </w:pPr>
      <w:r>
        <w:t>[4] NEWMAN M, SUN K, DALLA GASPERINA I B, et al. “I want it to talk like Darth Vader”: Helping children construct creative self-efficacy with generative AI[C]//Proceedings of the CHI Conference on Human Factors in Computing Systems. New York: ACM, 2024: 1–18. DOI: 10.1145/3613904.3642492.</w:t>
      </w:r>
    </w:p>
    <w:p>
      <w:pPr>
        <w:pStyle w:val="af1"/>
        <w:keepLines/>
        <w:widowControl/>
        <w:spacing w:after="0"/>
        <w:ind w:firstLine="0" w:left="0"/>
        <w:jc w:val="left"/>
      </w:pPr>
      <w:r>
        <w:t>[5] WILLIFORD B, DOKE A, PAHUD M, et al. DrawMyPhoto: Assisting novices in drawing from photographs[C]//Proceedings of the 2019 on Creativity and Cognition. New York: ACM, 2019: 198–209. DOI: 10.1145/3325480.3325507.</w:t>
      </w:r>
    </w:p>
    <w:p>
      <w:pPr>
        <w:pStyle w:val="af1"/>
        <w:keepLines/>
        <w:widowControl/>
        <w:spacing w:after="0"/>
        <w:ind w:firstLine="0" w:left="0"/>
        <w:jc w:val="left"/>
      </w:pPr>
      <w:r>
        <w:t>[6] MA J, VU C, LYUBAVINA A, et al. Computational scaffolding of composition, value, and color for disciplined drawing[C]//Proceedings of the 38th Annual ACM Symposium on User Interface Software and Technology. New York: ACM, 2025: 1–15. DOI: 10.1145/3746059.3747605.</w:t>
      </w:r>
    </w:p>
    <w:p>
      <w:pPr>
        <w:pStyle w:val="af1"/>
        <w:keepLines/>
        <w:widowControl/>
        <w:spacing w:after="0"/>
        <w:ind w:firstLine="0" w:left="0"/>
        <w:jc w:val="left"/>
      </w:pPr>
      <w:r>
        <w:t>[7] BENEDETTI L, WINNEMÖLLER H, CORSINI M, et al. Painting with Bob: Assisted creativity for novices[C]//Proceedings of the 27th Annual ACM Symposium on User Interface Software and Technology. New York: ACM, 2014: 419–428. DOI: 10.1145/2642918.2647415.</w:t>
      </w:r>
    </w:p>
    <w:p>
      <w:pPr>
        <w:pStyle w:val="af1"/>
        <w:keepLines/>
        <w:widowControl/>
        <w:spacing w:after="0"/>
        <w:ind w:firstLine="0" w:left="0"/>
        <w:jc w:val="left"/>
      </w:pPr>
      <w:r>
        <w:t>[8] PROCREATE. Interface: Procreate handbook[EB/OL]. [2026-10-28]. https://help.procreate.com/procreate/handbook/interface-gestures/interface.</w:t>
      </w:r>
    </w:p>
    <w:p>
      <w:pPr>
        <w:pStyle w:val="af1"/>
        <w:keepLines/>
        <w:widowControl/>
        <w:spacing w:after="0"/>
        <w:ind w:firstLine="0" w:left="0"/>
        <w:jc w:val="left"/>
      </w:pPr>
      <w:r>
        <w:t>[9] PROCREATE. Brush libraries: Procreate handbook[EB/OL]. [2026-10-28]. https://help.procreate.com/procreate/handbook/brushes/brush-library.</w:t>
      </w:r>
    </w:p>
    <w:p>
      <w:pPr>
        <w:pStyle w:val="af1"/>
        <w:keepLines/>
        <w:widowControl/>
        <w:spacing w:after="0"/>
        <w:ind w:firstLine="0" w:left="0"/>
        <w:jc w:val="left"/>
      </w:pPr>
      <w:r>
        <w:t>[10] PROCREATE. Interface and gestures: Transform[EB/OL]. [2026-10-28]. https://help.procreate.com/procreate/handbook/transform/transform-interface-gestures.</w:t>
      </w:r>
    </w:p>
    <w:p>
      <w:pPr>
        <w:pStyle w:val="af1"/>
        <w:keepLines/>
        <w:widowControl/>
        <w:spacing w:after="0"/>
        <w:ind w:firstLine="0" w:left="0"/>
        <w:jc w:val="left"/>
      </w:pPr>
      <w:r>
        <w:t>[11] PROCREATE. Organize: Procreate handbook[EB/OL]. [2026-10-28]. https://help.procreate.com/procreate/handbook/gallery/gallery-organize.</w:t>
      </w:r>
    </w:p>
    <w:p>
      <w:pPr>
        <w:pStyle w:val="af1"/>
        <w:keepLines/>
        <w:widowControl/>
        <w:spacing w:after="0"/>
        <w:ind w:firstLine="0" w:left="0"/>
        <w:jc w:val="left"/>
      </w:pPr>
      <w:r>
        <w:t>[12] FEATHER. Interface: Feather documentation[EB/OL]. [2026-10-28]. https://support.feather.art/docs/interfaceandgestures/interface.</w:t>
      </w:r>
    </w:p>
    <w:p>
      <w:pPr>
        <w:pStyle w:val="af1"/>
        <w:keepLines/>
        <w:widowControl/>
        <w:spacing w:after="0"/>
        <w:ind w:firstLine="0" w:left="0"/>
        <w:jc w:val="left"/>
      </w:pPr>
      <w:r>
        <w:t>[13] FEATHER. Create and organize: Feather documentation[EB/OL]. [2026-10-28]. https://support.feather.art/docs/home/createandorganize.</w:t>
      </w:r>
    </w:p>
    <w:p>
      <w:pPr>
        <w:pStyle w:val="af1"/>
        <w:keepLines/>
        <w:widowControl/>
        <w:spacing w:after="0"/>
        <w:ind w:firstLine="0" w:left="0"/>
        <w:jc w:val="left"/>
      </w:pPr>
      <w:r>
        <w:t>[14] 石家庄幻刺网络科技有限公司. 画世界[EB/OL]. App Store中国区, [2026-10-28]. https://apps.apple.com/cn/app/id1450111327.</w:t>
      </w:r>
    </w:p>
    <w:sectPr w:rsidR="00387DC6" w:rsidSect="007C65D7">
      <w:headerReference w:type="default" r:id="rId27"/>
      <w:footerReference w:type="default" r:id="rId28"/>
      <w:pgSz w:w="11906" w:h="16838" w:code="9"/>
      <w:pgMar w:top="1985" w:right="1418" w:bottom="2268" w:left="1418" w:header="1418" w:footer="1701" w:gutter="284"/>
      <w:cols w:space="425"/>
      <w:docGrid w:linePitch="312"/>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作者" w:date="2024-06-27T21:01:00Z" w:initials="v">
    <w:p w14:paraId="230DB87A" w14:textId="77777777" w:rsidR="002E6D37" w:rsidRDefault="002E6D37">
      <w:pPr>
        <w:pStyle w:val="af4"/>
      </w:pPr>
      <w:r>
        <w:rPr>
          <w:rStyle w:val="af3"/>
        </w:rPr>
        <w:annotationRef/>
      </w:r>
      <w:r w:rsidRPr="002E6D37">
        <w:rPr>
          <w:rFonts w:hint="eastAsia"/>
        </w:rPr>
        <w:t>中文标题页，无页眉页脚，页面布局两端对齐。</w:t>
      </w:r>
    </w:p>
    <w:p w14:paraId="7F82514D" w14:textId="77777777" w:rsidR="002E6D37" w:rsidRDefault="002E6D37">
      <w:pPr>
        <w:pStyle w:val="af4"/>
      </w:pPr>
    </w:p>
    <w:p w14:paraId="2BBBAF56" w14:textId="77777777" w:rsidR="002E6D37" w:rsidRDefault="002E6D37">
      <w:pPr>
        <w:pStyle w:val="af4"/>
      </w:pPr>
      <w:r w:rsidRPr="002E6D37">
        <w:rPr>
          <w:rFonts w:hint="eastAsia"/>
        </w:rPr>
        <w:t>校徽，大小</w:t>
      </w:r>
      <w:r w:rsidRPr="002E6D37">
        <w:rPr>
          <w:rFonts w:hint="eastAsia"/>
        </w:rPr>
        <w:t>3cm</w:t>
      </w:r>
      <w:r w:rsidRPr="002E6D37">
        <w:rPr>
          <w:rFonts w:hint="eastAsia"/>
        </w:rPr>
        <w:t>×</w:t>
      </w:r>
      <w:r w:rsidRPr="002E6D37">
        <w:rPr>
          <w:rFonts w:hint="eastAsia"/>
        </w:rPr>
        <w:t>3cm</w:t>
      </w:r>
      <w:r w:rsidRPr="002E6D37">
        <w:rPr>
          <w:rFonts w:hint="eastAsia"/>
        </w:rPr>
        <w:t>。</w:t>
      </w:r>
    </w:p>
    <w:p w14:paraId="3D51C3F0" w14:textId="77777777" w:rsidR="002E6D37" w:rsidRDefault="002E6D37">
      <w:pPr>
        <w:pStyle w:val="af4"/>
      </w:pPr>
    </w:p>
    <w:p w14:paraId="78745B90" w14:textId="5A44A1E7" w:rsidR="002E6D37" w:rsidRDefault="002E6D37">
      <w:pPr>
        <w:pStyle w:val="af4"/>
      </w:pPr>
      <w:r w:rsidRPr="002E6D37">
        <w:rPr>
          <w:rFonts w:hint="eastAsia"/>
        </w:rPr>
        <w:t>申请学位层次：博士或硕士。</w:t>
      </w:r>
    </w:p>
  </w:comment>
  <w:comment w:id="1"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2"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3"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4"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5"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6"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w:t>
      </w:r>
      <w:r w:rsidR="0036339A" w:rsidRPr="0036339A">
        <w:rPr>
          <w:rFonts w:hint="eastAsia"/>
        </w:rPr>
        <w:t>非电脑输入姓名）。</w:t>
      </w:r>
    </w:p>
  </w:comment>
  <w:comment w:id="7"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w:t>
      </w:r>
      <w:proofErr w:type="gramStart"/>
      <w:r w:rsidRPr="005C77E5">
        <w:rPr>
          <w:rFonts w:hint="eastAsia"/>
        </w:rPr>
        <w:t>应勾选“内部论文”</w:t>
      </w:r>
      <w:proofErr w:type="gramEnd"/>
      <w:r w:rsidRPr="005C77E5">
        <w:rPr>
          <w:rFonts w:hint="eastAsia"/>
        </w:rPr>
        <w:t>。</w:t>
      </w:r>
    </w:p>
  </w:comment>
  <w:comment w:id="8"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w:t>
      </w:r>
      <w:r w:rsidRPr="0036339A">
        <w:rPr>
          <w:rFonts w:hint="eastAsia"/>
        </w:rPr>
        <w:t>非电脑输入姓名）。</w:t>
      </w:r>
    </w:p>
  </w:comment>
  <w:comment w:id="10"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1"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2" w:author="作者" w:date="2023-11-08T08:30:00Z" w:initials="v">
    <w:p w14:paraId="5387C1FE" w14:textId="00332312" w:rsidR="00A143E9" w:rsidRDefault="00A143E9">
      <w:pPr>
        <w:pStyle w:val="af4"/>
      </w:pPr>
      <w:r>
        <w:rPr>
          <w:rStyle w:val="af3"/>
        </w:rPr>
        <w:annotationRef/>
      </w:r>
      <w:r w:rsidR="00DD69DC">
        <w:rPr>
          <w:rStyle w:val="af3"/>
        </w:rPr>
        <w:annotationRef/>
      </w:r>
      <w:proofErr w:type="gramStart"/>
      <w:r w:rsidR="00DB0379">
        <w:rPr>
          <w:rFonts w:hint="eastAsia"/>
        </w:rPr>
        <w:t>段前空</w:t>
      </w:r>
      <w:proofErr w:type="gramEnd"/>
      <w:r w:rsidR="00DB0379">
        <w:rPr>
          <w:rFonts w:hint="eastAsia"/>
        </w:rPr>
        <w:t>一行，</w:t>
      </w:r>
      <w:r w:rsidR="00DD69DC">
        <w:rPr>
          <w:rFonts w:hint="eastAsia"/>
        </w:rPr>
        <w:t>“关键词”三个字加粗。</w:t>
      </w:r>
    </w:p>
  </w:comment>
  <w:comment w:id="13"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4"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5" w:author="作者" w:date="2023-11-08T08:35:00Z" w:initials="v">
    <w:p w14:paraId="62F42930" w14:textId="1C695A8F" w:rsidR="009A7850" w:rsidRDefault="009A7850">
      <w:pPr>
        <w:pStyle w:val="af4"/>
      </w:pPr>
      <w:r>
        <w:rPr>
          <w:rStyle w:val="af3"/>
        </w:rPr>
        <w:annotationRef/>
      </w:r>
      <w:proofErr w:type="gramStart"/>
      <w:r w:rsidR="00DB0379">
        <w:rPr>
          <w:rFonts w:hint="eastAsia"/>
        </w:rPr>
        <w:t>段前空</w:t>
      </w:r>
      <w:proofErr w:type="gramEnd"/>
      <w:r w:rsidR="00DB0379">
        <w:rPr>
          <w:rFonts w:hint="eastAsia"/>
        </w:rPr>
        <w:t>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6"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w:t>
      </w:r>
      <w:proofErr w:type="gramStart"/>
      <w:r w:rsidR="004C20C5">
        <w:rPr>
          <w:rFonts w:hint="eastAsia"/>
        </w:rPr>
        <w:t>段前</w:t>
      </w:r>
      <w:r w:rsidR="009C6946">
        <w:t>6</w:t>
      </w:r>
      <w:r w:rsidR="004C20C5">
        <w:rPr>
          <w:rFonts w:hint="eastAsia"/>
        </w:rPr>
        <w:t>磅</w:t>
      </w:r>
      <w:proofErr w:type="gramEnd"/>
      <w:r w:rsidR="004C20C5">
        <w:rPr>
          <w:rFonts w:hint="eastAsia"/>
        </w:rPr>
        <w:t>，页码右对齐。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8"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9"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w:t>
      </w:r>
      <w:proofErr w:type="gramStart"/>
      <w:r w:rsidRPr="00E0363D">
        <w:rPr>
          <w:rFonts w:hint="eastAsia"/>
        </w:rPr>
        <w:t>段前</w:t>
      </w:r>
      <w:r w:rsidRPr="00E0363D">
        <w:rPr>
          <w:rFonts w:hint="eastAsia"/>
        </w:rPr>
        <w:t>24</w:t>
      </w:r>
      <w:r w:rsidRPr="00E0363D">
        <w:rPr>
          <w:rFonts w:hint="eastAsia"/>
        </w:rPr>
        <w:t>磅</w:t>
      </w:r>
      <w:proofErr w:type="gramEnd"/>
      <w:r w:rsidRPr="00E0363D">
        <w:rPr>
          <w:rFonts w:hint="eastAsia"/>
        </w:rPr>
        <w:t>，段后</w:t>
      </w:r>
      <w:r w:rsidRPr="00E0363D">
        <w:rPr>
          <w:rFonts w:hint="eastAsia"/>
        </w:rPr>
        <w:t>18</w:t>
      </w:r>
      <w:r w:rsidRPr="00E0363D">
        <w:rPr>
          <w:rFonts w:hint="eastAsia"/>
        </w:rPr>
        <w:t>磅，序号与</w:t>
      </w:r>
      <w:proofErr w:type="gramStart"/>
      <w:r w:rsidRPr="00E0363D">
        <w:rPr>
          <w:rFonts w:hint="eastAsia"/>
        </w:rPr>
        <w:t>标题间空一个</w:t>
      </w:r>
      <w:proofErr w:type="gramEnd"/>
      <w:r w:rsidRPr="00E0363D">
        <w:rPr>
          <w:rFonts w:hint="eastAsia"/>
        </w:rPr>
        <w:t>字符。</w:t>
      </w:r>
    </w:p>
  </w:comment>
  <w:comment w:id="21"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w:t>
      </w:r>
      <w:proofErr w:type="gramStart"/>
      <w:r w:rsidR="008D7777" w:rsidRPr="008D7777">
        <w:rPr>
          <w:rFonts w:hint="eastAsia"/>
        </w:rPr>
        <w:t>段前</w:t>
      </w:r>
      <w:r w:rsidR="008D7777" w:rsidRPr="008D7777">
        <w:rPr>
          <w:rFonts w:hint="eastAsia"/>
        </w:rPr>
        <w:t>24</w:t>
      </w:r>
      <w:r w:rsidR="008D7777" w:rsidRPr="008D7777">
        <w:rPr>
          <w:rFonts w:hint="eastAsia"/>
        </w:rPr>
        <w:t>磅</w:t>
      </w:r>
      <w:proofErr w:type="gramEnd"/>
      <w:r w:rsidR="008D7777" w:rsidRPr="008D7777">
        <w:rPr>
          <w:rFonts w:hint="eastAsia"/>
        </w:rPr>
        <w:t>，段后</w:t>
      </w:r>
      <w:r w:rsidR="008D7777" w:rsidRPr="008D7777">
        <w:rPr>
          <w:rFonts w:hint="eastAsia"/>
        </w:rPr>
        <w:t>6</w:t>
      </w:r>
      <w:r w:rsidR="008D7777" w:rsidRPr="008D7777">
        <w:rPr>
          <w:rFonts w:hint="eastAsia"/>
        </w:rPr>
        <w:t>磅，序号与</w:t>
      </w:r>
      <w:proofErr w:type="gramStart"/>
      <w:r w:rsidR="008D7777" w:rsidRPr="008D7777">
        <w:rPr>
          <w:rFonts w:hint="eastAsia"/>
        </w:rPr>
        <w:t>标题间空一个</w:t>
      </w:r>
      <w:proofErr w:type="gramEnd"/>
      <w:r w:rsidR="008D7777" w:rsidRPr="008D7777">
        <w:rPr>
          <w:rFonts w:hint="eastAsia"/>
        </w:rPr>
        <w:t>字符。</w:t>
      </w:r>
    </w:p>
  </w:comment>
  <w:comment w:id="23"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w:t>
      </w:r>
      <w:proofErr w:type="gramStart"/>
      <w:r w:rsidR="005C38AF" w:rsidRPr="004F4EA5">
        <w:rPr>
          <w:rFonts w:hint="eastAsia"/>
        </w:rPr>
        <w:t>段前</w:t>
      </w:r>
      <w:r w:rsidR="005C38AF">
        <w:t>12</w:t>
      </w:r>
      <w:r w:rsidR="005C38AF" w:rsidRPr="004F4EA5">
        <w:rPr>
          <w:rFonts w:hint="eastAsia"/>
        </w:rPr>
        <w:t>磅</w:t>
      </w:r>
      <w:proofErr w:type="gramEnd"/>
      <w:r w:rsidR="005C38AF" w:rsidRPr="004F4EA5">
        <w:rPr>
          <w:rFonts w:hint="eastAsia"/>
        </w:rPr>
        <w:t>，段后</w:t>
      </w:r>
      <w:r w:rsidR="005C38AF" w:rsidRPr="004F4EA5">
        <w:rPr>
          <w:rFonts w:hint="eastAsia"/>
        </w:rPr>
        <w:t>6</w:t>
      </w:r>
      <w:r w:rsidR="005C38AF" w:rsidRPr="004F4EA5">
        <w:rPr>
          <w:rFonts w:hint="eastAsia"/>
        </w:rPr>
        <w:t>磅，序号与</w:t>
      </w:r>
      <w:proofErr w:type="gramStart"/>
      <w:r w:rsidR="005C38AF" w:rsidRPr="004F4EA5">
        <w:rPr>
          <w:rFonts w:hint="eastAsia"/>
        </w:rPr>
        <w:t>标题间空一个</w:t>
      </w:r>
      <w:proofErr w:type="gramEnd"/>
      <w:r w:rsidR="005C38AF" w:rsidRPr="004F4EA5">
        <w:rPr>
          <w:rFonts w:hint="eastAsia"/>
        </w:rPr>
        <w:t>汉字符。</w:t>
      </w:r>
    </w:p>
  </w:comment>
  <w:comment w:id="24"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w:t>
      </w:r>
      <w:proofErr w:type="gramStart"/>
      <w:r w:rsidR="008B086C" w:rsidRPr="004F4EA5">
        <w:rPr>
          <w:rFonts w:hint="eastAsia"/>
        </w:rPr>
        <w:t>段前</w:t>
      </w:r>
      <w:r w:rsidR="008B086C">
        <w:t>6</w:t>
      </w:r>
      <w:r w:rsidR="008B086C" w:rsidRPr="004F4EA5">
        <w:rPr>
          <w:rFonts w:hint="eastAsia"/>
        </w:rPr>
        <w:t>磅</w:t>
      </w:r>
      <w:proofErr w:type="gramEnd"/>
      <w:r w:rsidR="008B086C" w:rsidRPr="004F4EA5">
        <w:rPr>
          <w:rFonts w:hint="eastAsia"/>
        </w:rPr>
        <w:t>，段后</w:t>
      </w:r>
      <w:r w:rsidR="008B086C" w:rsidRPr="004F4EA5">
        <w:rPr>
          <w:rFonts w:hint="eastAsia"/>
        </w:rPr>
        <w:t>6</w:t>
      </w:r>
      <w:r w:rsidR="008B086C" w:rsidRPr="004F4EA5">
        <w:rPr>
          <w:rFonts w:hint="eastAsia"/>
        </w:rPr>
        <w:t>磅，序号与</w:t>
      </w:r>
      <w:proofErr w:type="gramStart"/>
      <w:r w:rsidR="008B086C" w:rsidRPr="004F4EA5">
        <w:rPr>
          <w:rFonts w:hint="eastAsia"/>
        </w:rPr>
        <w:t>标题间空一个</w:t>
      </w:r>
      <w:proofErr w:type="gramEnd"/>
      <w:r w:rsidR="008B086C" w:rsidRPr="004F4EA5">
        <w:rPr>
          <w:rFonts w:hint="eastAsia"/>
        </w:rPr>
        <w:t>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8"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1"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2"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40"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3"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4" w:author="作者" w:date="2023-11-08T08:58:00Z" w:initials="v">
    <w:p w14:paraId="66832AA6" w14:textId="2F0CB993" w:rsidR="00D63519" w:rsidRDefault="00D63519">
      <w:pPr>
        <w:pStyle w:val="af4"/>
      </w:pPr>
      <w:r>
        <w:rPr>
          <w:rStyle w:val="af3"/>
        </w:rPr>
        <w:annotationRef/>
      </w:r>
      <w:r w:rsidR="00ED3785">
        <w:rPr>
          <w:rFonts w:hint="eastAsia"/>
        </w:rPr>
        <w:t>表注：</w:t>
      </w:r>
      <w:proofErr w:type="gramStart"/>
      <w:r>
        <w:rPr>
          <w:rFonts w:hint="eastAsia"/>
        </w:rPr>
        <w:t>表</w:t>
      </w:r>
      <w:r w:rsidRPr="00A12497">
        <w:rPr>
          <w:rFonts w:hint="eastAsia"/>
        </w:rPr>
        <w:t>题置于</w:t>
      </w:r>
      <w:proofErr w:type="gramEnd"/>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w:t>
      </w:r>
      <w:proofErr w:type="gramStart"/>
      <w:r w:rsidRPr="00A12497">
        <w:rPr>
          <w:rFonts w:hint="eastAsia"/>
        </w:rPr>
        <w:t>及</w:t>
      </w:r>
      <w:r>
        <w:rPr>
          <w:rFonts w:hint="eastAsia"/>
        </w:rPr>
        <w:t>表</w:t>
      </w:r>
      <w:r w:rsidRPr="00A12497">
        <w:rPr>
          <w:rFonts w:hint="eastAsia"/>
        </w:rPr>
        <w:t>题置于</w:t>
      </w:r>
      <w:proofErr w:type="gramEnd"/>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w:t>
      </w:r>
      <w:proofErr w:type="gramStart"/>
      <w:r w:rsidRPr="00ED3785">
        <w:rPr>
          <w:rFonts w:hint="eastAsia"/>
        </w:rPr>
        <w:t>三线表</w:t>
      </w:r>
      <w:proofErr w:type="gramEnd"/>
      <w:r w:rsidRPr="00ED3785">
        <w:rPr>
          <w:rFonts w:hint="eastAsia"/>
        </w:rPr>
        <w:t>形式。</w:t>
      </w:r>
    </w:p>
  </w:comment>
  <w:comment w:id="46"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w:t>
      </w:r>
      <w:proofErr w:type="gramStart"/>
      <w:r w:rsidR="00783C2D" w:rsidRPr="00783C2D">
        <w:rPr>
          <w:rFonts w:hint="eastAsia"/>
        </w:rPr>
        <w:t>括</w:t>
      </w:r>
      <w:proofErr w:type="gramEnd"/>
      <w:r w:rsidR="00783C2D" w:rsidRPr="00783C2D">
        <w:rPr>
          <w:rFonts w:hint="eastAsia"/>
        </w:rPr>
        <w:t>起来写在右边行末，其间不加虚线。</w:t>
      </w:r>
    </w:p>
  </w:comment>
  <w:comment w:id="48"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50"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2"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4"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6"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proofErr w:type="gramStart"/>
      <w:r w:rsidR="0066244F" w:rsidRPr="0066244F">
        <w:rPr>
          <w:rFonts w:hint="eastAsia"/>
        </w:rPr>
        <w:t>段前</w:t>
      </w:r>
      <w:r w:rsidR="0066244F">
        <w:t>0</w:t>
      </w:r>
      <w:r w:rsidR="0066244F" w:rsidRPr="0066244F">
        <w:rPr>
          <w:rFonts w:hint="eastAsia"/>
        </w:rPr>
        <w:t>磅</w:t>
      </w:r>
      <w:proofErr w:type="gramEnd"/>
      <w:r w:rsidR="0066244F" w:rsidRPr="0066244F">
        <w:rPr>
          <w:rFonts w:hint="eastAsia"/>
        </w:rPr>
        <w:t>，段后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8"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60"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2"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745B90" w15:done="0"/>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2851C7" w16cex:dateUtc="2024-06-27T13:01:00Z"/>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745B90" w16cid:durableId="2A2851C7"/>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1406B3" w14:textId="77777777" w:rsidR="001419EE" w:rsidRDefault="001419EE" w:rsidP="00522E80">
      <w:r>
        <w:separator/>
      </w:r>
    </w:p>
  </w:endnote>
  <w:endnote w:type="continuationSeparator" w:id="0">
    <w:p w14:paraId="00FAB223" w14:textId="77777777" w:rsidR="001419EE" w:rsidRDefault="001419E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8"/>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3861" w14:textId="77777777" w:rsidR="001419EE" w:rsidRDefault="001419EE" w:rsidP="00522E80">
      <w:r>
        <w:separator/>
      </w:r>
    </w:p>
  </w:footnote>
  <w:footnote w:type="continuationSeparator" w:id="0">
    <w:p w14:paraId="7DF447D6" w14:textId="77777777" w:rsidR="001419EE" w:rsidRDefault="001419E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C485F" w14:textId="26A62548"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830430">
      <w:rPr>
        <w:rFonts w:hint="eastAsia"/>
        <w:noProof/>
      </w:rPr>
      <w:t>摘　要</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61863" w14:textId="1A189848"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7C65D7">
      <w:ptab w:relativeTo="margin" w:alignment="right" w:leader="none"/>
    </w:r>
    <w:r w:rsidR="001419EE">
      <w:fldChar w:fldCharType="begin"/>
    </w:r>
    <w:r w:rsidR="001419EE">
      <w:instrText xml:space="preserve"> STYLEREF 1 \n </w:instrText>
    </w:r>
    <w:r w:rsidR="001419EE">
      <w:fldChar w:fldCharType="separate"/>
    </w:r>
    <w:r w:rsidR="00830430">
      <w:rPr>
        <w:rFonts w:hint="eastAsia"/>
        <w:noProof/>
      </w:rPr>
      <w:t>第</w:t>
    </w:r>
    <w:r w:rsidR="00830430">
      <w:rPr>
        <w:rFonts w:hint="eastAsia"/>
        <w:noProof/>
      </w:rPr>
      <w:t> 4 </w:t>
    </w:r>
    <w:r w:rsidR="00830430">
      <w:rPr>
        <w:rFonts w:hint="eastAsia"/>
        <w:noProof/>
      </w:rPr>
      <w:t xml:space="preserve">章　</w:t>
    </w:r>
    <w:r w:rsidR="001419EE">
      <w:rPr>
        <w:noProof/>
      </w:rPr>
      <w:fldChar w:fldCharType="end"/>
    </w:r>
    <w:r w:rsidR="001419EE">
      <w:fldChar w:fldCharType="begin"/>
    </w:r>
    <w:r w:rsidR="001419EE">
      <w:instrText xml:space="preserve"> STYLEREF 1 </w:instrText>
    </w:r>
    <w:r w:rsidR="001419EE">
      <w:fldChar w:fldCharType="separate"/>
    </w:r>
    <w:r w:rsidR="00830430">
      <w:rPr>
        <w:rFonts w:hint="eastAsia"/>
        <w:noProof/>
      </w:rPr>
      <w:t>全文总结</w:t>
    </w:r>
    <w:r w:rsidR="001419EE">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68653" w14:textId="264B17DC"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830430">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F990E" w14:textId="49002B42"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830430">
      <w:rPr>
        <w:rFonts w:hint="eastAsia"/>
        <w:noProof/>
      </w:rPr>
      <w:t>附录</w:t>
    </w:r>
    <w:r w:rsidR="00830430">
      <w:rPr>
        <w:rFonts w:hint="eastAsia"/>
        <w:noProof/>
      </w:rPr>
      <w:t> A</w:t>
    </w:r>
    <w:r w:rsidR="00830430">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830430">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8CF" w14:textId="4782E40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830430">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830430">
      <w:rPr>
        <w:rFonts w:hint="eastAsia"/>
        <w:noProof/>
      </w:rPr>
      <w:t>学术论文和科研成果目录</w:t>
    </w:r>
    <w:r w:rsidR="001F1700">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6"/>
      <w:tabs>
        <w:tab w:pos="8787" w:val="right"/>
      </w:tabs>
      <w:jc w:val="left"/>
    </w:pPr>
    <w:r>
      <w:t>上海交通大学硕士学位论文</w:t>
    </w:r>
    <w:r>
      <w:tab/>
      <w:t>第2章 用户需求与阻力研究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6"/>
  </w:num>
  <w:num w:numId="12">
    <w:abstractNumId w:val="24"/>
  </w:num>
  <w:num w:numId="13">
    <w:abstractNumId w:val="14"/>
  </w:num>
  <w:num w:numId="14">
    <w:abstractNumId w:val="20"/>
  </w:num>
  <w:num w:numId="15">
    <w:abstractNumId w:val="21"/>
  </w:num>
  <w:num w:numId="16">
    <w:abstractNumId w:val="49"/>
  </w:num>
  <w:num w:numId="17">
    <w:abstractNumId w:val="26"/>
  </w:num>
  <w:num w:numId="18">
    <w:abstractNumId w:val="45"/>
  </w:num>
  <w:num w:numId="19">
    <w:abstractNumId w:val="19"/>
  </w:num>
  <w:num w:numId="20">
    <w:abstractNumId w:val="18"/>
  </w:num>
  <w:num w:numId="21">
    <w:abstractNumId w:val="40"/>
  </w:num>
  <w:num w:numId="22">
    <w:abstractNumId w:val="41"/>
  </w:num>
  <w:num w:numId="23">
    <w:abstractNumId w:val="36"/>
  </w:num>
  <w:num w:numId="24">
    <w:abstractNumId w:val="15"/>
  </w:num>
  <w:num w:numId="25">
    <w:abstractNumId w:val="42"/>
  </w:num>
  <w:num w:numId="26">
    <w:abstractNumId w:val="35"/>
  </w:num>
  <w:num w:numId="27">
    <w:abstractNumId w:val="30"/>
  </w:num>
  <w:num w:numId="28">
    <w:abstractNumId w:val="38"/>
  </w:num>
  <w:num w:numId="29">
    <w:abstractNumId w:val="27"/>
  </w:num>
  <w:num w:numId="30">
    <w:abstractNumId w:val="17"/>
  </w:num>
  <w:num w:numId="31">
    <w:abstractNumId w:val="10"/>
  </w:num>
  <w:num w:numId="32">
    <w:abstractNumId w:val="23"/>
  </w:num>
  <w:num w:numId="33">
    <w:abstractNumId w:val="33"/>
  </w:num>
  <w:num w:numId="34">
    <w:abstractNumId w:val="29"/>
  </w:num>
  <w:num w:numId="35">
    <w:abstractNumId w:val="31"/>
  </w:num>
  <w:num w:numId="36">
    <w:abstractNumId w:val="39"/>
  </w:num>
  <w:num w:numId="37">
    <w:abstractNumId w:val="47"/>
  </w:num>
  <w:num w:numId="38">
    <w:abstractNumId w:val="32"/>
  </w:num>
  <w:num w:numId="39">
    <w:abstractNumId w:val="48"/>
  </w:num>
  <w:num w:numId="40">
    <w:abstractNumId w:val="25"/>
  </w:num>
  <w:num w:numId="41">
    <w:abstractNumId w:val="43"/>
  </w:num>
  <w:num w:numId="42">
    <w:abstractNumId w:val="46"/>
  </w:num>
  <w:num w:numId="43">
    <w:abstractNumId w:val="13"/>
  </w:num>
  <w:num w:numId="44">
    <w:abstractNumId w:val="37"/>
  </w:num>
  <w:num w:numId="45">
    <w:abstractNumId w:val="34"/>
  </w:num>
  <w:num w:numId="46">
    <w:abstractNumId w:val="44"/>
  </w:num>
  <w:num w:numId="47">
    <w:abstractNumId w:val="12"/>
  </w:num>
  <w:num w:numId="48">
    <w:abstractNumId w:val="11"/>
  </w:num>
  <w:num w:numId="49">
    <w:abstractNumId w:val="28"/>
  </w:num>
  <w:num w:numId="5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7006"/>
    <w:rsid w:val="005A7966"/>
    <w:rsid w:val="005C1CDF"/>
    <w:rsid w:val="005C38AF"/>
    <w:rsid w:val="005C77E5"/>
    <w:rsid w:val="005D3439"/>
    <w:rsid w:val="005D6348"/>
    <w:rsid w:val="005D653F"/>
    <w:rsid w:val="005D6EE4"/>
    <w:rsid w:val="005D7D7E"/>
    <w:rsid w:val="005F329E"/>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5953"/>
    <w:rsid w:val="009C6946"/>
    <w:rsid w:val="009D5885"/>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E2197"/>
    <w:rsid w:val="00AF3A79"/>
    <w:rsid w:val="00AF4C3B"/>
    <w:rsid w:val="00B00986"/>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32AA4"/>
  <w15:chartTrackingRefBased/>
  <w15:docId w15:val="{EC29F375-45A8-4EDE-BA48-FF9D5E256C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rFonts w:ascii="Times New Roman" w:hAnsi="Times New Roman" w:eastAsia="宋体" w:cs="Times New Roman"/>
      <w:b w:val="0"/>
      <w:color w:val="000000"/>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imes New Roman" w:hAnsi="Times New Roman" w:eastAsia="黑体" w:cs="Times New Roman"/>
      <w:b/>
      <w:bCs/>
      <w:color w:val="000000"/>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imes New Roman" w:hAnsi="Times New Roman" w:eastAsia="黑体" w:cs="Times New Roman"/>
      <w:b/>
      <w:bCs/>
      <w:color w:val="000000"/>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imes New Roman" w:hAnsi="Times New Roman" w:eastAsia="黑体" w:cs="Times New Roman"/>
      <w:b/>
      <w:bCs/>
      <w:color w:val="000000"/>
      <w:sz w:val="24"/>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rPr>
      <w:rFonts w:ascii="Times New Roman" w:hAnsi="Times New Roman" w:eastAsia="宋体" w:cs="Times New Roman"/>
      <w:b w:val="0"/>
      <w:color w:val="000000"/>
      <w:sz w:val="24"/>
    </w:r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rFonts w:ascii="Times New Roman" w:hAnsi="Times New Roman" w:eastAsia="宋体" w:cs="Times New Roman"/>
      <w:b w:val="0"/>
      <w:color w:val="000000"/>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rFonts w:ascii="Times New Roman" w:hAnsi="Times New Roman" w:eastAsia="宋体" w:cs="Times New Roman"/>
      <w:b w:val="0"/>
      <w:color w:val="000000"/>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rPr>
      <w:rFonts w:ascii="Times New Roman" w:hAnsi="Times New Roman" w:eastAsia="宋体" w:cs="Times New Roman"/>
      <w:b w:val="0"/>
      <w:color w:val="000000"/>
      <w:sz w:val="21"/>
    </w:r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rPr>
      <w:rFonts w:ascii="Times New Roman" w:hAnsi="Times New Roman" w:eastAsia="宋体" w:cs="Times New Roman"/>
      <w:b w:val="0"/>
      <w:color w:val="000000"/>
      <w:sz w:val="21"/>
    </w:r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rFonts w:ascii="Times New Roman" w:hAnsi="Times New Roman" w:eastAsia="宋体" w:cs="Times New Roman"/>
      <w:b w:val="0"/>
      <w:color w:val="000000"/>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rFonts w:ascii="Times New Roman" w:hAnsi="Times New Roman" w:eastAsia="宋体" w:cs="Times New Roman"/>
      <w:b w:val="0"/>
      <w:color w:val="000000"/>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28" Type="http://schemas.openxmlformats.org/officeDocument/2006/relationships/footer" Target="footer3.xml"/><Relationship Id="rId29" Type="http://schemas.openxmlformats.org/officeDocument/2006/relationships/image" Target="media/image4.png"/><Relationship Id="rId30"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843</TotalTime>
  <Pages>16</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第二章 非绘画专业者的创作表达需求与阻力研究 研究准备稿</dc:title>
  <dc:subject>需求核查方案 文献归纳 产品案例分析</dc:subject>
  <dc:creator/>
  <cp:keywords/>
  <dc:description/>
  <cp:lastModifiedBy/>
  <cp:revision>307</cp:revision>
  <dcterms:created xsi:type="dcterms:W3CDTF">2023-11-05T22:06:00Z</dcterms:created>
  <dcterms:modified xsi:type="dcterms:W3CDTF">2024-06-30T02:42:00Z</dcterms:modified>
</cp:coreProperties>
</file>