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星迹智绘硕士论文写作蓝图</w:t>
      </w:r>
    </w:p>
    <w:p>
      <w:pPr>
        <w:pStyle w:val="Subtitle"/>
      </w:pPr>
      <w:r>
        <w:t>正文目标 45000 字    方案一实验框架    2026 年 10 月 24 日</w:t>
      </w:r>
    </w:p>
    <w:p>
      <w:r>
        <w:rPr>
          <w:b w:val="0"/>
        </w:rPr>
        <w:t>本研究以绘画初学者的个人表达为中心，讨论怎样把内容、布局等创作决定与手绘执行适度分开，让用户在较低的手绘执行要求下参与画面形成，并通过交互设计与实验评价这一支持方式。论文采用六章结构，保留参考论文的需求研究、理论映射、设计实践与评价主线。</w:t>
      </w:r>
    </w:p>
    <w:p>
      <w:r>
        <w:rPr>
          <w:b w:val="0"/>
        </w:rPr>
        <w:t>已确定采用“自动笔触辅助 × 素材编排支持”的 2×2 实验框架。四条件实现、任务材料、样本量及评分细则仍需经预试校准；目前不将任何研究假设写成结论。以下给出三级目录、逐节字数、内容与证据要求，以及程序与论文的对应安排。</w:t>
      </w:r>
    </w:p>
    <w:p>
      <w:pPr>
        <w:pStyle w:val="Heading1"/>
      </w:pPr>
      <w:r>
        <w:t>研究定位与题目建议</w:t>
      </w:r>
    </w:p>
    <w:p>
      <w:r>
        <w:rPr>
          <w:b/>
        </w:rPr>
        <w:t>建议题目：面向绘画初学者个人表达的人机协同绘画交互设计研究</w:t>
      </w:r>
    </w:p>
    <w:p>
      <w:r>
        <w:rPr>
          <w:b w:val="0"/>
        </w:rPr>
        <w:t>可在学校题名规范允许时增加“以星迹智绘为例”。题目不承诺尚未证明的创造力提升、绘画技能学习或心理疗愈。若保留“AI 共创”作为产品用语，正文应明确当前系统采用本地非学习式笔触规划与程序化素材变化，没有新增模型推理或生成式 API。</w:t>
      </w:r>
    </w:p>
    <w:p>
      <w:r>
        <w:rPr>
          <w:b w:val="0"/>
        </w:rPr>
        <w:t>核心痛点的工作表述：部分有绘画表达愿望的初学者难以把内容和构图想法转化为可控的笔迹，而固定跟随或自动成图工具又可能缩小其作创作决定的空间。这一表述需要通过用户研究确认适用人群与发生情境。</w:t>
      </w:r>
    </w:p>
    <w:p>
      <w:r>
        <w:rPr>
          <w:b w:val="0"/>
        </w:rPr>
        <w:t>设计目标：让用户通过素材和布局作出创作决定，在观看笔触形成时仍能判断、调整与继续发展想法；系统将这些决定逐步转化为同一画面中的绘画表达。作品美观、表达实现、感知选择和绘画技能是不同概念，分别论证。</w:t>
      </w:r>
    </w:p>
    <w:p>
      <w:pPr>
        <w:pStyle w:val="Heading1"/>
        <w:pageBreakBefore/>
      </w:pPr>
      <w:r>
        <w:t>参考论文的结构与篇幅</w:t>
      </w:r>
    </w:p>
    <w:p>
      <w:r>
        <w:rPr>
          <w:b w:val="0"/>
        </w:rPr>
        <w:t>参考对象为陈奕扬 2023 年上海交通大学硕士论文《促进音乐要素理解的增强现实应用交互设计》[1]。其封面标注工学硕士、机械（工业设计工程），并非设计学或艺术学学位类别。可借鉴其论证组织，不能据此替代本校学位论文规范。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080"/>
        <w:gridCol w:w="1656"/>
        <w:gridCol w:w="3730"/>
      </w:tblGrid>
      <w:tr>
        <w:trPr>
          <w:cantSplit/>
          <w:tblHeader/>
        </w:trPr>
        <w:tc>
          <w:tcPr>
            <w:tcW w:type="dxa" w:w="3528"/>
            <w:vAlign w:val="center"/>
            <w:tcMar>
              <w:top w:w="85" w:type="dxa"/>
              <w:left w:w="85" w:type="dxa"/>
              <w:bottom w:w="85" w:type="dxa"/>
              <w:right w:w="85" w:type="dxa"/>
            </w:tcMar>
            <w:shd w:fill="E8EEF5"/>
          </w:tcPr>
          <w:p>
            <w:pPr>
              <w:spacing w:after="40" w:before="40" w:line="269" w:lineRule="auto"/>
            </w:pPr>
            <w:r>
              <w:rPr>
                <w:b/>
                <w:sz w:val="20"/>
              </w:rPr>
              <w:t>原论文章节</w:t>
            </w:r>
          </w:p>
        </w:tc>
        <w:tc>
          <w:tcPr>
            <w:tcW w:type="dxa" w:w="1080"/>
            <w:vAlign w:val="center"/>
            <w:tcMar>
              <w:top w:w="85" w:type="dxa"/>
              <w:left w:w="85" w:type="dxa"/>
              <w:bottom w:w="85" w:type="dxa"/>
              <w:right w:w="85" w:type="dxa"/>
            </w:tcMar>
            <w:shd w:fill="E8EEF5"/>
          </w:tcPr>
          <w:p>
            <w:pPr>
              <w:spacing w:after="40" w:before="40" w:line="269" w:lineRule="auto"/>
            </w:pPr>
            <w:r>
              <w:rPr>
                <w:b/>
                <w:sz w:val="20"/>
              </w:rPr>
              <w:t>正文页码</w:t>
            </w:r>
          </w:p>
        </w:tc>
        <w:tc>
          <w:tcPr>
            <w:tcW w:type="dxa" w:w="1656"/>
            <w:vAlign w:val="center"/>
            <w:tcMar>
              <w:top w:w="85" w:type="dxa"/>
              <w:left w:w="85" w:type="dxa"/>
              <w:bottom w:w="85" w:type="dxa"/>
              <w:right w:w="85" w:type="dxa"/>
            </w:tcMar>
            <w:shd w:fill="E8EEF5"/>
          </w:tcPr>
          <w:p>
            <w:pPr>
              <w:spacing w:after="40" w:before="40" w:line="269" w:lineRule="auto"/>
            </w:pPr>
            <w:r>
              <w:rPr>
                <w:b/>
                <w:sz w:val="20"/>
              </w:rPr>
              <w:t>汉字提取近似量</w:t>
            </w:r>
          </w:p>
        </w:tc>
        <w:tc>
          <w:tcPr>
            <w:tcW w:type="dxa" w:w="3730"/>
            <w:vAlign w:val="center"/>
            <w:tcMar>
              <w:top w:w="85" w:type="dxa"/>
              <w:left w:w="85" w:type="dxa"/>
              <w:bottom w:w="85" w:type="dxa"/>
              <w:right w:w="85" w:type="dxa"/>
            </w:tcMar>
            <w:shd w:fill="E8EEF5"/>
          </w:tcPr>
          <w:p>
            <w:pPr>
              <w:spacing w:after="40" w:before="40" w:line="269" w:lineRule="auto"/>
            </w:pPr>
            <w:r>
              <w:rPr>
                <w:b/>
                <w:sz w:val="20"/>
              </w:rPr>
              <w:t>主要作用</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第一章 绪论</w:t>
            </w:r>
          </w:p>
        </w:tc>
        <w:tc>
          <w:tcPr>
            <w:tcW w:type="dxa" w:w="1080"/>
            <w:vAlign w:val="center"/>
            <w:tcMar>
              <w:top w:w="85" w:type="dxa"/>
              <w:left w:w="85" w:type="dxa"/>
              <w:bottom w:w="85" w:type="dxa"/>
              <w:right w:w="85" w:type="dxa"/>
            </w:tcMar>
          </w:tcPr>
          <w:p>
            <w:pPr>
              <w:spacing w:after="40" w:before="40" w:line="269" w:lineRule="auto"/>
            </w:pPr>
            <w:r>
              <w:rPr>
                <w:b w:val="0"/>
                <w:sz w:val="20"/>
              </w:rPr>
              <w:t>1—12</w:t>
            </w:r>
          </w:p>
        </w:tc>
        <w:tc>
          <w:tcPr>
            <w:tcW w:type="dxa" w:w="1656"/>
            <w:vAlign w:val="center"/>
            <w:tcMar>
              <w:top w:w="85" w:type="dxa"/>
              <w:left w:w="85" w:type="dxa"/>
              <w:bottom w:w="85" w:type="dxa"/>
              <w:right w:w="85" w:type="dxa"/>
            </w:tcMar>
          </w:tcPr>
          <w:p>
            <w:pPr>
              <w:spacing w:after="40" w:before="40" w:line="269" w:lineRule="auto"/>
            </w:pPr>
            <w:r>
              <w:rPr>
                <w:b w:val="0"/>
                <w:sz w:val="20"/>
              </w:rPr>
              <w:t>6366</w:t>
            </w:r>
          </w:p>
        </w:tc>
        <w:tc>
          <w:tcPr>
            <w:tcW w:type="dxa" w:w="3730"/>
            <w:vAlign w:val="center"/>
            <w:tcMar>
              <w:top w:w="85" w:type="dxa"/>
              <w:left w:w="85" w:type="dxa"/>
              <w:bottom w:w="85" w:type="dxa"/>
              <w:right w:w="85" w:type="dxa"/>
            </w:tcMar>
          </w:tcPr>
          <w:p>
            <w:pPr>
              <w:spacing w:after="40" w:before="40" w:line="269" w:lineRule="auto"/>
            </w:pPr>
            <w:r>
              <w:rPr>
                <w:b w:val="0"/>
                <w:sz w:val="20"/>
              </w:rPr>
              <w:t>背景、相关研究、目的与方法</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第二章 用户需求与设计原则</w:t>
            </w:r>
          </w:p>
        </w:tc>
        <w:tc>
          <w:tcPr>
            <w:tcW w:type="dxa" w:w="1080"/>
            <w:vAlign w:val="center"/>
            <w:tcMar>
              <w:top w:w="85" w:type="dxa"/>
              <w:left w:w="85" w:type="dxa"/>
              <w:bottom w:w="85" w:type="dxa"/>
              <w:right w:w="85" w:type="dxa"/>
            </w:tcMar>
          </w:tcPr>
          <w:p>
            <w:pPr>
              <w:spacing w:after="40" w:before="40" w:line="269" w:lineRule="auto"/>
            </w:pPr>
            <w:r>
              <w:rPr>
                <w:b w:val="0"/>
                <w:sz w:val="20"/>
              </w:rPr>
              <w:t>13—24</w:t>
            </w:r>
          </w:p>
        </w:tc>
        <w:tc>
          <w:tcPr>
            <w:tcW w:type="dxa" w:w="1656"/>
            <w:vAlign w:val="center"/>
            <w:tcMar>
              <w:top w:w="85" w:type="dxa"/>
              <w:left w:w="85" w:type="dxa"/>
              <w:bottom w:w="85" w:type="dxa"/>
              <w:right w:w="85" w:type="dxa"/>
            </w:tcMar>
          </w:tcPr>
          <w:p>
            <w:pPr>
              <w:spacing w:after="40" w:before="40" w:line="269" w:lineRule="auto"/>
            </w:pPr>
            <w:r>
              <w:rPr>
                <w:b w:val="0"/>
                <w:sz w:val="20"/>
              </w:rPr>
              <w:t>8059</w:t>
            </w:r>
          </w:p>
        </w:tc>
        <w:tc>
          <w:tcPr>
            <w:tcW w:type="dxa" w:w="3730"/>
            <w:vAlign w:val="center"/>
            <w:tcMar>
              <w:top w:w="85" w:type="dxa"/>
              <w:left w:w="85" w:type="dxa"/>
              <w:bottom w:w="85" w:type="dxa"/>
              <w:right w:w="85" w:type="dxa"/>
            </w:tcMar>
          </w:tcPr>
          <w:p>
            <w:pPr>
              <w:spacing w:after="40" w:before="40" w:line="269" w:lineRule="auto"/>
            </w:pPr>
            <w:r>
              <w:rPr>
                <w:b w:val="0"/>
                <w:sz w:val="20"/>
              </w:rPr>
              <w:t>观察访谈、用户特征与原则</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第三章 理论研究与映射</w:t>
            </w:r>
          </w:p>
        </w:tc>
        <w:tc>
          <w:tcPr>
            <w:tcW w:type="dxa" w:w="1080"/>
            <w:vAlign w:val="center"/>
            <w:tcMar>
              <w:top w:w="85" w:type="dxa"/>
              <w:left w:w="85" w:type="dxa"/>
              <w:bottom w:w="85" w:type="dxa"/>
              <w:right w:w="85" w:type="dxa"/>
            </w:tcMar>
          </w:tcPr>
          <w:p>
            <w:pPr>
              <w:spacing w:after="40" w:before="40" w:line="269" w:lineRule="auto"/>
            </w:pPr>
            <w:r>
              <w:rPr>
                <w:b w:val="0"/>
                <w:sz w:val="20"/>
              </w:rPr>
              <w:t>25—50</w:t>
            </w:r>
          </w:p>
        </w:tc>
        <w:tc>
          <w:tcPr>
            <w:tcW w:type="dxa" w:w="1656"/>
            <w:vAlign w:val="center"/>
            <w:tcMar>
              <w:top w:w="85" w:type="dxa"/>
              <w:left w:w="85" w:type="dxa"/>
              <w:bottom w:w="85" w:type="dxa"/>
              <w:right w:w="85" w:type="dxa"/>
            </w:tcMar>
          </w:tcPr>
          <w:p>
            <w:pPr>
              <w:spacing w:after="40" w:before="40" w:line="269" w:lineRule="auto"/>
            </w:pPr>
            <w:r>
              <w:rPr>
                <w:b w:val="0"/>
                <w:sz w:val="20"/>
              </w:rPr>
              <w:t>11808</w:t>
            </w:r>
          </w:p>
        </w:tc>
        <w:tc>
          <w:tcPr>
            <w:tcW w:type="dxa" w:w="3730"/>
            <w:vAlign w:val="center"/>
            <w:tcMar>
              <w:top w:w="85" w:type="dxa"/>
              <w:left w:w="85" w:type="dxa"/>
              <w:bottom w:w="85" w:type="dxa"/>
              <w:right w:w="85" w:type="dxa"/>
            </w:tcMar>
          </w:tcPr>
          <w:p>
            <w:pPr>
              <w:spacing w:after="40" w:before="40" w:line="269" w:lineRule="auto"/>
            </w:pPr>
            <w:r>
              <w:rPr>
                <w:b w:val="0"/>
                <w:sz w:val="20"/>
              </w:rPr>
              <w:t>通感、具身认知、AR 与映射规则</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第四章 设计实践</w:t>
            </w:r>
          </w:p>
        </w:tc>
        <w:tc>
          <w:tcPr>
            <w:tcW w:type="dxa" w:w="1080"/>
            <w:vAlign w:val="center"/>
            <w:tcMar>
              <w:top w:w="85" w:type="dxa"/>
              <w:left w:w="85" w:type="dxa"/>
              <w:bottom w:w="85" w:type="dxa"/>
              <w:right w:w="85" w:type="dxa"/>
            </w:tcMar>
          </w:tcPr>
          <w:p>
            <w:pPr>
              <w:spacing w:after="40" w:before="40" w:line="269" w:lineRule="auto"/>
            </w:pPr>
            <w:r>
              <w:rPr>
                <w:b w:val="0"/>
                <w:sz w:val="20"/>
              </w:rPr>
              <w:t>51—87</w:t>
            </w:r>
          </w:p>
        </w:tc>
        <w:tc>
          <w:tcPr>
            <w:tcW w:type="dxa" w:w="1656"/>
            <w:vAlign w:val="center"/>
            <w:tcMar>
              <w:top w:w="85" w:type="dxa"/>
              <w:left w:w="85" w:type="dxa"/>
              <w:bottom w:w="85" w:type="dxa"/>
              <w:right w:w="85" w:type="dxa"/>
            </w:tcMar>
          </w:tcPr>
          <w:p>
            <w:pPr>
              <w:spacing w:after="40" w:before="40" w:line="269" w:lineRule="auto"/>
            </w:pPr>
            <w:r>
              <w:rPr>
                <w:b w:val="0"/>
                <w:sz w:val="20"/>
              </w:rPr>
              <w:t>15712</w:t>
            </w:r>
          </w:p>
        </w:tc>
        <w:tc>
          <w:tcPr>
            <w:tcW w:type="dxa" w:w="3730"/>
            <w:vAlign w:val="center"/>
            <w:tcMar>
              <w:top w:w="85" w:type="dxa"/>
              <w:left w:w="85" w:type="dxa"/>
              <w:bottom w:w="85" w:type="dxa"/>
              <w:right w:w="85" w:type="dxa"/>
            </w:tcMar>
          </w:tcPr>
          <w:p>
            <w:pPr>
              <w:spacing w:after="40" w:before="40" w:line="269" w:lineRule="auto"/>
            </w:pPr>
            <w:r>
              <w:rPr>
                <w:b w:val="0"/>
                <w:sz w:val="20"/>
              </w:rPr>
              <w:t>设计、实现、预试与正式评价</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第五章 总结与展望</w:t>
            </w:r>
          </w:p>
        </w:tc>
        <w:tc>
          <w:tcPr>
            <w:tcW w:type="dxa" w:w="1080"/>
            <w:vAlign w:val="center"/>
            <w:tcMar>
              <w:top w:w="85" w:type="dxa"/>
              <w:left w:w="85" w:type="dxa"/>
              <w:bottom w:w="85" w:type="dxa"/>
              <w:right w:w="85" w:type="dxa"/>
            </w:tcMar>
          </w:tcPr>
          <w:p>
            <w:pPr>
              <w:spacing w:after="40" w:before="40" w:line="269" w:lineRule="auto"/>
            </w:pPr>
            <w:r>
              <w:rPr>
                <w:b w:val="0"/>
                <w:sz w:val="20"/>
              </w:rPr>
              <w:t>88—89</w:t>
            </w:r>
          </w:p>
        </w:tc>
        <w:tc>
          <w:tcPr>
            <w:tcW w:type="dxa" w:w="1656"/>
            <w:vAlign w:val="center"/>
            <w:tcMar>
              <w:top w:w="85" w:type="dxa"/>
              <w:left w:w="85" w:type="dxa"/>
              <w:bottom w:w="85" w:type="dxa"/>
              <w:right w:w="85" w:type="dxa"/>
            </w:tcMar>
          </w:tcPr>
          <w:p>
            <w:pPr>
              <w:spacing w:after="40" w:before="40" w:line="269" w:lineRule="auto"/>
            </w:pPr>
            <w:r>
              <w:rPr>
                <w:b w:val="0"/>
                <w:sz w:val="20"/>
              </w:rPr>
              <w:t>1413</w:t>
            </w:r>
          </w:p>
        </w:tc>
        <w:tc>
          <w:tcPr>
            <w:tcW w:type="dxa" w:w="3730"/>
            <w:vAlign w:val="center"/>
            <w:tcMar>
              <w:top w:w="85" w:type="dxa"/>
              <w:left w:w="85" w:type="dxa"/>
              <w:bottom w:w="85" w:type="dxa"/>
              <w:right w:w="85" w:type="dxa"/>
            </w:tcMar>
          </w:tcPr>
          <w:p>
            <w:pPr>
              <w:spacing w:after="40" w:before="40" w:line="269" w:lineRule="auto"/>
            </w:pPr>
            <w:r>
              <w:rPr>
                <w:b w:val="0"/>
                <w:sz w:val="20"/>
              </w:rPr>
              <w:t>总结与后续研究</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正文合计</w:t>
            </w:r>
          </w:p>
        </w:tc>
        <w:tc>
          <w:tcPr>
            <w:tcW w:type="dxa" w:w="1080"/>
            <w:vAlign w:val="center"/>
            <w:tcMar>
              <w:top w:w="85" w:type="dxa"/>
              <w:left w:w="85" w:type="dxa"/>
              <w:bottom w:w="85" w:type="dxa"/>
              <w:right w:w="85" w:type="dxa"/>
            </w:tcMar>
          </w:tcPr>
          <w:p>
            <w:pPr>
              <w:spacing w:after="40" w:before="40" w:line="269" w:lineRule="auto"/>
            </w:pPr>
            <w:r>
              <w:rPr>
                <w:b w:val="0"/>
                <w:sz w:val="20"/>
              </w:rPr>
              <w:t>89 页</w:t>
            </w:r>
          </w:p>
        </w:tc>
        <w:tc>
          <w:tcPr>
            <w:tcW w:type="dxa" w:w="1656"/>
            <w:vAlign w:val="center"/>
            <w:tcMar>
              <w:top w:w="85" w:type="dxa"/>
              <w:left w:w="85" w:type="dxa"/>
              <w:bottom w:w="85" w:type="dxa"/>
              <w:right w:w="85" w:type="dxa"/>
            </w:tcMar>
          </w:tcPr>
          <w:p>
            <w:pPr>
              <w:spacing w:after="40" w:before="40" w:line="269" w:lineRule="auto"/>
            </w:pPr>
            <w:r>
              <w:rPr>
                <w:b w:val="0"/>
                <w:sz w:val="20"/>
              </w:rPr>
              <w:t>43358</w:t>
            </w:r>
          </w:p>
        </w:tc>
        <w:tc>
          <w:tcPr>
            <w:tcW w:type="dxa" w:w="3730"/>
            <w:vAlign w:val="center"/>
            <w:tcMar>
              <w:top w:w="85" w:type="dxa"/>
              <w:left w:w="85" w:type="dxa"/>
              <w:bottom w:w="85" w:type="dxa"/>
              <w:right w:w="85" w:type="dxa"/>
            </w:tcMar>
          </w:tcPr>
          <w:p>
            <w:pPr>
              <w:spacing w:after="40" w:before="40" w:line="269" w:lineRule="auto"/>
            </w:pPr>
            <w:r>
              <w:rPr>
                <w:b w:val="0"/>
                <w:sz w:val="20"/>
              </w:rPr>
              <w:t>约 4.34 万汉字</w:t>
            </w:r>
          </w:p>
        </w:tc>
      </w:tr>
    </w:tbl>
    <w:p>
      <w:pPr>
        <w:spacing w:after="20"/>
      </w:pPr>
    </w:p>
    <w:p>
      <w:r>
        <w:rPr>
          <w:b w:val="0"/>
        </w:rPr>
        <w:t>统计方法：对 PDF 第 13—101 页提取文本，去除固定中文页眉后统计汉字；计入正文中的图表文字与引用，未计摘要、参考文献和附录。若把英文词及数字串各计一项，约为 45763 项。部分标题字体提取异常，以上为结构分析用近似值，不等同于 Word 或学校规定的字数。PDF 总计 113 页，页数也受图表密度影响。</w:t>
      </w:r>
    </w:p>
    <w:p>
      <w:r>
        <w:rPr>
          <w:b w:val="0"/>
        </w:rPr>
        <w:t>最值得借鉴的顺序是：具体问题 → 用户需求证据 → 理论解释 → 设计原则 → 对象与交互的映射规则 → 原型实践 → 预试修订 → 对照评价。参考论文将实验放在 4.4 节；本研究把它独立为第五章，使中期要求的平行任务、信度、盲评和伦理得到完整交代。</w:t>
      </w:r>
    </w:p>
    <w:p>
      <w:r>
        <w:rPr>
          <w:b w:val="0"/>
        </w:rPr>
        <w:t>需要修正的借鉴边界：参考论文正文第 78 页将 SUS 描述为 7 点量表，而第 85 页计分方式及附录第 101 页为 5 点。新研究按原始量表核对，不照抄这处不一致。参考论文采用三组比较，不是本研究所选 2×2；也不能照搬其样本量和统计检验。[1][7][8]</w:t>
      </w:r>
    </w:p>
    <w:p>
      <w:pPr>
        <w:pStyle w:val="Heading1"/>
      </w:pPr>
      <w:r>
        <w:t>正文预算与论证重点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080"/>
        <w:gridCol w:w="936"/>
        <w:gridCol w:w="4234"/>
      </w:tblGrid>
      <w:tr>
        <w:trPr>
          <w:cantSplit/>
          <w:tblHeader/>
        </w:trPr>
        <w:tc>
          <w:tcPr>
            <w:tcW w:type="dxa" w:w="3744"/>
            <w:vAlign w:val="center"/>
            <w:tcMar>
              <w:top w:w="85" w:type="dxa"/>
              <w:left w:w="85" w:type="dxa"/>
              <w:bottom w:w="85" w:type="dxa"/>
              <w:right w:w="85" w:type="dxa"/>
            </w:tcMar>
            <w:shd w:fill="E8EEF5"/>
          </w:tcPr>
          <w:p>
            <w:pPr>
              <w:spacing w:after="40" w:before="40" w:line="269" w:lineRule="auto"/>
            </w:pPr>
            <w:r>
              <w:rPr>
                <w:b/>
                <w:sz w:val="20"/>
              </w:rPr>
              <w:t>章节</w:t>
            </w:r>
          </w:p>
        </w:tc>
        <w:tc>
          <w:tcPr>
            <w:tcW w:type="dxa" w:w="1080"/>
            <w:vAlign w:val="center"/>
            <w:tcMar>
              <w:top w:w="85" w:type="dxa"/>
              <w:left w:w="85" w:type="dxa"/>
              <w:bottom w:w="85" w:type="dxa"/>
              <w:right w:w="85" w:type="dxa"/>
            </w:tcMar>
            <w:shd w:fill="E8EEF5"/>
          </w:tcPr>
          <w:p>
            <w:pPr>
              <w:spacing w:after="40" w:before="40" w:line="269" w:lineRule="auto"/>
            </w:pPr>
            <w:r>
              <w:rPr>
                <w:b/>
                <w:sz w:val="20"/>
              </w:rPr>
              <w:t>目标字数</w:t>
            </w:r>
          </w:p>
        </w:tc>
        <w:tc>
          <w:tcPr>
            <w:tcW w:type="dxa" w:w="936"/>
            <w:vAlign w:val="center"/>
            <w:tcMar>
              <w:top w:w="85" w:type="dxa"/>
              <w:left w:w="85" w:type="dxa"/>
              <w:bottom w:w="85" w:type="dxa"/>
              <w:right w:w="85" w:type="dxa"/>
            </w:tcMar>
            <w:shd w:fill="E8EEF5"/>
          </w:tcPr>
          <w:p>
            <w:pPr>
              <w:spacing w:after="40" w:before="40" w:line="269" w:lineRule="auto"/>
            </w:pPr>
            <w:r>
              <w:rPr>
                <w:b/>
                <w:sz w:val="20"/>
              </w:rPr>
              <w:t>比例</w:t>
            </w:r>
          </w:p>
        </w:tc>
        <w:tc>
          <w:tcPr>
            <w:tcW w:type="dxa" w:w="4234"/>
            <w:vAlign w:val="center"/>
            <w:tcMar>
              <w:top w:w="85" w:type="dxa"/>
              <w:left w:w="85" w:type="dxa"/>
              <w:bottom w:w="85" w:type="dxa"/>
              <w:right w:w="85" w:type="dxa"/>
            </w:tcMar>
            <w:shd w:fill="E8EEF5"/>
          </w:tcPr>
          <w:p>
            <w:pPr>
              <w:spacing w:after="40" w:before="40" w:line="269" w:lineRule="auto"/>
            </w:pPr>
            <w:r>
              <w:rPr>
                <w:b/>
                <w:sz w:val="20"/>
              </w:rPr>
              <w:t>写作重心</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第一章 绪论</w:t>
            </w:r>
          </w:p>
        </w:tc>
        <w:tc>
          <w:tcPr>
            <w:tcW w:type="dxa" w:w="1080"/>
            <w:vAlign w:val="center"/>
            <w:tcMar>
              <w:top w:w="85" w:type="dxa"/>
              <w:left w:w="85" w:type="dxa"/>
              <w:bottom w:w="85" w:type="dxa"/>
              <w:right w:w="85" w:type="dxa"/>
            </w:tcMar>
          </w:tcPr>
          <w:p>
            <w:pPr>
              <w:spacing w:after="40" w:before="40" w:line="269" w:lineRule="auto"/>
            </w:pPr>
            <w:r>
              <w:rPr>
                <w:b w:val="0"/>
                <w:sz w:val="20"/>
              </w:rPr>
              <w:t>4,500</w:t>
            </w:r>
          </w:p>
        </w:tc>
        <w:tc>
          <w:tcPr>
            <w:tcW w:type="dxa" w:w="936"/>
            <w:vAlign w:val="center"/>
            <w:tcMar>
              <w:top w:w="85" w:type="dxa"/>
              <w:left w:w="85" w:type="dxa"/>
              <w:bottom w:w="85" w:type="dxa"/>
              <w:right w:w="85" w:type="dxa"/>
            </w:tcMar>
          </w:tcPr>
          <w:p>
            <w:pPr>
              <w:spacing w:after="40" w:before="40" w:line="269" w:lineRule="auto"/>
            </w:pPr>
            <w:r>
              <w:rPr>
                <w:b w:val="0"/>
                <w:sz w:val="20"/>
              </w:rPr>
              <w:t>10.0%</w:t>
            </w:r>
          </w:p>
        </w:tc>
        <w:tc>
          <w:tcPr>
            <w:tcW w:type="dxa" w:w="4234"/>
            <w:vAlign w:val="center"/>
            <w:tcMar>
              <w:top w:w="85" w:type="dxa"/>
              <w:left w:w="85" w:type="dxa"/>
              <w:bottom w:w="85" w:type="dxa"/>
              <w:right w:w="85" w:type="dxa"/>
            </w:tcMar>
          </w:tcPr>
          <w:p>
            <w:pPr>
              <w:spacing w:after="40" w:before="40" w:line="269" w:lineRule="auto"/>
            </w:pPr>
            <w:r>
              <w:rPr>
                <w:b w:val="0"/>
                <w:sz w:val="20"/>
              </w:rPr>
              <w:t>说明初学者为何需要绘画表达支持，将研究问题限定为表达决策与手绘执行之间的关系</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第二章 日常绘画表达场景下的用户需求研究</w:t>
            </w:r>
          </w:p>
        </w:tc>
        <w:tc>
          <w:tcPr>
            <w:tcW w:type="dxa" w:w="1080"/>
            <w:vAlign w:val="center"/>
            <w:tcMar>
              <w:top w:w="85" w:type="dxa"/>
              <w:left w:w="85" w:type="dxa"/>
              <w:bottom w:w="85" w:type="dxa"/>
              <w:right w:w="85" w:type="dxa"/>
            </w:tcMar>
          </w:tcPr>
          <w:p>
            <w:pPr>
              <w:spacing w:after="40" w:before="40" w:line="269" w:lineRule="auto"/>
            </w:pPr>
            <w:r>
              <w:rPr>
                <w:b w:val="0"/>
                <w:sz w:val="20"/>
              </w:rPr>
              <w:t>7,000</w:t>
            </w:r>
          </w:p>
        </w:tc>
        <w:tc>
          <w:tcPr>
            <w:tcW w:type="dxa" w:w="936"/>
            <w:vAlign w:val="center"/>
            <w:tcMar>
              <w:top w:w="85" w:type="dxa"/>
              <w:left w:w="85" w:type="dxa"/>
              <w:bottom w:w="85" w:type="dxa"/>
              <w:right w:w="85" w:type="dxa"/>
            </w:tcMar>
          </w:tcPr>
          <w:p>
            <w:pPr>
              <w:spacing w:after="40" w:before="40" w:line="269" w:lineRule="auto"/>
            </w:pPr>
            <w:r>
              <w:rPr>
                <w:b w:val="0"/>
                <w:sz w:val="20"/>
              </w:rPr>
              <w:t>15.6%</w:t>
            </w:r>
          </w:p>
        </w:tc>
        <w:tc>
          <w:tcPr>
            <w:tcW w:type="dxa" w:w="4234"/>
            <w:vAlign w:val="center"/>
            <w:tcMar>
              <w:top w:w="85" w:type="dxa"/>
              <w:left w:w="85" w:type="dxa"/>
              <w:bottom w:w="85" w:type="dxa"/>
              <w:right w:w="85" w:type="dxa"/>
            </w:tcMar>
          </w:tcPr>
          <w:p>
            <w:pPr>
              <w:spacing w:after="40" w:before="40" w:line="269" w:lineRule="auto"/>
            </w:pPr>
            <w:r>
              <w:rPr>
                <w:b w:val="0"/>
                <w:sz w:val="20"/>
              </w:rPr>
              <w:t>以真实用户材料回答痛点是否成立、发生在哪一步、哪些人受影响，并形成可追溯的设计要求</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第三章 人机协同绘画的理论依据与交互映射</w:t>
            </w:r>
          </w:p>
        </w:tc>
        <w:tc>
          <w:tcPr>
            <w:tcW w:type="dxa" w:w="1080"/>
            <w:vAlign w:val="center"/>
            <w:tcMar>
              <w:top w:w="85" w:type="dxa"/>
              <w:left w:w="85" w:type="dxa"/>
              <w:bottom w:w="85" w:type="dxa"/>
              <w:right w:w="85" w:type="dxa"/>
            </w:tcMar>
          </w:tcPr>
          <w:p>
            <w:pPr>
              <w:spacing w:after="40" w:before="40" w:line="269" w:lineRule="auto"/>
            </w:pPr>
            <w:r>
              <w:rPr>
                <w:b w:val="0"/>
                <w:sz w:val="20"/>
              </w:rPr>
              <w:t>8,500</w:t>
            </w:r>
          </w:p>
        </w:tc>
        <w:tc>
          <w:tcPr>
            <w:tcW w:type="dxa" w:w="936"/>
            <w:vAlign w:val="center"/>
            <w:tcMar>
              <w:top w:w="85" w:type="dxa"/>
              <w:left w:w="85" w:type="dxa"/>
              <w:bottom w:w="85" w:type="dxa"/>
              <w:right w:w="85" w:type="dxa"/>
            </w:tcMar>
          </w:tcPr>
          <w:p>
            <w:pPr>
              <w:spacing w:after="40" w:before="40" w:line="269" w:lineRule="auto"/>
            </w:pPr>
            <w:r>
              <w:rPr>
                <w:b w:val="0"/>
                <w:sz w:val="20"/>
              </w:rPr>
              <w:t>18.9%</w:t>
            </w:r>
          </w:p>
        </w:tc>
        <w:tc>
          <w:tcPr>
            <w:tcW w:type="dxa" w:w="4234"/>
            <w:vAlign w:val="center"/>
            <w:tcMar>
              <w:top w:w="85" w:type="dxa"/>
              <w:left w:w="85" w:type="dxa"/>
              <w:bottom w:w="85" w:type="dxa"/>
              <w:right w:w="85" w:type="dxa"/>
            </w:tcMar>
          </w:tcPr>
          <w:p>
            <w:pPr>
              <w:spacing w:after="40" w:before="40" w:line="269" w:lineRule="auto"/>
            </w:pPr>
            <w:r>
              <w:rPr>
                <w:b w:val="0"/>
                <w:sz w:val="20"/>
              </w:rPr>
              <w:t>把需求转成设计原则与可实现的映射规则</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第四章 星迹智绘的交互设计与原型实现</w:t>
            </w:r>
          </w:p>
        </w:tc>
        <w:tc>
          <w:tcPr>
            <w:tcW w:type="dxa" w:w="1080"/>
            <w:vAlign w:val="center"/>
            <w:tcMar>
              <w:top w:w="85" w:type="dxa"/>
              <w:left w:w="85" w:type="dxa"/>
              <w:bottom w:w="85" w:type="dxa"/>
              <w:right w:w="85" w:type="dxa"/>
            </w:tcMar>
          </w:tcPr>
          <w:p>
            <w:pPr>
              <w:spacing w:after="40" w:before="40" w:line="269" w:lineRule="auto"/>
            </w:pPr>
            <w:r>
              <w:rPr>
                <w:b w:val="0"/>
                <w:sz w:val="20"/>
              </w:rPr>
              <w:t>13,000</w:t>
            </w:r>
          </w:p>
        </w:tc>
        <w:tc>
          <w:tcPr>
            <w:tcW w:type="dxa" w:w="936"/>
            <w:vAlign w:val="center"/>
            <w:tcMar>
              <w:top w:w="85" w:type="dxa"/>
              <w:left w:w="85" w:type="dxa"/>
              <w:bottom w:w="85" w:type="dxa"/>
              <w:right w:w="85" w:type="dxa"/>
            </w:tcMar>
          </w:tcPr>
          <w:p>
            <w:pPr>
              <w:spacing w:after="40" w:before="40" w:line="269" w:lineRule="auto"/>
            </w:pPr>
            <w:r>
              <w:rPr>
                <w:b w:val="0"/>
                <w:sz w:val="20"/>
              </w:rPr>
              <w:t>28.9%</w:t>
            </w:r>
          </w:p>
        </w:tc>
        <w:tc>
          <w:tcPr>
            <w:tcW w:type="dxa" w:w="4234"/>
            <w:vAlign w:val="center"/>
            <w:tcMar>
              <w:top w:w="85" w:type="dxa"/>
              <w:left w:w="85" w:type="dxa"/>
              <w:bottom w:w="85" w:type="dxa"/>
              <w:right w:w="85" w:type="dxa"/>
            </w:tcMar>
          </w:tcPr>
          <w:p>
            <w:pPr>
              <w:spacing w:after="40" w:before="40" w:line="269" w:lineRule="auto"/>
            </w:pPr>
            <w:r>
              <w:rPr>
                <w:b w:val="0"/>
                <w:sz w:val="20"/>
              </w:rPr>
              <w:t>通过具体方案展示理论如何变为产品</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第五章 人机协同绘画的实验评价与讨论</w:t>
            </w:r>
          </w:p>
        </w:tc>
        <w:tc>
          <w:tcPr>
            <w:tcW w:type="dxa" w:w="1080"/>
            <w:vAlign w:val="center"/>
            <w:tcMar>
              <w:top w:w="85" w:type="dxa"/>
              <w:left w:w="85" w:type="dxa"/>
              <w:bottom w:w="85" w:type="dxa"/>
              <w:right w:w="85" w:type="dxa"/>
            </w:tcMar>
          </w:tcPr>
          <w:p>
            <w:pPr>
              <w:spacing w:after="40" w:before="40" w:line="269" w:lineRule="auto"/>
            </w:pPr>
            <w:r>
              <w:rPr>
                <w:b w:val="0"/>
                <w:sz w:val="20"/>
              </w:rPr>
              <w:t>10,000</w:t>
            </w:r>
          </w:p>
        </w:tc>
        <w:tc>
          <w:tcPr>
            <w:tcW w:type="dxa" w:w="936"/>
            <w:vAlign w:val="center"/>
            <w:tcMar>
              <w:top w:w="85" w:type="dxa"/>
              <w:left w:w="85" w:type="dxa"/>
              <w:bottom w:w="85" w:type="dxa"/>
              <w:right w:w="85" w:type="dxa"/>
            </w:tcMar>
          </w:tcPr>
          <w:p>
            <w:pPr>
              <w:spacing w:after="40" w:before="40" w:line="269" w:lineRule="auto"/>
            </w:pPr>
            <w:r>
              <w:rPr>
                <w:b w:val="0"/>
                <w:sz w:val="20"/>
              </w:rPr>
              <w:t>22.2%</w:t>
            </w:r>
          </w:p>
        </w:tc>
        <w:tc>
          <w:tcPr>
            <w:tcW w:type="dxa" w:w="4234"/>
            <w:vAlign w:val="center"/>
            <w:tcMar>
              <w:top w:w="85" w:type="dxa"/>
              <w:left w:w="85" w:type="dxa"/>
              <w:bottom w:w="85" w:type="dxa"/>
              <w:right w:w="85" w:type="dxa"/>
            </w:tcMar>
          </w:tcPr>
          <w:p>
            <w:pPr>
              <w:spacing w:after="40" w:before="40" w:line="269" w:lineRule="auto"/>
            </w:pPr>
            <w:r>
              <w:rPr>
                <w:b w:val="0"/>
                <w:sz w:val="20"/>
              </w:rPr>
              <w:t>采用已经选定的自动笔触辅助 × 素材编排支持方案</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第六章 结论与展望</w:t>
            </w:r>
          </w:p>
        </w:tc>
        <w:tc>
          <w:tcPr>
            <w:tcW w:type="dxa" w:w="1080"/>
            <w:vAlign w:val="center"/>
            <w:tcMar>
              <w:top w:w="85" w:type="dxa"/>
              <w:left w:w="85" w:type="dxa"/>
              <w:bottom w:w="85" w:type="dxa"/>
              <w:right w:w="85" w:type="dxa"/>
            </w:tcMar>
          </w:tcPr>
          <w:p>
            <w:pPr>
              <w:spacing w:after="40" w:before="40" w:line="269" w:lineRule="auto"/>
            </w:pPr>
            <w:r>
              <w:rPr>
                <w:b w:val="0"/>
                <w:sz w:val="20"/>
              </w:rPr>
              <w:t>2,000</w:t>
            </w:r>
          </w:p>
        </w:tc>
        <w:tc>
          <w:tcPr>
            <w:tcW w:type="dxa" w:w="936"/>
            <w:vAlign w:val="center"/>
            <w:tcMar>
              <w:top w:w="85" w:type="dxa"/>
              <w:left w:w="85" w:type="dxa"/>
              <w:bottom w:w="85" w:type="dxa"/>
              <w:right w:w="85" w:type="dxa"/>
            </w:tcMar>
          </w:tcPr>
          <w:p>
            <w:pPr>
              <w:spacing w:after="40" w:before="40" w:line="269" w:lineRule="auto"/>
            </w:pPr>
            <w:r>
              <w:rPr>
                <w:b w:val="0"/>
                <w:sz w:val="20"/>
              </w:rPr>
              <w:t>4.4%</w:t>
            </w:r>
          </w:p>
        </w:tc>
        <w:tc>
          <w:tcPr>
            <w:tcW w:type="dxa" w:w="4234"/>
            <w:vAlign w:val="center"/>
            <w:tcMar>
              <w:top w:w="85" w:type="dxa"/>
              <w:left w:w="85" w:type="dxa"/>
              <w:bottom w:w="85" w:type="dxa"/>
              <w:right w:w="85" w:type="dxa"/>
            </w:tcMar>
          </w:tcPr>
          <w:p>
            <w:pPr>
              <w:spacing w:after="40" w:before="40" w:line="269" w:lineRule="auto"/>
            </w:pPr>
            <w:r>
              <w:rPr>
                <w:b w:val="0"/>
                <w:sz w:val="20"/>
              </w:rPr>
              <w:t>用真实证据回答研究问题，总结可迁移的设计认识；明确哪些属于实现、哪些属于研究发现</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合计</w:t>
            </w:r>
          </w:p>
        </w:tc>
        <w:tc>
          <w:tcPr>
            <w:tcW w:type="dxa" w:w="1080"/>
            <w:vAlign w:val="center"/>
            <w:tcMar>
              <w:top w:w="85" w:type="dxa"/>
              <w:left w:w="85" w:type="dxa"/>
              <w:bottom w:w="85" w:type="dxa"/>
              <w:right w:w="85" w:type="dxa"/>
            </w:tcMar>
          </w:tcPr>
          <w:p>
            <w:pPr>
              <w:spacing w:after="40" w:before="40" w:line="269" w:lineRule="auto"/>
            </w:pPr>
            <w:r>
              <w:rPr>
                <w:b w:val="0"/>
                <w:sz w:val="20"/>
              </w:rPr>
              <w:t>45,000</w:t>
            </w:r>
          </w:p>
        </w:tc>
        <w:tc>
          <w:tcPr>
            <w:tcW w:type="dxa" w:w="936"/>
            <w:vAlign w:val="center"/>
            <w:tcMar>
              <w:top w:w="85" w:type="dxa"/>
              <w:left w:w="85" w:type="dxa"/>
              <w:bottom w:w="85" w:type="dxa"/>
              <w:right w:w="85" w:type="dxa"/>
            </w:tcMar>
          </w:tcPr>
          <w:p>
            <w:pPr>
              <w:spacing w:after="40" w:before="40" w:line="269" w:lineRule="auto"/>
            </w:pPr>
            <w:r>
              <w:rPr>
                <w:b w:val="0"/>
                <w:sz w:val="20"/>
              </w:rPr>
              <w:t>100%</w:t>
            </w:r>
          </w:p>
        </w:tc>
        <w:tc>
          <w:tcPr>
            <w:tcW w:type="dxa" w:w="4234"/>
            <w:vAlign w:val="center"/>
            <w:tcMar>
              <w:top w:w="85" w:type="dxa"/>
              <w:left w:w="85" w:type="dxa"/>
              <w:bottom w:w="85" w:type="dxa"/>
              <w:right w:w="85" w:type="dxa"/>
            </w:tcMar>
          </w:tcPr>
          <w:p>
            <w:pPr>
              <w:spacing w:after="40" w:before="40" w:line="269" w:lineRule="auto"/>
            </w:pPr>
            <w:r>
              <w:rPr>
                <w:b w:val="0"/>
                <w:sz w:val="20"/>
              </w:rPr>
              <w:t>需求、理论、设计与评价相互对应</w:t>
            </w:r>
          </w:p>
        </w:tc>
      </w:tr>
    </w:tbl>
    <w:p>
      <w:pPr>
        <w:spacing w:after="20"/>
      </w:pPr>
    </w:p>
    <w:p>
      <w:r>
        <w:rPr>
          <w:b w:val="0"/>
        </w:rPr>
        <w:t>这里的 45000 字指第一章至第六章的正文规划，包含章小结；摘要、目录、参考文献、附录与致谢另计，图表文字按学校口径核算。中文摘要可另预留 800—1000 字，英文摘要按相同内容组织。三级数字是写作控制点而非凑字数要求，完稿时允许相邻节之间合理调配。</w:t>
      </w:r>
    </w:p>
    <w:p>
      <w:r>
        <w:rPr>
          <w:b w:val="0"/>
        </w:rPr>
        <w:t>若导师要求严格采用参考论文的五章形式，可将本规划第四、第五章合为“设计实践与实验评价”23000 字，第六章改为第五章；论证内容不变。优先建议六章，避免一个章节容纳一半正文而层级过深。</w:t>
      </w:r>
    </w:p>
    <w:p>
      <w:pPr>
        <w:pStyle w:val="Heading1"/>
        <w:pageBreakBefore/>
      </w:pPr>
      <w:r>
        <w:t>研究问题与证据安排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168"/>
        <w:gridCol w:w="3946"/>
      </w:tblGrid>
      <w:tr>
        <w:trPr>
          <w:cantSplit/>
          <w:tblHeader/>
        </w:trPr>
        <w:tc>
          <w:tcPr>
            <w:tcW w:type="dxa" w:w="2880"/>
            <w:vAlign w:val="center"/>
            <w:tcMar>
              <w:top w:w="85" w:type="dxa"/>
              <w:left w:w="85" w:type="dxa"/>
              <w:bottom w:w="85" w:type="dxa"/>
              <w:right w:w="85" w:type="dxa"/>
            </w:tcMar>
            <w:shd w:fill="E8EEF5"/>
          </w:tcPr>
          <w:p>
            <w:pPr>
              <w:spacing w:after="40" w:before="40" w:line="269" w:lineRule="auto"/>
            </w:pPr>
            <w:r>
              <w:rPr>
                <w:b/>
                <w:sz w:val="20"/>
              </w:rPr>
              <w:t>研究问题</w:t>
            </w:r>
          </w:p>
        </w:tc>
        <w:tc>
          <w:tcPr>
            <w:tcW w:type="dxa" w:w="3168"/>
            <w:vAlign w:val="center"/>
            <w:tcMar>
              <w:top w:w="85" w:type="dxa"/>
              <w:left w:w="85" w:type="dxa"/>
              <w:bottom w:w="85" w:type="dxa"/>
              <w:right w:w="85" w:type="dxa"/>
            </w:tcMar>
            <w:shd w:fill="E8EEF5"/>
          </w:tcPr>
          <w:p>
            <w:pPr>
              <w:spacing w:after="40" w:before="40" w:line="269" w:lineRule="auto"/>
            </w:pPr>
            <w:r>
              <w:rPr>
                <w:b/>
                <w:sz w:val="20"/>
              </w:rPr>
              <w:t>拟比较的作用</w:t>
            </w:r>
          </w:p>
        </w:tc>
        <w:tc>
          <w:tcPr>
            <w:tcW w:type="dxa" w:w="3946"/>
            <w:vAlign w:val="center"/>
            <w:tcMar>
              <w:top w:w="85" w:type="dxa"/>
              <w:left w:w="85" w:type="dxa"/>
              <w:bottom w:w="85" w:type="dxa"/>
              <w:right w:w="85" w:type="dxa"/>
            </w:tcMar>
            <w:shd w:fill="E8EEF5"/>
          </w:tcPr>
          <w:p>
            <w:pPr>
              <w:spacing w:after="40" w:before="40" w:line="269" w:lineRule="auto"/>
            </w:pPr>
            <w:r>
              <w:rPr>
                <w:b/>
                <w:sz w:val="20"/>
              </w:rPr>
              <w:t>核心证据</w:t>
            </w:r>
          </w:p>
        </w:tc>
      </w:tr>
      <w:tr>
        <w:trPr>
          <w:cantSplit/>
        </w:trPr>
        <w:tc>
          <w:tcPr>
            <w:tcW w:type="dxa" w:w="2880"/>
            <w:vAlign w:val="center"/>
            <w:tcMar>
              <w:top w:w="85" w:type="dxa"/>
              <w:left w:w="85" w:type="dxa"/>
              <w:bottom w:w="85" w:type="dxa"/>
              <w:right w:w="85" w:type="dxa"/>
            </w:tcMar>
          </w:tcPr>
          <w:p>
            <w:pPr>
              <w:spacing w:after="40" w:before="40" w:line="269" w:lineRule="auto"/>
            </w:pPr>
            <w:r>
              <w:rPr>
                <w:b w:val="0"/>
                <w:sz w:val="20"/>
              </w:rPr>
              <w:t>RQ1 自动笔触辅助有什么作用</w:t>
            </w:r>
          </w:p>
        </w:tc>
        <w:tc>
          <w:tcPr>
            <w:tcW w:type="dxa" w:w="3168"/>
            <w:vAlign w:val="center"/>
            <w:tcMar>
              <w:top w:w="85" w:type="dxa"/>
              <w:left w:w="85" w:type="dxa"/>
              <w:bottom w:w="85" w:type="dxa"/>
              <w:right w:w="85" w:type="dxa"/>
            </w:tcMar>
          </w:tcPr>
          <w:p>
            <w:pPr>
              <w:spacing w:after="40" w:before="40" w:line="269" w:lineRule="auto"/>
            </w:pPr>
            <w:r>
              <w:rPr>
                <w:b w:val="0"/>
                <w:sz w:val="20"/>
              </w:rPr>
              <w:t>跨有无编排条件考察执行支持</w:t>
            </w:r>
          </w:p>
        </w:tc>
        <w:tc>
          <w:tcPr>
            <w:tcW w:type="dxa" w:w="3946"/>
            <w:vAlign w:val="center"/>
            <w:tcMar>
              <w:top w:w="85" w:type="dxa"/>
              <w:left w:w="85" w:type="dxa"/>
              <w:bottom w:w="85" w:type="dxa"/>
              <w:right w:w="85" w:type="dxa"/>
            </w:tcMar>
          </w:tcPr>
          <w:p>
            <w:pPr>
              <w:spacing w:after="40" w:before="40" w:line="269" w:lineRule="auto"/>
            </w:pPr>
            <w:r>
              <w:rPr>
                <w:b w:val="0"/>
                <w:sz w:val="20"/>
              </w:rPr>
              <w:t>表达实现评分；直接负担证据和操作困难</w:t>
            </w:r>
          </w:p>
        </w:tc>
      </w:tr>
      <w:tr>
        <w:trPr>
          <w:cantSplit/>
        </w:trPr>
        <w:tc>
          <w:tcPr>
            <w:tcW w:type="dxa" w:w="2880"/>
            <w:vAlign w:val="center"/>
            <w:tcMar>
              <w:top w:w="85" w:type="dxa"/>
              <w:left w:w="85" w:type="dxa"/>
              <w:bottom w:w="85" w:type="dxa"/>
              <w:right w:w="85" w:type="dxa"/>
            </w:tcMar>
          </w:tcPr>
          <w:p>
            <w:pPr>
              <w:spacing w:after="40" w:before="40" w:line="269" w:lineRule="auto"/>
            </w:pPr>
            <w:r>
              <w:rPr>
                <w:b w:val="0"/>
                <w:sz w:val="20"/>
              </w:rPr>
              <w:t>RQ2 素材编排支持有什么作用</w:t>
            </w:r>
          </w:p>
        </w:tc>
        <w:tc>
          <w:tcPr>
            <w:tcW w:type="dxa" w:w="3168"/>
            <w:vAlign w:val="center"/>
            <w:tcMar>
              <w:top w:w="85" w:type="dxa"/>
              <w:left w:w="85" w:type="dxa"/>
              <w:bottom w:w="85" w:type="dxa"/>
              <w:right w:w="85" w:type="dxa"/>
            </w:tcMar>
          </w:tcPr>
          <w:p>
            <w:pPr>
              <w:spacing w:after="40" w:before="40" w:line="269" w:lineRule="auto"/>
            </w:pPr>
            <w:r>
              <w:rPr>
                <w:b w:val="0"/>
                <w:sz w:val="20"/>
              </w:rPr>
              <w:t>跨手动与自动条件考察高层表达支持</w:t>
            </w:r>
          </w:p>
        </w:tc>
        <w:tc>
          <w:tcPr>
            <w:tcW w:type="dxa" w:w="3946"/>
            <w:vAlign w:val="center"/>
            <w:tcMar>
              <w:top w:w="85" w:type="dxa"/>
              <w:left w:w="85" w:type="dxa"/>
              <w:bottom w:w="85" w:type="dxa"/>
              <w:right w:w="85" w:type="dxa"/>
            </w:tcMar>
          </w:tcPr>
          <w:p>
            <w:pPr>
              <w:spacing w:after="40" w:before="40" w:line="269" w:lineRule="auto"/>
            </w:pPr>
            <w:r>
              <w:rPr>
                <w:b w:val="0"/>
                <w:sz w:val="20"/>
              </w:rPr>
              <w:t>表达实现评分；IMI 感知选择；决策过程</w:t>
            </w:r>
          </w:p>
        </w:tc>
      </w:tr>
      <w:tr>
        <w:trPr>
          <w:cantSplit/>
        </w:trPr>
        <w:tc>
          <w:tcPr>
            <w:tcW w:type="dxa" w:w="2880"/>
            <w:vAlign w:val="center"/>
            <w:tcMar>
              <w:top w:w="85" w:type="dxa"/>
              <w:left w:w="85" w:type="dxa"/>
              <w:bottom w:w="85" w:type="dxa"/>
              <w:right w:w="85" w:type="dxa"/>
            </w:tcMar>
          </w:tcPr>
          <w:p>
            <w:pPr>
              <w:spacing w:after="40" w:before="40" w:line="269" w:lineRule="auto"/>
            </w:pPr>
            <w:r>
              <w:rPr>
                <w:b w:val="0"/>
                <w:sz w:val="20"/>
              </w:rPr>
              <w:t>RQ3 二者如何共同作用</w:t>
            </w:r>
          </w:p>
        </w:tc>
        <w:tc>
          <w:tcPr>
            <w:tcW w:type="dxa" w:w="3168"/>
            <w:vAlign w:val="center"/>
            <w:tcMar>
              <w:top w:w="85" w:type="dxa"/>
              <w:left w:w="85" w:type="dxa"/>
              <w:bottom w:w="85" w:type="dxa"/>
              <w:right w:w="85" w:type="dxa"/>
            </w:tcMar>
          </w:tcPr>
          <w:p>
            <w:pPr>
              <w:spacing w:after="40" w:before="40" w:line="269" w:lineRule="auto"/>
            </w:pPr>
            <w:r>
              <w:rPr>
                <w:b w:val="0"/>
                <w:sz w:val="20"/>
              </w:rPr>
              <w:t>比较自动条件与手动条件中的编排作用差异</w:t>
            </w:r>
          </w:p>
        </w:tc>
        <w:tc>
          <w:tcPr>
            <w:tcW w:type="dxa" w:w="3946"/>
            <w:vAlign w:val="center"/>
            <w:tcMar>
              <w:top w:w="85" w:type="dxa"/>
              <w:left w:w="85" w:type="dxa"/>
              <w:bottom w:w="85" w:type="dxa"/>
              <w:right w:w="85" w:type="dxa"/>
            </w:tcMar>
          </w:tcPr>
          <w:p>
            <w:pPr>
              <w:spacing w:after="40" w:before="40" w:line="269" w:lineRule="auto"/>
            </w:pPr>
            <w:r>
              <w:rPr>
                <w:b w:val="0"/>
                <w:sz w:val="20"/>
              </w:rPr>
              <w:t>两个主要结局的交互估计；访谈解释与反例</w:t>
            </w:r>
          </w:p>
        </w:tc>
      </w:tr>
    </w:tbl>
    <w:p>
      <w:pPr>
        <w:spacing w:after="20"/>
      </w:pPr>
    </w:p>
    <w:p>
      <w:r>
        <w:rPr>
          <w:b w:val="0"/>
        </w:rPr>
        <w:t>建议共同主要结局为表达实现评分与 IMI 感知选择分数；兴趣／享受、感知能力、压力／紧张、SUS 和行为指标作为次要或探索性结果。若“降低执行负担”要成为主要实证结论，应在正式协议中增加明确的直接负担指标，并相应调整主要检验与样本量规划。</w:t>
      </w:r>
    </w:p>
    <w:p>
      <w:r>
        <w:rPr>
          <w:b w:val="0"/>
        </w:rPr>
        <w:t>作品属于谁、是否感到被替代，可通过访谈及少量探索性题目研究；它们不等同于 IMI 感知选择。创作时间长可能来自兴趣，也可能来自困难；暂停和修改次数只有结合情境才能解释。</w:t>
      </w:r>
    </w:p>
    <w:p>
      <w:pPr>
        <w:pStyle w:val="Heading1"/>
        <w:pageBreakBefore/>
      </w:pPr>
      <w:r>
        <w:t>中期评审意见的落实位置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816"/>
        <w:gridCol w:w="4162"/>
      </w:tblGrid>
      <w:tr>
        <w:trPr>
          <w:cantSplit/>
          <w:tblHeader/>
        </w:trPr>
        <w:tc>
          <w:tcPr>
            <w:tcW w:type="dxa" w:w="2016"/>
            <w:vAlign w:val="center"/>
            <w:tcMar>
              <w:top w:w="85" w:type="dxa"/>
              <w:left w:w="85" w:type="dxa"/>
              <w:bottom w:w="85" w:type="dxa"/>
              <w:right w:w="85" w:type="dxa"/>
            </w:tcMar>
            <w:shd w:fill="E8EEF5"/>
          </w:tcPr>
          <w:p>
            <w:pPr>
              <w:spacing w:after="40" w:before="40" w:line="269" w:lineRule="auto"/>
            </w:pPr>
            <w:r>
              <w:rPr>
                <w:b/>
                <w:sz w:val="20"/>
              </w:rPr>
              <w:t>评审关注</w:t>
            </w:r>
          </w:p>
        </w:tc>
        <w:tc>
          <w:tcPr>
            <w:tcW w:type="dxa" w:w="3816"/>
            <w:vAlign w:val="center"/>
            <w:tcMar>
              <w:top w:w="85" w:type="dxa"/>
              <w:left w:w="85" w:type="dxa"/>
              <w:bottom w:w="85" w:type="dxa"/>
              <w:right w:w="85" w:type="dxa"/>
            </w:tcMar>
            <w:shd w:fill="E8EEF5"/>
          </w:tcPr>
          <w:p>
            <w:pPr>
              <w:spacing w:after="40" w:before="40" w:line="269" w:lineRule="auto"/>
            </w:pPr>
            <w:r>
              <w:rPr>
                <w:b/>
                <w:sz w:val="20"/>
              </w:rPr>
              <w:t>论文与研究安排</w:t>
            </w:r>
          </w:p>
        </w:tc>
        <w:tc>
          <w:tcPr>
            <w:tcW w:type="dxa" w:w="4162"/>
            <w:vAlign w:val="center"/>
            <w:tcMar>
              <w:top w:w="85" w:type="dxa"/>
              <w:left w:w="85" w:type="dxa"/>
              <w:bottom w:w="85" w:type="dxa"/>
              <w:right w:w="85" w:type="dxa"/>
            </w:tcMar>
            <w:shd w:fill="E8EEF5"/>
          </w:tcPr>
          <w:p>
            <w:pPr>
              <w:spacing w:after="40" w:before="40" w:line="269" w:lineRule="auto"/>
            </w:pPr>
            <w:r>
              <w:rPr>
                <w:b/>
                <w:sz w:val="20"/>
              </w:rPr>
              <w:t>必须留下的证据</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痛点缺乏依据，用户像在完成苦工</w:t>
            </w:r>
          </w:p>
        </w:tc>
        <w:tc>
          <w:tcPr>
            <w:tcW w:type="dxa" w:w="3816"/>
            <w:vAlign w:val="center"/>
            <w:tcMar>
              <w:top w:w="85" w:type="dxa"/>
              <w:left w:w="85" w:type="dxa"/>
              <w:bottom w:w="85" w:type="dxa"/>
              <w:right w:w="85" w:type="dxa"/>
            </w:tcMar>
          </w:tcPr>
          <w:p>
            <w:pPr>
              <w:spacing w:after="40" w:before="40" w:line="269" w:lineRule="auto"/>
            </w:pPr>
            <w:r>
              <w:rPr>
                <w:b w:val="0"/>
                <w:sz w:val="20"/>
              </w:rPr>
              <w:t>第二章重新调研；第三章论证决策与执行分工</w:t>
            </w:r>
          </w:p>
        </w:tc>
        <w:tc>
          <w:tcPr>
            <w:tcW w:type="dxa" w:w="4162"/>
            <w:vAlign w:val="center"/>
            <w:tcMar>
              <w:top w:w="85" w:type="dxa"/>
              <w:left w:w="85" w:type="dxa"/>
              <w:bottom w:w="85" w:type="dxa"/>
              <w:right w:w="85" w:type="dxa"/>
            </w:tcMar>
          </w:tcPr>
          <w:p>
            <w:pPr>
              <w:spacing w:after="40" w:before="40" w:line="269" w:lineRule="auto"/>
            </w:pPr>
            <w:r>
              <w:rPr>
                <w:b w:val="0"/>
                <w:sz w:val="20"/>
              </w:rPr>
              <w:t>匿名原话、观察片段、负面案例与需求追溯</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更像软件开发，交互研究不足</w:t>
            </w:r>
          </w:p>
        </w:tc>
        <w:tc>
          <w:tcPr>
            <w:tcW w:type="dxa" w:w="3816"/>
            <w:vAlign w:val="center"/>
            <w:tcMar>
              <w:top w:w="85" w:type="dxa"/>
              <w:left w:w="85" w:type="dxa"/>
              <w:bottom w:w="85" w:type="dxa"/>
              <w:right w:w="85" w:type="dxa"/>
            </w:tcMar>
          </w:tcPr>
          <w:p>
            <w:pPr>
              <w:spacing w:after="40" w:before="40" w:line="269" w:lineRule="auto"/>
            </w:pPr>
            <w:r>
              <w:rPr>
                <w:b w:val="0"/>
                <w:sz w:val="20"/>
              </w:rPr>
              <w:t>第三章提出映射，第四章记录设计选择，第五章验证</w:t>
            </w:r>
          </w:p>
        </w:tc>
        <w:tc>
          <w:tcPr>
            <w:tcW w:type="dxa" w:w="4162"/>
            <w:vAlign w:val="center"/>
            <w:tcMar>
              <w:top w:w="85" w:type="dxa"/>
              <w:left w:w="85" w:type="dxa"/>
              <w:bottom w:w="85" w:type="dxa"/>
              <w:right w:w="85" w:type="dxa"/>
            </w:tcMar>
          </w:tcPr>
          <w:p>
            <w:pPr>
              <w:spacing w:after="40" w:before="40" w:line="269" w:lineRule="auto"/>
            </w:pPr>
            <w:r>
              <w:rPr>
                <w:b w:val="0"/>
                <w:sz w:val="20"/>
              </w:rPr>
              <w:t>理论—原则—操作—指标对应表与版本迭代</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千笔任务负担</w:t>
            </w:r>
          </w:p>
        </w:tc>
        <w:tc>
          <w:tcPr>
            <w:tcW w:type="dxa" w:w="3816"/>
            <w:vAlign w:val="center"/>
            <w:tcMar>
              <w:top w:w="85" w:type="dxa"/>
              <w:left w:w="85" w:type="dxa"/>
              <w:bottom w:w="85" w:type="dxa"/>
              <w:right w:w="85" w:type="dxa"/>
            </w:tcMar>
          </w:tcPr>
          <w:p>
            <w:pPr>
              <w:spacing w:after="40" w:before="40" w:line="269" w:lineRule="auto"/>
            </w:pPr>
            <w:r>
              <w:rPr>
                <w:b w:val="0"/>
                <w:sz w:val="20"/>
              </w:rPr>
              <w:t>5.1 预试校准任务、等待、时长与可中止流程</w:t>
            </w:r>
          </w:p>
        </w:tc>
        <w:tc>
          <w:tcPr>
            <w:tcW w:type="dxa" w:w="4162"/>
            <w:vAlign w:val="center"/>
            <w:tcMar>
              <w:top w:w="85" w:type="dxa"/>
              <w:left w:w="85" w:type="dxa"/>
              <w:bottom w:w="85" w:type="dxa"/>
              <w:right w:w="85" w:type="dxa"/>
            </w:tcMar>
          </w:tcPr>
          <w:p>
            <w:pPr>
              <w:spacing w:after="40" w:before="40" w:line="269" w:lineRule="auto"/>
            </w:pPr>
            <w:r>
              <w:rPr>
                <w:b w:val="0"/>
                <w:sz w:val="20"/>
              </w:rPr>
              <w:t>时长分布、疲劳反馈、超时与提前停止记录</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同图重复与学习效应</w:t>
            </w:r>
          </w:p>
        </w:tc>
        <w:tc>
          <w:tcPr>
            <w:tcW w:type="dxa" w:w="3816"/>
            <w:vAlign w:val="center"/>
            <w:tcMar>
              <w:top w:w="85" w:type="dxa"/>
              <w:left w:w="85" w:type="dxa"/>
              <w:bottom w:w="85" w:type="dxa"/>
              <w:right w:w="85" w:type="dxa"/>
            </w:tcMar>
          </w:tcPr>
          <w:p>
            <w:pPr>
              <w:spacing w:after="40" w:before="40" w:line="269" w:lineRule="auto"/>
            </w:pPr>
            <w:r>
              <w:rPr>
                <w:b w:val="0"/>
                <w:sz w:val="20"/>
              </w:rPr>
              <w:t>5.3 使用平行任务，平衡条件顺序和任务对应</w:t>
            </w:r>
          </w:p>
        </w:tc>
        <w:tc>
          <w:tcPr>
            <w:tcW w:type="dxa" w:w="4162"/>
            <w:vAlign w:val="center"/>
            <w:tcMar>
              <w:top w:w="85" w:type="dxa"/>
              <w:left w:w="85" w:type="dxa"/>
              <w:bottom w:w="85" w:type="dxa"/>
              <w:right w:w="85" w:type="dxa"/>
            </w:tcMar>
          </w:tcPr>
          <w:p>
            <w:pPr>
              <w:spacing w:after="40" w:before="40" w:line="269" w:lineRule="auto"/>
            </w:pPr>
            <w:r>
              <w:rPr>
                <w:b w:val="0"/>
                <w:sz w:val="20"/>
              </w:rPr>
              <w:t>任务匹配依据、分配表、练习任务与顺序记录</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量表与核心指标</w:t>
            </w:r>
          </w:p>
        </w:tc>
        <w:tc>
          <w:tcPr>
            <w:tcW w:type="dxa" w:w="3816"/>
            <w:vAlign w:val="center"/>
            <w:tcMar>
              <w:top w:w="85" w:type="dxa"/>
              <w:left w:w="85" w:type="dxa"/>
              <w:bottom w:w="85" w:type="dxa"/>
              <w:right w:w="85" w:type="dxa"/>
            </w:tcMar>
          </w:tcPr>
          <w:p>
            <w:pPr>
              <w:spacing w:after="40" w:before="40" w:line="269" w:lineRule="auto"/>
            </w:pPr>
            <w:r>
              <w:rPr>
                <w:b w:val="0"/>
                <w:sz w:val="20"/>
              </w:rPr>
              <w:t>5.4 核对 IMI、SUS；预定主要结局</w:t>
            </w:r>
          </w:p>
        </w:tc>
        <w:tc>
          <w:tcPr>
            <w:tcW w:type="dxa" w:w="4162"/>
            <w:vAlign w:val="center"/>
            <w:tcMar>
              <w:top w:w="85" w:type="dxa"/>
              <w:left w:w="85" w:type="dxa"/>
              <w:bottom w:w="85" w:type="dxa"/>
              <w:right w:w="85" w:type="dxa"/>
            </w:tcMar>
          </w:tcPr>
          <w:p>
            <w:pPr>
              <w:spacing w:after="40" w:before="40" w:line="269" w:lineRule="auto"/>
            </w:pPr>
            <w:r>
              <w:rPr>
                <w:b w:val="0"/>
                <w:sz w:val="20"/>
              </w:rPr>
              <w:t>量表版本、计分规则、翻译核查及分析计划</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评分细则、信度与盲评</w:t>
            </w:r>
          </w:p>
        </w:tc>
        <w:tc>
          <w:tcPr>
            <w:tcW w:type="dxa" w:w="3816"/>
            <w:vAlign w:val="center"/>
            <w:tcMar>
              <w:top w:w="85" w:type="dxa"/>
              <w:left w:w="85" w:type="dxa"/>
              <w:bottom w:w="85" w:type="dxa"/>
              <w:right w:w="85" w:type="dxa"/>
            </w:tcMar>
          </w:tcPr>
          <w:p>
            <w:pPr>
              <w:spacing w:after="40" w:before="40" w:line="269" w:lineRule="auto"/>
            </w:pPr>
            <w:r>
              <w:rPr>
                <w:b w:val="0"/>
                <w:sz w:val="20"/>
              </w:rPr>
              <w:t>5.4 独立试评、匿名作品、报告一致性</w:t>
            </w:r>
          </w:p>
        </w:tc>
        <w:tc>
          <w:tcPr>
            <w:tcW w:type="dxa" w:w="4162"/>
            <w:vAlign w:val="center"/>
            <w:tcMar>
              <w:top w:w="85" w:type="dxa"/>
              <w:left w:w="85" w:type="dxa"/>
              <w:bottom w:w="85" w:type="dxa"/>
              <w:right w:w="85" w:type="dxa"/>
            </w:tcMar>
          </w:tcPr>
          <w:p>
            <w:pPr>
              <w:spacing w:after="40" w:before="40" w:line="269" w:lineRule="auto"/>
            </w:pPr>
            <w:r>
              <w:rPr>
                <w:b w:val="0"/>
                <w:sz w:val="20"/>
              </w:rPr>
              <w:t>评分锚点、原始独立分数、信度及区间</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伦理</w:t>
            </w:r>
          </w:p>
        </w:tc>
        <w:tc>
          <w:tcPr>
            <w:tcW w:type="dxa" w:w="3816"/>
            <w:vAlign w:val="center"/>
            <w:tcMar>
              <w:top w:w="85" w:type="dxa"/>
              <w:left w:w="85" w:type="dxa"/>
              <w:bottom w:w="85" w:type="dxa"/>
              <w:right w:w="85" w:type="dxa"/>
            </w:tcMar>
          </w:tcPr>
          <w:p>
            <w:pPr>
              <w:spacing w:after="40" w:before="40" w:line="269" w:lineRule="auto"/>
            </w:pPr>
            <w:r>
              <w:rPr>
                <w:b w:val="0"/>
                <w:sz w:val="20"/>
              </w:rPr>
              <w:t>2.1 和 5.2 说明同意、退出、录屏及作品使用</w:t>
            </w:r>
          </w:p>
        </w:tc>
        <w:tc>
          <w:tcPr>
            <w:tcW w:type="dxa" w:w="4162"/>
            <w:vAlign w:val="center"/>
            <w:tcMar>
              <w:top w:w="85" w:type="dxa"/>
              <w:left w:w="85" w:type="dxa"/>
              <w:bottom w:w="85" w:type="dxa"/>
              <w:right w:w="85" w:type="dxa"/>
            </w:tcMar>
          </w:tcPr>
          <w:p>
            <w:pPr>
              <w:spacing w:after="40" w:before="40" w:line="269" w:lineRule="auto"/>
            </w:pPr>
            <w:r>
              <w:rPr>
                <w:b w:val="0"/>
                <w:sz w:val="20"/>
              </w:rPr>
              <w:t>实际伦理文件与数据访问记录</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算法借鉴与自有设计边界</w:t>
            </w:r>
          </w:p>
        </w:tc>
        <w:tc>
          <w:tcPr>
            <w:tcW w:type="dxa" w:w="3816"/>
            <w:vAlign w:val="center"/>
            <w:tcMar>
              <w:top w:w="85" w:type="dxa"/>
              <w:left w:w="85" w:type="dxa"/>
              <w:bottom w:w="85" w:type="dxa"/>
              <w:right w:w="85" w:type="dxa"/>
            </w:tcMar>
          </w:tcPr>
          <w:p>
            <w:pPr>
              <w:spacing w:after="40" w:before="40" w:line="269" w:lineRule="auto"/>
            </w:pPr>
            <w:r>
              <w:rPr>
                <w:b w:val="0"/>
                <w:sz w:val="20"/>
              </w:rPr>
              <w:t>1.2、4.3 和 4.7 区分文献、旧实现与改造</w:t>
            </w:r>
          </w:p>
        </w:tc>
        <w:tc>
          <w:tcPr>
            <w:tcW w:type="dxa" w:w="4162"/>
            <w:vAlign w:val="center"/>
            <w:tcMar>
              <w:top w:w="85" w:type="dxa"/>
              <w:left w:w="85" w:type="dxa"/>
              <w:bottom w:w="85" w:type="dxa"/>
              <w:right w:w="85" w:type="dxa"/>
            </w:tcMar>
          </w:tcPr>
          <w:p>
            <w:pPr>
              <w:spacing w:after="40" w:before="40" w:line="269" w:lineRule="auto"/>
            </w:pPr>
            <w:r>
              <w:rPr>
                <w:b w:val="0"/>
                <w:sz w:val="20"/>
              </w:rPr>
              <w:t>来源表、版本记录、公平对照与失败案例</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语言影响理解</w:t>
            </w:r>
          </w:p>
        </w:tc>
        <w:tc>
          <w:tcPr>
            <w:tcW w:type="dxa" w:w="3816"/>
            <w:vAlign w:val="center"/>
            <w:tcMar>
              <w:top w:w="85" w:type="dxa"/>
              <w:left w:w="85" w:type="dxa"/>
              <w:bottom w:w="85" w:type="dxa"/>
              <w:right w:w="85" w:type="dxa"/>
            </w:tcMar>
          </w:tcPr>
          <w:p>
            <w:pPr>
              <w:spacing w:after="40" w:before="40" w:line="269" w:lineRule="auto"/>
            </w:pPr>
            <w:r>
              <w:rPr>
                <w:b w:val="0"/>
                <w:sz w:val="20"/>
              </w:rPr>
              <w:t>各节按问题、证据、分析、设计含义写作</w:t>
            </w:r>
          </w:p>
        </w:tc>
        <w:tc>
          <w:tcPr>
            <w:tcW w:type="dxa" w:w="4162"/>
            <w:vAlign w:val="center"/>
            <w:tcMar>
              <w:top w:w="85" w:type="dxa"/>
              <w:left w:w="85" w:type="dxa"/>
              <w:bottom w:w="85" w:type="dxa"/>
              <w:right w:w="85" w:type="dxa"/>
            </w:tcMar>
          </w:tcPr>
          <w:p>
            <w:pPr>
              <w:spacing w:after="40" w:before="40" w:line="269" w:lineRule="auto"/>
            </w:pPr>
            <w:r>
              <w:rPr>
                <w:b w:val="0"/>
                <w:sz w:val="20"/>
              </w:rPr>
              <w:t>术语表、逐段语言审校与图文一致性核查</w:t>
            </w:r>
          </w:p>
        </w:tc>
      </w:tr>
    </w:tbl>
    <w:p>
      <w:pPr>
        <w:spacing w:after="20"/>
      </w:pPr>
    </w:p>
    <w:p>
      <w:pPr>
        <w:pStyle w:val="Heading1"/>
        <w:pageBreakBefore/>
      </w:pPr>
      <w:r>
        <w:t>逐章写作目录与内容安排</w:t>
      </w:r>
    </w:p>
    <w:p>
      <w:r>
        <w:rPr>
          <w:b w:val="0"/>
        </w:rPr>
        <w:t>以下标题可以直接作为论文目录的工作版本。每个二级标题的预算等于其三级子节之和；没有三级子节的小结与结论节单独计字。每章最后列出需要提前收集的图表和证据。</w:t>
      </w:r>
    </w:p>
    <w:p>
      <w:pPr>
        <w:pStyle w:val="Heading1"/>
      </w:pPr>
      <w:r>
        <w:t>第一章 绪论  4,500 字</w:t>
      </w:r>
    </w:p>
    <w:p>
      <w:r>
        <w:rPr>
          <w:b w:val="0"/>
        </w:rPr>
        <w:t>说明初学者为何需要绘画表达支持，将研究问题限定为表达决策与手绘执行之间的关系。文献评述最终落到可检验的设计问题。</w:t>
      </w:r>
    </w:p>
    <w:p>
      <w:pPr>
        <w:pStyle w:val="Heading2"/>
      </w:pPr>
      <w:r>
        <w:t>1.1 研究背景  900 字</w:t>
      </w:r>
    </w:p>
    <w:p>
      <w:r>
        <w:rPr>
          <w:b w:val="0"/>
        </w:rPr>
      </w:r>
      <w:r>
        <w:rPr>
          <w:b/>
        </w:rPr>
        <w:t>1.1.1 日常绘画表达的需求  300 字。</w:t>
      </w:r>
      <w:r>
        <w:t>界定记录生活、表达情绪和组织个人经验等日常场景。以文献与实际用户材料说明需求，避免用宏观数字化背景替代具体问题。</w:t>
      </w:r>
    </w:p>
    <w:p>
      <w:r>
        <w:rPr>
          <w:b w:val="0"/>
        </w:rPr>
      </w:r>
      <w:r>
        <w:rPr>
          <w:b/>
        </w:rPr>
        <w:t>1.1.2 绘画初学者的执行困难  300 字。</w:t>
      </w:r>
      <w:r>
        <w:t>区分造型、运笔、配色操作等执行困难与内容选择、构图组织等表达决策。说明本研究帮助完成表达，不承诺教授完整绘画技能。</w:t>
      </w:r>
    </w:p>
    <w:p>
      <w:r>
        <w:rPr>
          <w:b w:val="0"/>
        </w:rPr>
      </w:r>
      <w:r>
        <w:rPr>
          <w:b/>
        </w:rPr>
        <w:t>1.1.3 笔触辅助中的参与问题  300 字。</w:t>
      </w:r>
      <w:r>
        <w:t>指出固定笔触跟随或自动成图可能造成决策空间有限的问题。这是待用户研究检验的设计问题，不能直接把所有传统算法描述为死板或无趣。</w:t>
      </w:r>
    </w:p>
    <w:p>
      <w:pPr>
        <w:pStyle w:val="Heading2"/>
      </w:pPr>
      <w:r>
        <w:t>1.2 相关研究与实践现状  1,700 字</w:t>
      </w:r>
    </w:p>
    <w:p>
      <w:r>
        <w:rPr>
          <w:b w:val="0"/>
        </w:rPr>
      </w:r>
      <w:r>
        <w:rPr>
          <w:b/>
        </w:rPr>
        <w:t>1.2.1 数字绘画工具与初学者支持  500 字。</w:t>
      </w:r>
      <w:r>
        <w:t>比较普通画布、描摹引导、素材拼贴和生成式工具的支持方式，讨论进入成本、控制能力与表达自由。说明存在替代方案，并界定本研究适用场景。</w:t>
      </w:r>
    </w:p>
    <w:p>
      <w:r>
        <w:rPr>
          <w:b w:val="0"/>
        </w:rPr>
      </w:r>
      <w:r>
        <w:rPr>
          <w:b/>
        </w:rPr>
        <w:t>1.2.2 基于笔触的绘画式渲染  450 字。</w:t>
      </w:r>
      <w:r>
        <w:t>梳理粗到细、多尺度、曲线笔触及图像误差驱动等已有方法，说明技术演进和本研究借鉴关系。神经绘画仅作相关研究，不写成已部署能力。</w:t>
      </w:r>
    </w:p>
    <w:p>
      <w:r>
        <w:rPr>
          <w:b w:val="0"/>
        </w:rPr>
      </w:r>
      <w:r>
        <w:rPr>
          <w:b/>
        </w:rPr>
        <w:t>1.2.3 人机协同创作与过程反馈  450 字。</w:t>
      </w:r>
      <w:r>
        <w:t>讨论谁决定内容、谁执行笔触、何时能介入、怎样理解系统状态等交互问题。筛选与初学者视觉表达相关的研究，避免泛写全部人工智能艺术。</w:t>
      </w:r>
    </w:p>
    <w:p>
      <w:r>
        <w:rPr>
          <w:b w:val="0"/>
        </w:rPr>
      </w:r>
      <w:r>
        <w:rPr>
          <w:b/>
        </w:rPr>
        <w:t>1.2.4 研究评述与设计切入点  300 字。</w:t>
      </w:r>
      <w:r>
        <w:t>归纳尚待解决的具体关系：减轻手绘执行要求时，如何保留用户作表达决定的机会，以及如何评价这种支持。不要把缺少某一款产品当成学术空白。</w:t>
      </w:r>
    </w:p>
    <w:p>
      <w:pPr>
        <w:pStyle w:val="Heading2"/>
      </w:pPr>
      <w:r>
        <w:t>1.3 研究目的与意义  700 字</w:t>
      </w:r>
    </w:p>
    <w:p>
      <w:r>
        <w:rPr>
          <w:b w:val="0"/>
        </w:rPr>
      </w:r>
      <w:r>
        <w:rPr>
          <w:b/>
        </w:rPr>
        <w:t>1.3.1 研究目的与研究问题  350 字。</w:t>
      </w:r>
      <w:r>
        <w:t>提出设计目标和三个研究问题：自动笔触辅助、素材编排支持及二者交互对表达实现与感知选择的影响。趣味性、负担和可用性作为重要补充。</w:t>
      </w:r>
    </w:p>
    <w:p>
      <w:r>
        <w:rPr>
          <w:b w:val="0"/>
        </w:rPr>
      </w:r>
      <w:r>
        <w:rPr>
          <w:b/>
        </w:rPr>
        <w:t>1.3.2 设计学与艺术学研究意义  350 字。</w:t>
      </w:r>
      <w:r>
        <w:t>说明意义在于将绘画形式选择转化为可操作交互，并研究用户如何参与作品形成。区分设计方法价值、原型价值与实验证据，不宣称普遍提高创造力。</w:t>
      </w:r>
    </w:p>
    <w:p>
      <w:pPr>
        <w:pStyle w:val="Heading2"/>
      </w:pPr>
      <w:r>
        <w:t>1.4 研究范围与方法  900 字</w:t>
      </w:r>
    </w:p>
    <w:p>
      <w:r>
        <w:rPr>
          <w:b w:val="0"/>
        </w:rPr>
      </w:r>
      <w:r>
        <w:rPr>
          <w:b/>
        </w:rPr>
        <w:t>1.4.1 核心概念与研究边界  300 字。</w:t>
      </w:r>
      <w:r>
        <w:t>界定绘画初学者、个人表达、表达实现、自动笔触辅助和素材编排。说明本地非学习式算法与产品中 AI 称谓的关系。</w:t>
      </w:r>
    </w:p>
    <w:p>
      <w:r>
        <w:rPr>
          <w:b w:val="0"/>
        </w:rPr>
      </w:r>
      <w:r>
        <w:rPr>
          <w:b/>
        </w:rPr>
        <w:t>1.4.2 研究方法与证据来源  300 字。</w:t>
      </w:r>
      <w:r>
        <w:t>交代文献研究、访谈与任务观察、案例分析、设计迭代、工程对照、2×2 实验、作品评价和问卷访谈各自用途。</w:t>
      </w:r>
    </w:p>
    <w:p>
      <w:r>
        <w:rPr>
          <w:b w:val="0"/>
        </w:rPr>
      </w:r>
      <w:r>
        <w:rPr>
          <w:b/>
        </w:rPr>
        <w:t>1.4.3 研究流程与章节关系  300 字。</w:t>
      </w:r>
      <w:r>
        <w:t>绘制需求证据到理论原则、映射规则、原型与实验的流程图。保留真实迭代时间，不把中期后新增调研伪装为最初立项依据。</w:t>
      </w:r>
    </w:p>
    <w:p>
      <w:pPr>
        <w:pStyle w:val="Heading2"/>
      </w:pPr>
      <w:r>
        <w:t>1.5 本章小结  300 字</w:t>
      </w:r>
    </w:p>
    <w:p>
      <w:r>
        <w:rPr>
          <w:b w:val="0"/>
        </w:rPr>
        <w:t>概括本章得到的认识、证据边界及其如何进入下一章，不重复目录，不在小结中引入未经论证的新结论。</w:t>
      </w:r>
    </w:p>
    <w:p>
      <w:r>
        <w:rPr>
          <w:b w:val="0"/>
        </w:rPr>
        <w:t>建议图表：研究范围图、工具支持方式比较表、研究问题与证据表、总体研究框架图。</w:t>
      </w:r>
    </w:p>
    <w:p>
      <w:pPr>
        <w:pStyle w:val="Heading1"/>
        <w:pageBreakBefore/>
      </w:pPr>
      <w:r>
        <w:t>第二章 日常绘画表达场景下的用户需求研究  7,000 字</w:t>
      </w:r>
    </w:p>
    <w:p>
      <w:r>
        <w:rPr>
          <w:b w:val="0"/>
        </w:rPr>
        <w:t>以真实用户材料回答痛点是否成立、发生在哪一步、哪些人受影响，并形成可追溯的设计要求。第二章是回应中期评审的关键章节。</w:t>
      </w:r>
    </w:p>
    <w:p>
      <w:pPr>
        <w:pStyle w:val="Heading2"/>
      </w:pPr>
      <w:r>
        <w:t>2.1 用户研究设计  1,100 字</w:t>
      </w:r>
    </w:p>
    <w:p>
      <w:r>
        <w:rPr>
          <w:b w:val="0"/>
        </w:rPr>
      </w:r>
      <w:r>
        <w:rPr>
          <w:b/>
        </w:rPr>
        <w:t>2.1.1 调研目的与场景界定  350 字。</w:t>
      </w:r>
      <w:r>
        <w:t>围绕有表达愿望但缺乏手绘熟练度的成年人展开，先研究日常表达行为，不以评价现有产品为唯一任务。年龄范围和经验标准在招募前明确。</w:t>
      </w:r>
    </w:p>
    <w:p>
      <w:r>
        <w:rPr>
          <w:b w:val="0"/>
        </w:rPr>
      </w:r>
      <w:r>
        <w:rPr>
          <w:b/>
        </w:rPr>
        <w:t>2.1.2 招募与样本说明  400 字。</w:t>
      </w:r>
      <w:r>
        <w:t>说明绘画经历、数字工具经验、近期创作行为和招募渠道。记录差异及拒绝原因，样本数按实际报告，不虚构人数或饱和结论。</w:t>
      </w:r>
    </w:p>
    <w:p>
      <w:r>
        <w:rPr>
          <w:b w:val="0"/>
        </w:rPr>
      </w:r>
      <w:r>
        <w:rPr>
          <w:b/>
        </w:rPr>
        <w:t>2.1.3 访谈与观察材料  350 字。</w:t>
      </w:r>
      <w:r>
        <w:t>设计开放式访谈、普通画布表达任务和回顾提问，记录意图、尝试、卡点、求助和放弃原因。说明知情同意、录屏范围与匿名处理。</w:t>
      </w:r>
    </w:p>
    <w:p>
      <w:pPr>
        <w:pStyle w:val="Heading2"/>
      </w:pPr>
      <w:r>
        <w:t>2.2 用户研究过程与发现  1,900 字</w:t>
      </w:r>
    </w:p>
    <w:p>
      <w:r>
        <w:rPr>
          <w:b w:val="0"/>
        </w:rPr>
      </w:r>
      <w:r>
        <w:rPr>
          <w:b/>
        </w:rPr>
        <w:t>2.2.1 表达动机与既有实践  600 字。</w:t>
      </w:r>
      <w:r>
        <w:t>整理用户为何画、为何不画，以及照片、拼贴、文字和绘画各自承担的角色。引用可追溯的匿名原话，避免只呈现支持产品的意见。</w:t>
      </w:r>
    </w:p>
    <w:p>
      <w:r>
        <w:rPr>
          <w:b w:val="0"/>
        </w:rPr>
      </w:r>
      <w:r>
        <w:rPr>
          <w:b/>
        </w:rPr>
        <w:t>2.2.2 手绘执行中的具体困难  650 字。</w:t>
      </w:r>
      <w:r>
        <w:t>通过行为片段说明形态控制、工具操作与纠错负担，区分技术操作失败和艺术表达困难。不能把所有停顿都解释为不会画。</w:t>
      </w:r>
    </w:p>
    <w:p>
      <w:r>
        <w:rPr>
          <w:b w:val="0"/>
        </w:rPr>
      </w:r>
      <w:r>
        <w:rPr>
          <w:b/>
        </w:rPr>
        <w:t>2.2.3 自动化与引导中的参与感  650 字。</w:t>
      </w:r>
      <w:r>
        <w:t>观察用户在参考引导、素材组织或自动绘制样例中的反应，识别希望保留的选择及不可接受的代替。标明这是后续迭代调研，不回填历史。</w:t>
      </w:r>
    </w:p>
    <w:p>
      <w:pPr>
        <w:pStyle w:val="Heading2"/>
      </w:pPr>
      <w:r>
        <w:t>2.3 需求分析与目标用户界定  1,100 字</w:t>
      </w:r>
    </w:p>
    <w:p>
      <w:r>
        <w:rPr>
          <w:b w:val="0"/>
        </w:rPr>
      </w:r>
      <w:r>
        <w:rPr>
          <w:b/>
        </w:rPr>
        <w:t>2.3.1 编码过程与主题归纳  550 字。</w:t>
      </w:r>
      <w:r>
        <w:t>说明从录音转写、初始编码到主题的过程，展示证据链及反例。若采用反思性主题分析，不机械要求编码者一致率；若采用固定代码表，则说明复核方法。</w:t>
      </w:r>
    </w:p>
    <w:p>
      <w:r>
        <w:rPr>
          <w:b w:val="0"/>
        </w:rPr>
      </w:r>
      <w:r>
        <w:rPr>
          <w:b/>
        </w:rPr>
        <w:t>2.3.2 用户差异与任务旅程  550 字。</w:t>
      </w:r>
      <w:r>
        <w:t>根据真实行为划分需求差异，绘制从构思到保存回看的旅程。人物画像应由证据支持，不添加虚构职业、情感或生活故事。</w:t>
      </w:r>
    </w:p>
    <w:p>
      <w:pPr>
        <w:pStyle w:val="Heading2"/>
      </w:pPr>
      <w:r>
        <w:t>2.4 绘画产品案例分析  1,400 字</w:t>
      </w:r>
    </w:p>
    <w:p>
      <w:r>
        <w:rPr>
          <w:b w:val="0"/>
        </w:rPr>
      </w:r>
      <w:r>
        <w:rPr>
          <w:b/>
        </w:rPr>
        <w:t>2.4.1 Procreate 的画布与工具组织  500 字。</w:t>
      </w:r>
      <w:r>
        <w:t>依据官方手册及任务走查分析画廊入口、绘画工具布局、颜色、撤销与手势。提炼可迁移的交互原则，不照抄复杂功能和界面外观。</w:t>
      </w:r>
    </w:p>
    <w:p>
      <w:r>
        <w:rPr>
          <w:b w:val="0"/>
        </w:rPr>
      </w:r>
      <w:r>
        <w:rPr>
          <w:b/>
        </w:rPr>
        <w:t>2.4.2 画世界的创作与作品组织  500 字。</w:t>
      </w:r>
      <w:r>
        <w:t>依据官方资料和后续实测分析画布入口、作品管理与过程回看。区分画世界与画世界 Pro，明确版本和平台，不能混用功能证据。</w:t>
      </w:r>
    </w:p>
    <w:p>
      <w:r>
        <w:rPr>
          <w:b w:val="0"/>
        </w:rPr>
      </w:r>
      <w:r>
        <w:rPr>
          <w:b/>
        </w:rPr>
        <w:t>2.4.3 Feather 的情境工具与反馈  400 字。</w:t>
      </w:r>
      <w:r>
        <w:t>分析工具分区、情境菜单、辅助绘制与界面收纳，说明三维任务与本项目二维画布的差异。提出需经原型验证的迁移方式。</w:t>
      </w:r>
    </w:p>
    <w:p>
      <w:pPr>
        <w:pStyle w:val="Heading2"/>
      </w:pPr>
      <w:r>
        <w:t>2.5 设计机会与需求优先级  1,200 字</w:t>
      </w:r>
    </w:p>
    <w:p>
      <w:r>
        <w:rPr>
          <w:b w:val="0"/>
        </w:rPr>
      </w:r>
      <w:r>
        <w:rPr>
          <w:b/>
        </w:rPr>
        <w:t>2.5.1 痛点与设计机会对应  600 字。</w:t>
      </w:r>
      <w:r>
        <w:t>形成原始证据—痛点—需求—设计要求的表。优先处理执行困难、选择无法落实、过程难理解等问题；IP、动效须解释其服务的具体任务。</w:t>
      </w:r>
    </w:p>
    <w:p>
      <w:r>
        <w:rPr>
          <w:b w:val="0"/>
        </w:rPr>
      </w:r>
      <w:r>
        <w:rPr>
          <w:b/>
        </w:rPr>
        <w:t>2.5.2 核心需求与约束  600 字。</w:t>
      </w:r>
      <w:r>
        <w:t>明确表达选择可见、操作可理解、过程可介入、结果可保存等要求，以及本地运行、有限素材和设备限制。标明必须实现、待验证及暂不纳入的内容。</w:t>
      </w:r>
    </w:p>
    <w:p>
      <w:pPr>
        <w:pStyle w:val="Heading2"/>
      </w:pPr>
      <w:r>
        <w:t>2.6 本章小结  300 字</w:t>
      </w:r>
    </w:p>
    <w:p>
      <w:r>
        <w:rPr>
          <w:b w:val="0"/>
        </w:rPr>
        <w:t>概括本章得到的认识、证据边界及其如何进入下一章，不重复目录，不在小结中引入未经论证的新结论。</w:t>
      </w:r>
    </w:p>
    <w:p>
      <w:r>
        <w:rPr>
          <w:b w:val="0"/>
        </w:rPr>
        <w:t>建议图表：调研流程与样本表、访谈提纲、匿名证据与编码表、任务旅程图、案例任务比较表、需求优先级表。</w:t>
      </w:r>
    </w:p>
    <w:p>
      <w:pPr>
        <w:pStyle w:val="Heading1"/>
        <w:pageBreakBefore/>
      </w:pPr>
      <w:r>
        <w:t>第三章 人机协同绘画的理论依据与交互映射  8,500 字</w:t>
      </w:r>
    </w:p>
    <w:p>
      <w:r>
        <w:rPr>
          <w:b w:val="0"/>
        </w:rPr>
        <w:t>把需求转成设计原则与可实现的映射规则。理论只保留能解释具体设计选择的部分；本章提出的关系属于设计推导，需要后续验证。</w:t>
      </w:r>
    </w:p>
    <w:p>
      <w:pPr>
        <w:pStyle w:val="Heading2"/>
      </w:pPr>
      <w:r>
        <w:t>3.1 创作自主性与动机的理论依据  1,400 字</w:t>
      </w:r>
    </w:p>
    <w:p>
      <w:r>
        <w:rPr>
          <w:b w:val="0"/>
        </w:rPr>
      </w:r>
      <w:r>
        <w:rPr>
          <w:b/>
        </w:rPr>
        <w:t>3.1.1 自我决定理论的相关概念  500 字。</w:t>
      </w:r>
      <w:r>
        <w:t>以自主性、胜任感为主要切入，准确解释其与内在动机的关系。亲和需要可介绍，但月亮形象不能直接被等同为满足亲和需要。</w:t>
      </w:r>
    </w:p>
    <w:p>
      <w:r>
        <w:rPr>
          <w:b w:val="0"/>
        </w:rPr>
      </w:r>
      <w:r>
        <w:rPr>
          <w:b/>
        </w:rPr>
        <w:t>3.1.2 执行支持与主体感的关系  450 字。</w:t>
      </w:r>
      <w:r>
        <w:t>讨论系统降低手绘要求时可能产生的帮助与代替感。提出将内容、位置等高层决定交给用户的设计理由，而不是预设自动化一定有害。</w:t>
      </w:r>
    </w:p>
    <w:p>
      <w:r>
        <w:rPr>
          <w:b w:val="0"/>
        </w:rPr>
      </w:r>
      <w:r>
        <w:rPr>
          <w:b/>
        </w:rPr>
        <w:t>3.1.3 理论概念与评价指标  450 字。</w:t>
      </w:r>
      <w:r>
        <w:t>说明感知选择、感知能力、兴趣与压力分别如何测量。区分作者归属感与感知选择；前者若另设题目，应标为探索性，不借用量表名义。</w:t>
      </w:r>
    </w:p>
    <w:p>
      <w:pPr>
        <w:pStyle w:val="Heading2"/>
      </w:pPr>
      <w:r>
        <w:t>3.2 创造力支持与反思性创作  1,400 字</w:t>
      </w:r>
    </w:p>
    <w:p>
      <w:r>
        <w:rPr>
          <w:b w:val="0"/>
        </w:rPr>
      </w:r>
      <w:r>
        <w:rPr>
          <w:b/>
        </w:rPr>
        <w:t>3.2.1 创造力支持工具的设计启示  450 字。</w:t>
      </w:r>
      <w:r>
        <w:t>从表达尝试、探索替代方案和保留成果等角度讨论工具支持。不要把提供更多选项直接等同于创造力提高。</w:t>
      </w:r>
    </w:p>
    <w:p>
      <w:r>
        <w:rPr>
          <w:b w:val="0"/>
        </w:rPr>
      </w:r>
      <w:r>
        <w:rPr>
          <w:b/>
        </w:rPr>
        <w:t>3.2.2 观看与行动之间的反思循环  500 字。</w:t>
      </w:r>
      <w:r>
        <w:t>结合 Schön 的研究讨论观看画面、判断关系、作出改变、重新观看的循环，解释为什么渐进形成的画面可能成为继续构思的材料。</w:t>
      </w:r>
    </w:p>
    <w:p>
      <w:r>
        <w:rPr>
          <w:b w:val="0"/>
        </w:rPr>
      </w:r>
      <w:r>
        <w:rPr>
          <w:b/>
        </w:rPr>
        <w:t>3.2.3 持续介入的设计条件  450 字。</w:t>
      </w:r>
      <w:r>
        <w:t>推导暂停、预览、确认和续绘的作用，说明观察系统输出后仍需有可执行的改变机会。观看时长本身不能证明反思发生。</w:t>
      </w:r>
    </w:p>
    <w:p>
      <w:pPr>
        <w:pStyle w:val="Heading2"/>
      </w:pPr>
      <w:r>
        <w:t>3.3 概念模型与交互反馈  1,200 字</w:t>
      </w:r>
    </w:p>
    <w:p>
      <w:r>
        <w:rPr>
          <w:b w:val="0"/>
        </w:rPr>
      </w:r>
      <w:r>
        <w:rPr>
          <w:b/>
        </w:rPr>
        <w:t>3.3.1 用户意图与系统行动的对应  400 字。</w:t>
      </w:r>
      <w:r>
        <w:t>以概念模型、映射、可见反馈解释用户如何理解素材编排与笔触形成的关系。区分界面可操作性与真实的系统能力。</w:t>
      </w:r>
    </w:p>
    <w:p>
      <w:r>
        <w:rPr>
          <w:b w:val="0"/>
        </w:rPr>
      </w:r>
      <w:r>
        <w:rPr>
          <w:b/>
        </w:rPr>
        <w:t>3.3.2 状态可见性与操作反馈  400 字。</w:t>
      </w:r>
      <w:r>
        <w:t>定义预览、已确认、规划、绘制、暂停、完成和失败状态，让用户知道下一步能做什么。提示语言优先说明状态与行动。</w:t>
      </w:r>
    </w:p>
    <w:p>
      <w:r>
        <w:rPr>
          <w:b w:val="0"/>
        </w:rPr>
      </w:r>
      <w:r>
        <w:rPr>
          <w:b/>
        </w:rPr>
        <w:t>3.3.3 容错与控制边界  400 字。</w:t>
      </w:r>
      <w:r>
        <w:t>分析取消、撤销、重试和恢复的必要性。当前已确认素材不可撤销，应作为待验证限制，不能同时宣称系统已经提供完整可逆探索。</w:t>
      </w:r>
    </w:p>
    <w:p>
      <w:pPr>
        <w:pStyle w:val="Heading2"/>
      </w:pPr>
      <w:r>
        <w:t>3.4 人机协同绘画设计原则  1,600 字</w:t>
      </w:r>
    </w:p>
    <w:p>
      <w:r>
        <w:rPr>
          <w:b w:val="0"/>
        </w:rPr>
      </w:r>
      <w:r>
        <w:rPr>
          <w:b/>
        </w:rPr>
        <w:t>3.4.1 表达决策与执行支持分工  550 字。</w:t>
      </w:r>
      <w:r>
        <w:t>提出用户决定内容及关系、系统承担部分笔触执行的原则，说明双方的责任边界与可观察指标。</w:t>
      </w:r>
    </w:p>
    <w:p>
      <w:r>
        <w:rPr>
          <w:b w:val="0"/>
        </w:rPr>
      </w:r>
      <w:r>
        <w:rPr>
          <w:b/>
        </w:rPr>
        <w:t>3.4.2 可理解且可介入的形成过程  550 字。</w:t>
      </w:r>
      <w:r>
        <w:t>提出预览与成画区分、笔触形成可见、暂停与继续清楚的原则，讨论反馈密度与注意力竞争。</w:t>
      </w:r>
    </w:p>
    <w:p>
      <w:r>
        <w:rPr>
          <w:b w:val="0"/>
        </w:rPr>
      </w:r>
      <w:r>
        <w:rPr>
          <w:b/>
        </w:rPr>
        <w:t>3.4.3 适度支架与表达空间  500 字。</w:t>
      </w:r>
      <w:r>
        <w:t>说明素材限制、默认值和高级控制如何取舍。支持初学者进入任务，同时保留多种表达结果，不用奖励或笔数要求强迫持续操作。</w:t>
      </w:r>
    </w:p>
    <w:p>
      <w:pPr>
        <w:pStyle w:val="Heading2"/>
      </w:pPr>
      <w:r>
        <w:t>3.5 绘画形式要素的交互映射  1,800 字</w:t>
      </w:r>
    </w:p>
    <w:p>
      <w:r>
        <w:rPr>
          <w:b w:val="0"/>
        </w:rPr>
      </w:r>
      <w:r>
        <w:rPr>
          <w:b/>
        </w:rPr>
        <w:t>3.5.1 内容与构图关系的映射  600 字。</w:t>
      </w:r>
      <w:r>
        <w:t>将题材、主次、尺度、疏密和位置关系对应到素材选择、大小和布局。只声明实际实现的空间控制；旋转、层级等未实现能力列入后续计划。</w:t>
      </w:r>
    </w:p>
    <w:p>
      <w:r>
        <w:rPr>
          <w:b w:val="0"/>
        </w:rPr>
      </w:r>
      <w:r>
        <w:rPr>
          <w:b/>
        </w:rPr>
        <w:t>3.5.2 色彩与笔触表现的映射  650 字。</w:t>
      </w:r>
      <w:r>
        <w:t>说明色彩关系、细节概括、笔触方向和宽度如何对应可操作参数。区分形式描述与情绪联想，不能写成暖色必然愉快等普遍规律。</w:t>
      </w:r>
    </w:p>
    <w:p>
      <w:r>
        <w:rPr>
          <w:b w:val="0"/>
        </w:rPr>
      </w:r>
      <w:r>
        <w:rPr>
          <w:b/>
        </w:rPr>
        <w:t>3.5.3 形成节奏与介入时机的映射  550 字。</w:t>
      </w:r>
      <w:r>
        <w:t>将观看、判断和改动机会对应到逐笔反馈、速度、暂停和再次确认。给出输入、可见反馈、内部处理、评价证据的完整映射示例。</w:t>
      </w:r>
    </w:p>
    <w:p>
      <w:pPr>
        <w:pStyle w:val="Heading2"/>
      </w:pPr>
      <w:r>
        <w:t>3.6 星月叙事的角色与界面映射  800 字</w:t>
      </w:r>
    </w:p>
    <w:p>
      <w:r>
        <w:rPr>
          <w:b w:val="0"/>
        </w:rPr>
      </w:r>
      <w:r>
        <w:rPr>
          <w:b/>
        </w:rPr>
        <w:t>3.6.1 月亮与星星的角色分工  400 字。</w:t>
      </w:r>
      <w:r>
        <w:t>定义月亮代表提供执行支持的系统、星星代表作出创作决定的用户。将照亮与添加星芒解释为产品概念，不能作为已经证实的心理机制。</w:t>
      </w:r>
    </w:p>
    <w:p>
      <w:r>
        <w:rPr>
          <w:b w:val="0"/>
        </w:rPr>
      </w:r>
      <w:r>
        <w:rPr>
          <w:b/>
        </w:rPr>
        <w:t>3.6.2 叙事一致性与功能可辨识  400 字。</w:t>
      </w:r>
      <w:r>
        <w:t>明确月亮状态、用户署名、画廊星图和操作反馈怎样对应；按钮保留常规名称。主实验中叙事尽量保持一致，不把它作为第五种隐含处理。</w:t>
      </w:r>
    </w:p>
    <w:p>
      <w:pPr>
        <w:pStyle w:val="Heading2"/>
      </w:pPr>
      <w:r>
        <w:t>3.7 本章小结  300 字</w:t>
      </w:r>
    </w:p>
    <w:p>
      <w:r>
        <w:rPr>
          <w:b w:val="0"/>
        </w:rPr>
        <w:t>概括本章得到的认识、证据边界及其如何进入下一章，不重复目录，不在小结中引入未经论证的新结论。</w:t>
      </w:r>
    </w:p>
    <w:p>
      <w:r>
        <w:rPr>
          <w:b w:val="0"/>
        </w:rPr>
        <w:t>建议图表：理论与研究问题对应表、设计原则推导表、形式要素映射矩阵、观看与行动循环图、星月角色关系图。</w:t>
      </w:r>
    </w:p>
    <w:p>
      <w:pPr>
        <w:pStyle w:val="Heading1"/>
        <w:pageBreakBefore/>
      </w:pPr>
      <w:r>
        <w:t>第四章 星迹智绘的交互设计与原型实现  13,000 字</w:t>
      </w:r>
    </w:p>
    <w:p>
      <w:r>
        <w:rPr>
          <w:b w:val="0"/>
        </w:rPr>
        <w:t>通过具体方案展示理论如何变为产品。主要篇幅用于创作流程、画布交互、反馈和迭代；算法只写支撑设计目标的部分，并明确借鉴边界。</w:t>
      </w:r>
    </w:p>
    <w:p>
      <w:pPr>
        <w:pStyle w:val="Heading2"/>
      </w:pPr>
      <w:r>
        <w:t>4.1 设计定位与产品规划  1,100 字</w:t>
      </w:r>
    </w:p>
    <w:p>
      <w:r>
        <w:rPr>
          <w:b w:val="0"/>
        </w:rPr>
      </w:r>
      <w:r>
        <w:rPr>
          <w:b/>
        </w:rPr>
        <w:t>4.1.1 目标用户与设计目标  400 字。</w:t>
      </w:r>
      <w:r>
        <w:t>承接用户研究，说明服务场景、核心任务和不覆盖的专业绘画需求，列出与实验可对应的设计目标。</w:t>
      </w:r>
    </w:p>
    <w:p>
      <w:r>
        <w:rPr>
          <w:b w:val="0"/>
        </w:rPr>
      </w:r>
      <w:r>
        <w:rPr>
          <w:b/>
        </w:rPr>
        <w:t>4.1.2 产品功能与信息架构  350 字。</w:t>
      </w:r>
      <w:r>
        <w:t>规划入口、创建、画布、作品保存、画廊及回看，区分用户功能与研究者工作台。形成完整创作闭环，但不以功能数量论证创新。</w:t>
      </w:r>
    </w:p>
    <w:p>
      <w:r>
        <w:rPr>
          <w:b w:val="0"/>
        </w:rPr>
      </w:r>
      <w:r>
        <w:rPr>
          <w:b/>
        </w:rPr>
        <w:t>4.1.3 方案形成与版本演进  350 字。</w:t>
      </w:r>
      <w:r>
        <w:t>如实说明从千笔跟随到表达支持的转向、中期意见与后续设计依据。保留被放弃方案和原因，不用最终理念改写历史。</w:t>
      </w:r>
    </w:p>
    <w:p>
      <w:pPr>
        <w:pStyle w:val="Heading2"/>
      </w:pPr>
      <w:r>
        <w:t>4.2 创作流程与状态设计  1,600 字</w:t>
      </w:r>
    </w:p>
    <w:p>
      <w:r>
        <w:rPr>
          <w:b w:val="0"/>
        </w:rPr>
      </w:r>
      <w:r>
        <w:rPr>
          <w:b/>
        </w:rPr>
        <w:t>4.2.1 入口与创作路径  550 字。</w:t>
      </w:r>
      <w:r>
        <w:t>展示空白与照片入口、自由画布与共创路径及退出保存规则。说明用户怎样理解两种方式的差异，避免入口过多。</w:t>
      </w:r>
    </w:p>
    <w:p>
      <w:r>
        <w:rPr>
          <w:b w:val="0"/>
        </w:rPr>
      </w:r>
      <w:r>
        <w:rPr>
          <w:b/>
        </w:rPr>
        <w:t>4.2.2 素材编排与确认流程  550 字。</w:t>
      </w:r>
      <w:r>
        <w:t>展示选择、移动、缩放、形态变化、配色协调、预览、确认和取消。明确预览不会直接成为成品贴图。</w:t>
      </w:r>
    </w:p>
    <w:p>
      <w:r>
        <w:rPr>
          <w:b w:val="0"/>
        </w:rPr>
      </w:r>
      <w:r>
        <w:rPr>
          <w:b/>
        </w:rPr>
        <w:t>4.2.3 暂停介入与连续续绘  500 字。</w:t>
      </w:r>
      <w:r>
        <w:t>展示当前画面、隐藏目标和后续笔触的关系，以及加入新素材后如何从实际画面继续。描述失败重试和确认不可撤销的限制。</w:t>
      </w:r>
    </w:p>
    <w:p>
      <w:pPr>
        <w:pStyle w:val="Heading2"/>
      </w:pPr>
      <w:r>
        <w:t>4.3 笔触算法的借鉴与适配  2,800 字</w:t>
      </w:r>
    </w:p>
    <w:p>
      <w:r>
        <w:rPr>
          <w:b w:val="0"/>
        </w:rPr>
      </w:r>
      <w:r>
        <w:rPr>
          <w:b/>
        </w:rPr>
        <w:t>4.3.1 传统方法与项目基线  650 字。</w:t>
      </w:r>
      <w:r>
        <w:t>区分经典文献、项目旧实现和本轮改造。解释旧版扫描及笔触范围怎样影响画面；经典算法须按实际复现程度命名。</w:t>
      </w:r>
    </w:p>
    <w:p>
      <w:r>
        <w:rPr>
          <w:b w:val="0"/>
        </w:rPr>
      </w:r>
      <w:r>
        <w:rPr>
          <w:b/>
        </w:rPr>
        <w:t>4.3.2 笔触路径与宽度计算  750 字。</w:t>
      </w:r>
      <w:r>
        <w:t>说明当前颜色边缘切线引导、局部方向平滑、颜色变化停止条件、变宽与端部收束。与旧实现逐项对照，不把曲线本身当作首次提出。</w:t>
      </w:r>
    </w:p>
    <w:p>
      <w:r>
        <w:rPr>
          <w:b w:val="0"/>
        </w:rPr>
      </w:r>
      <w:r>
        <w:rPr>
          <w:b/>
        </w:rPr>
        <w:t>4.3.3 笔触范围与色彩组织  750 字。</w:t>
      </w:r>
      <w:r>
        <w:t>解释四轮粗到细、候选范围、收益判断、共享色板和概括参数。笔触范围指空间覆盖、长度宽度与停止边界，分别说明，避免含混。</w:t>
      </w:r>
    </w:p>
    <w:p>
      <w:r>
        <w:rPr>
          <w:b w:val="0"/>
        </w:rPr>
      </w:r>
      <w:r>
        <w:rPr>
          <w:b/>
        </w:rPr>
        <w:t>4.3.4 增量续绘与轻量运行  650 字。</w:t>
      </w:r>
      <w:r>
        <w:t>解释从当前画布继续、局部优先区、分批计算与播放分离。记录固定版本参数、最长边规划尺寸、预算与实测设备；不引入模型推理或外部生成 API。</w:t>
      </w:r>
    </w:p>
    <w:p>
      <w:pPr>
        <w:pStyle w:val="Heading2"/>
      </w:pPr>
      <w:r>
        <w:t>4.4 画布系统与核心操作  2,600 字</w:t>
      </w:r>
    </w:p>
    <w:p>
      <w:r>
        <w:rPr>
          <w:b w:val="0"/>
        </w:rPr>
      </w:r>
      <w:r>
        <w:rPr>
          <w:b/>
        </w:rPr>
        <w:t>4.4.1 画布空间与导航  650 字。</w:t>
      </w:r>
      <w:r>
        <w:t>说明画布与工具区、参考区关系，记录手机与桌面布局。平移、缩放、旋转或适配视图按最终实现写，不把未来能力写成现状。</w:t>
      </w:r>
    </w:p>
    <w:p>
      <w:r>
        <w:rPr>
          <w:b w:val="0"/>
        </w:rPr>
      </w:r>
      <w:r>
        <w:rPr>
          <w:b/>
        </w:rPr>
        <w:t>4.4.2 绘画工具与编辑反馈  700 字。</w:t>
      </w:r>
      <w:r>
        <w:t>展示笔刷、颜色、粗细、喷枪、橡皮擦、撤销的任务逻辑与状态。根据后续案例研究决定改版，不简单复制专业工具栏。</w:t>
      </w:r>
    </w:p>
    <w:p>
      <w:r>
        <w:rPr>
          <w:b w:val="0"/>
        </w:rPr>
      </w:r>
      <w:r>
        <w:rPr>
          <w:b/>
        </w:rPr>
        <w:t>4.4.3 素材操作与画面表现控制  650 字。</w:t>
      </w:r>
      <w:r>
        <w:t>解释如何安排素材、理解概括程度、配色气氛和应用时机。展示控制前后与取消路径；说明不同模块控制的对象和生效范围。</w:t>
      </w:r>
    </w:p>
    <w:p>
      <w:r>
        <w:rPr>
          <w:b w:val="0"/>
        </w:rPr>
      </w:r>
      <w:r>
        <w:rPr>
          <w:b/>
        </w:rPr>
        <w:t>4.4.4 保存与画廊管理  600 字。</w:t>
      </w:r>
      <w:r>
        <w:t>形成创建、命名、保存、查看、导出的闭环。继续编辑和过程回放只有实现后才写入完成稿；仅保存成品位图不等于可恢复创作工程。</w:t>
      </w:r>
    </w:p>
    <w:p>
      <w:pPr>
        <w:pStyle w:val="Heading2"/>
      </w:pPr>
      <w:r>
        <w:t>4.5 画笔动画与过程反馈  1,800 字</w:t>
      </w:r>
    </w:p>
    <w:p>
      <w:r>
        <w:rPr>
          <w:b w:val="0"/>
        </w:rPr>
      </w:r>
      <w:r>
        <w:rPr>
          <w:b/>
        </w:rPr>
        <w:t>4.5.1 画笔运动与笔迹同步  650 字。</w:t>
      </w:r>
      <w:r>
        <w:t>设计画笔沿当前笔触路径移动、笔迹同步增长、方向变化与落笔抬笔。当前整笔依次出现不等于这一动画已实现，需要单独迭代。</w:t>
      </w:r>
    </w:p>
    <w:p>
      <w:r>
        <w:rPr>
          <w:b w:val="0"/>
        </w:rPr>
      </w:r>
      <w:r>
        <w:rPr>
          <w:b/>
        </w:rPr>
        <w:t>4.5.2 节奏控制与状态过渡  650 字。</w:t>
      </w:r>
      <w:r>
        <w:t>设计规划、绘制、暂停、续绘、完成与错误的过渡，保持画笔位置和实际笔迹一致。暂停应及时响应，装饰性运动不应制造无意义等待。</w:t>
      </w:r>
    </w:p>
    <w:p>
      <w:r>
        <w:rPr>
          <w:b w:val="0"/>
        </w:rPr>
      </w:r>
      <w:r>
        <w:rPr>
          <w:b/>
        </w:rPr>
        <w:t>4.5.3 动效可读性与使用差异  500 字。</w:t>
      </w:r>
      <w:r>
        <w:t>说明速度、遮挡、减少动态效果和不同屏幕尺寸的取舍。以可理解性和注意力负担验证动效，不只展示动画视频。</w:t>
      </w:r>
    </w:p>
    <w:p>
      <w:pPr>
        <w:pStyle w:val="Heading2"/>
      </w:pPr>
      <w:r>
        <w:t>4.6 星月视觉叙事与角色设计  1,400 字</w:t>
      </w:r>
    </w:p>
    <w:p>
      <w:r>
        <w:rPr>
          <w:b w:val="0"/>
        </w:rPr>
      </w:r>
      <w:r>
        <w:rPr>
          <w:b/>
        </w:rPr>
        <w:t>4.6.1 角色形象与造型规范  500 字。</w:t>
      </w:r>
      <w:r>
        <w:t>设计月亮与星星的轮廓、表情、比例、色彩及状态规范，说明识别与情绪基调。保留造型推导和版本比较。</w:t>
      </w:r>
    </w:p>
    <w:p>
      <w:r>
        <w:rPr>
          <w:b w:val="0"/>
        </w:rPr>
      </w:r>
      <w:r>
        <w:rPr>
          <w:b/>
        </w:rPr>
        <w:t>4.6.2 角色行为与文案  500 字。</w:t>
      </w:r>
      <w:r>
        <w:t>月亮承担准备、绘制、暂停、故障等状态提示；星星突出用户决定与作品署名。反馈具体说明发生了什么，避免角色对作品作权威式审美评判。</w:t>
      </w:r>
    </w:p>
    <w:p>
      <w:r>
        <w:rPr>
          <w:b w:val="0"/>
        </w:rPr>
      </w:r>
      <w:r>
        <w:rPr>
          <w:b/>
        </w:rPr>
        <w:t>4.6.3 叙事在完整流程中的应用  400 字。</w:t>
      </w:r>
      <w:r>
        <w:t>将入口启程、创作决定与画廊积累串联起来。夜空是组织隐喻，不能强迫用户只能画星月题材，也不能替代清楚的功能标签。</w:t>
      </w:r>
    </w:p>
    <w:p>
      <w:pPr>
        <w:pStyle w:val="Heading2"/>
      </w:pPr>
      <w:r>
        <w:t>4.7 原型实现与方案迭代  1,400 字</w:t>
      </w:r>
    </w:p>
    <w:p>
      <w:r>
        <w:rPr>
          <w:b w:val="0"/>
        </w:rPr>
      </w:r>
      <w:r>
        <w:rPr>
          <w:b/>
        </w:rPr>
        <w:t>4.7.1 原型结构与实现边界  450 字。</w:t>
      </w:r>
      <w:r>
        <w:t>用一张架构图解释浏览器、画布、Worker、素材和本地存储。仅保留支撑体验与可复现性的技术细节，不罗列部署命令。</w:t>
      </w:r>
    </w:p>
    <w:p>
      <w:r>
        <w:rPr>
          <w:b w:val="0"/>
        </w:rPr>
      </w:r>
      <w:r>
        <w:rPr>
          <w:b/>
        </w:rPr>
        <w:t>4.7.2 算法效果与工程对照  500 字。</w:t>
      </w:r>
      <w:r>
        <w:t>展示固定输入、预算及参数条件下的旧版和改造版对比，报告阶段图、局部与失败案例。将绘画表现和图像重建误差分别讨论。</w:t>
      </w:r>
    </w:p>
    <w:p>
      <w:r>
        <w:rPr>
          <w:b w:val="0"/>
        </w:rPr>
      </w:r>
      <w:r>
        <w:rPr>
          <w:b/>
        </w:rPr>
        <w:t>4.7.3 界面迭代与验证记录  450 字。</w:t>
      </w:r>
      <w:r>
        <w:t>按问题证据、设计决定、修改前后、检查结果组织迭代。正式实验前冻结版本；工程测试通过只能说明功能运行，不能证明体验有效。</w:t>
      </w:r>
    </w:p>
    <w:p>
      <w:pPr>
        <w:pStyle w:val="Heading2"/>
      </w:pPr>
      <w:r>
        <w:t>4.8 本章小结  300 字</w:t>
      </w:r>
    </w:p>
    <w:p>
      <w:r>
        <w:rPr>
          <w:b w:val="0"/>
        </w:rPr>
        <w:t>概括本章得到的认识、证据边界及其如何进入下一章，不重复目录，不在小结中引入未经论证的新结论。</w:t>
      </w:r>
    </w:p>
    <w:p>
      <w:r>
        <w:rPr>
          <w:b w:val="0"/>
        </w:rPr>
        <w:t>建议图表：信息架构与状态图、低保真到高保真迭代、算法来源及修改表、同输入对比组图、笔触范围局部图、画笔动画关键帧、画布规范、星月角色规范与系统架构图。</w:t>
      </w:r>
    </w:p>
    <w:p>
      <w:pPr>
        <w:pStyle w:val="Heading1"/>
        <w:pageBreakBefore/>
      </w:pPr>
      <w:r>
        <w:t>第五章 人机协同绘画的实验评价与讨论  10,000 字</w:t>
      </w:r>
    </w:p>
    <w:p>
      <w:r>
        <w:rPr>
          <w:b w:val="0"/>
        </w:rPr>
        <w:t>采用已经选定的自动笔触辅助 × 素材编排支持方案。先完成预试和四条件校准，再冻结正式协议；全部结果章节在获得真实数据后写作。</w:t>
      </w:r>
    </w:p>
    <w:p>
      <w:pPr>
        <w:pStyle w:val="Heading2"/>
      </w:pPr>
      <w:r>
        <w:t>5.1 预试与实验方案修订  1,800 字</w:t>
      </w:r>
    </w:p>
    <w:p>
      <w:r>
        <w:rPr>
          <w:b w:val="0"/>
        </w:rPr>
      </w:r>
      <w:r>
        <w:rPr>
          <w:b/>
        </w:rPr>
        <w:t>5.1.1 预试目的与实施  600 字。</w:t>
      </w:r>
      <w:r>
        <w:t>招募小规模初学者检验四种条件的可理解性、任务时长、等待与疲劳。观察中重点验证编排参考层和仅执行辅助两种条件是否自然可用。</w:t>
      </w:r>
    </w:p>
    <w:p>
      <w:r>
        <w:rPr>
          <w:b w:val="0"/>
        </w:rPr>
      </w:r>
      <w:r>
        <w:rPr>
          <w:b/>
        </w:rPr>
        <w:t>5.1.2 平行任务与评价工具试用  600 字。</w:t>
      </w:r>
      <w:r>
        <w:t>检验两套任务在元素、关系与表达空间上的匹配，试填量表、试评作品。试评样本与正式评价分开，记录题意误解和评分分歧。</w:t>
      </w:r>
    </w:p>
    <w:p>
      <w:r>
        <w:rPr>
          <w:b w:val="0"/>
        </w:rPr>
      </w:r>
      <w:r>
        <w:rPr>
          <w:b/>
        </w:rPr>
        <w:t>5.1.3 修改依据与版本冻结  600 字。</w:t>
      </w:r>
      <w:r>
        <w:t>逐项报告发现、修改及复测，冻结功能矩阵、任务材料、提示规则、量表版本、评分细则与分析计划。未解决的比较失真问题应先修正。</w:t>
      </w:r>
    </w:p>
    <w:p>
      <w:pPr>
        <w:pStyle w:val="Heading2"/>
      </w:pPr>
      <w:r>
        <w:t>5.2 正式实验设计  2,000 字</w:t>
      </w:r>
    </w:p>
    <w:p>
      <w:r>
        <w:rPr>
          <w:b w:val="0"/>
        </w:rPr>
      </w:r>
      <w:r>
        <w:rPr>
          <w:b/>
        </w:rPr>
        <w:t>5.2.1 研究问题与假设  550 字。</w:t>
      </w:r>
      <w:r>
        <w:t>把自动辅助、编排支持和二者交互分别对应表达实现与感知选择。方向性预期有依据才写，允许结果不支持设计假设。</w:t>
      </w:r>
    </w:p>
    <w:p>
      <w:r>
        <w:rPr>
          <w:b w:val="0"/>
        </w:rPr>
      </w:r>
      <w:r>
        <w:rPr>
          <w:b/>
        </w:rPr>
        <w:t>5.2.2 因素定义与实验条件  550 字。</w:t>
      </w:r>
      <w:r>
        <w:t>清楚列出四条件功能开关，定义素材编排是一组交互支持。自动条件使用相同算法，叙事与基本工具尽量一致；不将算法新旧混入这一因素。</w:t>
      </w:r>
    </w:p>
    <w:p>
      <w:r>
        <w:rPr>
          <w:b w:val="0"/>
        </w:rPr>
      </w:r>
      <w:r>
        <w:rPr>
          <w:b/>
        </w:rPr>
        <w:t>5.2.3 参与者与样本量依据  500 字。</w:t>
      </w:r>
      <w:r>
        <w:t>按预定经验标准招募和随机分组，说明最小有意义差异、目标功效或精度、交互作用及失访的样本量依据。预试人数不作为正式样本足够的证明。</w:t>
      </w:r>
    </w:p>
    <w:p>
      <w:r>
        <w:rPr>
          <w:b w:val="0"/>
        </w:rPr>
      </w:r>
      <w:r>
        <w:rPr>
          <w:b/>
        </w:rPr>
        <w:t>5.2.4 伦理与数据管理  400 字。</w:t>
      </w:r>
      <w:r>
        <w:t>说明自愿参与、退出、补偿、录屏和作品使用范围、匿名存储及访问权限，按学校要求完成审查。不得将未取得的审批写成已经获得。</w:t>
      </w:r>
    </w:p>
    <w:p>
      <w:pPr>
        <w:pStyle w:val="Heading2"/>
      </w:pPr>
      <w:r>
        <w:t>5.3 实验任务与数据采集  1,600 字</w:t>
      </w:r>
    </w:p>
    <w:p>
      <w:r>
        <w:rPr>
          <w:b w:val="0"/>
        </w:rPr>
      </w:r>
      <w:r>
        <w:rPr>
          <w:b/>
        </w:rPr>
        <w:t>5.3.1 任务材料与测试流程  600 字。</w:t>
      </w:r>
      <w:r>
        <w:t>推荐自动辅助组间、编排支持组内的两轮混合设计，平衡编排顺序和任务对应关系。使用难度匹配的不同内容，不重复同图。</w:t>
      </w:r>
    </w:p>
    <w:p>
      <w:r>
        <w:rPr>
          <w:b w:val="0"/>
        </w:rPr>
      </w:r>
      <w:r>
        <w:rPr>
          <w:b/>
        </w:rPr>
        <w:t>5.3.2 作品意图与行为记录  550 字。</w:t>
      </w:r>
      <w:r>
        <w:t>每轮先记录主题和两项关键表达意图，过程记录用户操作与系统执行，完成后单独记录意图变化。保存基础内容和最终作品，避免把自动底图算作个人表达。</w:t>
      </w:r>
    </w:p>
    <w:p>
      <w:r>
        <w:rPr>
          <w:b w:val="0"/>
        </w:rPr>
      </w:r>
      <w:r>
        <w:rPr>
          <w:b/>
        </w:rPr>
        <w:t>5.3.3 问卷与回顾访谈  450 字。</w:t>
      </w:r>
      <w:r>
        <w:t>每轮测 IMI 和明确指向本轮界面的 SUS，结束后结合录像访谈。量表与访谈先后固定；访谈用于解释机制，不替代数值评分。</w:t>
      </w:r>
    </w:p>
    <w:p>
      <w:pPr>
        <w:pStyle w:val="Heading2"/>
      </w:pPr>
      <w:r>
        <w:t>5.4 评分细则与数据分析方法  1,600 字</w:t>
      </w:r>
    </w:p>
    <w:p>
      <w:r>
        <w:rPr>
          <w:b w:val="0"/>
        </w:rPr>
      </w:r>
      <w:r>
        <w:rPr>
          <w:b/>
        </w:rPr>
        <w:t>5.4.1 作品评价与评分者信度  600 字。</w:t>
      </w:r>
      <w:r>
        <w:t>描述内容落实、视觉组织和表达线索的等级锚点及独立盲评流程。单项有序评分考虑加权 Kappa；合成分使用 ICC 时说明模型、绝对一致性与置信区间。</w:t>
      </w:r>
    </w:p>
    <w:p>
      <w:r>
        <w:rPr>
          <w:b w:val="0"/>
        </w:rPr>
      </w:r>
      <w:r>
        <w:rPr>
          <w:b/>
        </w:rPr>
        <w:t>5.4.2 量表计分与数据质量  500 字。</w:t>
      </w:r>
      <w:r>
        <w:t>按来源计分 IMI 各分量表及标准 SUS，说明反向题、缺答、内部一致性和翻译适配。量表总称不代表四个 IMI 分量表可以任意相加。</w:t>
      </w:r>
    </w:p>
    <w:p>
      <w:r>
        <w:rPr>
          <w:b w:val="0"/>
        </w:rPr>
      </w:r>
      <w:r>
        <w:rPr>
          <w:b/>
        </w:rPr>
        <w:t>5.4.3 因子效应与质性分析  500 字。</w:t>
      </w:r>
      <w:r>
        <w:t>使用适合混合设计的模型估计两个因素和交互，报告差值、效应量及区间。预定多个主要检验的校正；访谈分析主题、反例及与量化结果的对应。</w:t>
      </w:r>
    </w:p>
    <w:p>
      <w:pPr>
        <w:pStyle w:val="Heading2"/>
      </w:pPr>
      <w:r>
        <w:t>5.5 实验结果  1,600 字</w:t>
      </w:r>
    </w:p>
    <w:p>
      <w:r>
        <w:rPr>
          <w:b w:val="0"/>
        </w:rPr>
      </w:r>
      <w:r>
        <w:rPr>
          <w:b/>
        </w:rPr>
        <w:t>5.5.1 表达实现与感知选择  550 字。</w:t>
      </w:r>
      <w:r>
        <w:t>先报告样本流程、完整性与两个主要结局的四条件描述，再呈现预定主效应、交互及必要的简单效应。保留无显著差异和负面结果。</w:t>
      </w:r>
    </w:p>
    <w:p>
      <w:r>
        <w:rPr>
          <w:b w:val="0"/>
        </w:rPr>
      </w:r>
      <w:r>
        <w:rPr>
          <w:b/>
        </w:rPr>
        <w:t>5.5.2 动机体验与系统可用性  550 字。</w:t>
      </w:r>
      <w:r>
        <w:t>分别报告兴趣、能力、压力及 SUS；不以高可用性替代核心目标，也不以单次兴趣分数推论长期坚持。</w:t>
      </w:r>
    </w:p>
    <w:p>
      <w:r>
        <w:rPr>
          <w:b w:val="0"/>
        </w:rPr>
      </w:r>
      <w:r>
        <w:rPr>
          <w:b/>
        </w:rPr>
        <w:t>5.5.3 行为与访谈发现  500 字。</w:t>
      </w:r>
      <w:r>
        <w:t>呈现求助、操作困难、暂停和修改的分布，结合访谈解释其含义。修改次数不能直接代表创意，观看时间不能直接代表投入。</w:t>
      </w:r>
    </w:p>
    <w:p>
      <w:pPr>
        <w:pStyle w:val="Heading2"/>
      </w:pPr>
      <w:r>
        <w:t>5.6 结果讨论与设计启示  1,100 字</w:t>
      </w:r>
    </w:p>
    <w:p>
      <w:r>
        <w:rPr>
          <w:b w:val="0"/>
        </w:rPr>
      </w:r>
      <w:r>
        <w:rPr>
          <w:b/>
        </w:rPr>
        <w:t>5.6.1 对研究问题的回答  400 字。</w:t>
      </w:r>
      <w:r>
        <w:t>逐一回答是否更好表达、是否改变选择感、两种支持如何共同作用。区分观察到的关联、随机实验支持的效果和待解释机制。</w:t>
      </w:r>
    </w:p>
    <w:p>
      <w:r>
        <w:rPr>
          <w:b w:val="0"/>
        </w:rPr>
      </w:r>
      <w:r>
        <w:rPr>
          <w:b/>
        </w:rPr>
        <w:t>5.6.2 理论回应与设计原则修订  400 字。</w:t>
      </w:r>
      <w:r>
        <w:t>讨论结果如何支持或限制自主性、反思循环和反馈映射的设计推导。将失败案例转化为可执行的设计边界。</w:t>
      </w:r>
    </w:p>
    <w:p>
      <w:r>
        <w:rPr>
          <w:b w:val="0"/>
        </w:rPr>
      </w:r>
      <w:r>
        <w:rPr>
          <w:b/>
        </w:rPr>
        <w:t>5.6.3 局限与可推广范围  300 字。</w:t>
      </w:r>
      <w:r>
        <w:t>讨论有限素材、平行任务、分组差异、风格导致的盲评不完全、样本与设备限制。无额外实验不能拆分证明 IP 或动画的独立效果。</w:t>
      </w:r>
    </w:p>
    <w:p>
      <w:pPr>
        <w:pStyle w:val="Heading2"/>
      </w:pPr>
      <w:r>
        <w:t>5.7 本章小结  300 字</w:t>
      </w:r>
    </w:p>
    <w:p>
      <w:r>
        <w:rPr>
          <w:b w:val="0"/>
        </w:rPr>
        <w:t>概括本章得到的认识、证据边界及其如何进入下一章，不重复目录，不在小结中引入未经论证的新结论。</w:t>
      </w:r>
    </w:p>
    <w:p>
      <w:r>
        <w:rPr>
          <w:b w:val="0"/>
        </w:rPr>
        <w:t>建议图表：预试问题与修订表、四条件功能矩阵、任务及分配表、评分锚点表、样本流程、四条件分布与交互图、信度表、访谈主题与量化结果对应表。</w:t>
      </w:r>
    </w:p>
    <w:p>
      <w:pPr>
        <w:pStyle w:val="Heading1"/>
      </w:pPr>
      <w:r>
        <w:t>第六章 结论与展望  2,000 字</w:t>
      </w:r>
    </w:p>
    <w:p>
      <w:r>
        <w:rPr>
          <w:b w:val="0"/>
        </w:rPr>
        <w:t>用真实证据回答研究问题，总结可迁移的设计认识；明确哪些属于实现、哪些属于研究发现。</w:t>
      </w:r>
    </w:p>
    <w:p>
      <w:pPr>
        <w:pStyle w:val="Heading2"/>
      </w:pPr>
      <w:r>
        <w:t>6.1 研究结论与贡献  900 字</w:t>
      </w:r>
    </w:p>
    <w:p>
      <w:r>
        <w:rPr>
          <w:b w:val="0"/>
        </w:rPr>
      </w:r>
      <w:r>
        <w:rPr>
          <w:b/>
        </w:rPr>
        <w:t>6.1.1 用户需求与理论映射结论  300 字。</w:t>
      </w:r>
      <w:r>
        <w:t>总结得到证据支持的痛点和设计依据，说明哪些用户与场景适用。</w:t>
      </w:r>
    </w:p>
    <w:p>
      <w:r>
        <w:rPr>
          <w:b w:val="0"/>
        </w:rPr>
      </w:r>
      <w:r>
        <w:rPr>
          <w:b/>
        </w:rPr>
        <w:t>6.1.2 交互设计与实现贡献  300 字。</w:t>
      </w:r>
      <w:r>
        <w:t>总结表达决策与执行的分工、可介入过程以及完整创作流程，并明确算法借鉴与适配。</w:t>
      </w:r>
    </w:p>
    <w:p>
      <w:r>
        <w:rPr>
          <w:b w:val="0"/>
        </w:rPr>
      </w:r>
      <w:r>
        <w:rPr>
          <w:b/>
        </w:rPr>
        <w:t>6.1.3 实验发现与适用条件  300 字。</w:t>
      </w:r>
      <w:r>
        <w:t>围绕研究问题概括结果和不确定性。实验未支持的预期不能以愿景替代。</w:t>
      </w:r>
    </w:p>
    <w:p>
      <w:pPr>
        <w:pStyle w:val="Heading2"/>
      </w:pPr>
      <w:r>
        <w:t>6.2 研究不足  600 字</w:t>
      </w:r>
    </w:p>
    <w:p>
      <w:r>
        <w:rPr>
          <w:b w:val="0"/>
        </w:rPr>
        <w:t>集中说明样本、任务、素材、设备、短期测量与原型能力的限制，区分执行负担与表达负担，讨论混合设计和条件可比性的代价。</w:t>
      </w:r>
    </w:p>
    <w:p>
      <w:pPr>
        <w:pStyle w:val="Heading2"/>
      </w:pPr>
      <w:r>
        <w:t>6.3 后续研究展望  500 字</w:t>
      </w:r>
    </w:p>
    <w:p>
      <w:r>
        <w:rPr>
          <w:b w:val="0"/>
        </w:rPr>
        <w:t>提出由研究局限导出的后续工作及其验证方式，重点关注可逆编辑、长期使用、素材扩展及跨设备表达，不把未来功能当作本文已实现贡献。</w:t>
      </w:r>
    </w:p>
    <w:p>
      <w:r>
        <w:rPr>
          <w:b w:val="0"/>
        </w:rPr>
        <w:t>建议图表：研究问题、设计贡献与证据对应表。展望优先考虑素材扩展、可逆编辑、跨设备和长期使用，避免再扩张成全能 AI 绘画平台。</w:t>
      </w:r>
    </w:p>
    <w:p>
      <w:pPr>
        <w:pStyle w:val="Heading1"/>
        <w:pageBreakBefore/>
      </w:pPr>
      <w:r>
        <w:t>理论如何落到设计与测量</w:t>
      </w:r>
    </w:p>
    <w:p>
      <w:r>
        <w:rPr>
          <w:b w:val="0"/>
        </w:rPr>
        <w:t>理论承担不同角色。自我决定理论解释自主性和能力感；反思性创作解释观看与继续行动；概念模型和反馈原则解释操作理解。创造力支持工具是设计视角，2×2 是评价方法，旅程图与映射矩阵是设计分析工具，不能都称为相同层级的理论。[2—5]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664"/>
        <w:gridCol w:w="2736"/>
        <w:gridCol w:w="2866"/>
      </w:tblGrid>
      <w:tr>
        <w:trPr>
          <w:cantSplit/>
          <w:tblHeader/>
        </w:trPr>
        <w:tc>
          <w:tcPr>
            <w:tcW w:type="dxa" w:w="1728"/>
            <w:vAlign w:val="center"/>
            <w:tcMar>
              <w:top w:w="85" w:type="dxa"/>
              <w:left w:w="85" w:type="dxa"/>
              <w:bottom w:w="85" w:type="dxa"/>
              <w:right w:w="85" w:type="dxa"/>
            </w:tcMar>
            <w:shd w:fill="E8EEF5"/>
          </w:tcPr>
          <w:p>
            <w:pPr>
              <w:spacing w:after="40" w:before="40" w:line="269" w:lineRule="auto"/>
            </w:pPr>
            <w:r>
              <w:rPr>
                <w:b/>
                <w:sz w:val="20"/>
              </w:rPr>
              <w:t>依据</w:t>
            </w:r>
          </w:p>
        </w:tc>
        <w:tc>
          <w:tcPr>
            <w:tcW w:type="dxa" w:w="2664"/>
            <w:vAlign w:val="center"/>
            <w:tcMar>
              <w:top w:w="85" w:type="dxa"/>
              <w:left w:w="85" w:type="dxa"/>
              <w:bottom w:w="85" w:type="dxa"/>
              <w:right w:w="85" w:type="dxa"/>
            </w:tcMar>
            <w:shd w:fill="E8EEF5"/>
          </w:tcPr>
          <w:p>
            <w:pPr>
              <w:spacing w:after="40" w:before="40" w:line="269" w:lineRule="auto"/>
            </w:pPr>
            <w:r>
              <w:rPr>
                <w:b/>
                <w:sz w:val="20"/>
              </w:rPr>
              <w:t>本研究的设计推导</w:t>
            </w:r>
          </w:p>
        </w:tc>
        <w:tc>
          <w:tcPr>
            <w:tcW w:type="dxa" w:w="2736"/>
            <w:vAlign w:val="center"/>
            <w:tcMar>
              <w:top w:w="85" w:type="dxa"/>
              <w:left w:w="85" w:type="dxa"/>
              <w:bottom w:w="85" w:type="dxa"/>
              <w:right w:w="85" w:type="dxa"/>
            </w:tcMar>
            <w:shd w:fill="E8EEF5"/>
          </w:tcPr>
          <w:p>
            <w:pPr>
              <w:spacing w:after="40" w:before="40" w:line="269" w:lineRule="auto"/>
            </w:pPr>
            <w:r>
              <w:rPr>
                <w:b/>
                <w:sz w:val="20"/>
              </w:rPr>
              <w:t>界面与机制</w:t>
            </w:r>
          </w:p>
        </w:tc>
        <w:tc>
          <w:tcPr>
            <w:tcW w:type="dxa" w:w="2866"/>
            <w:vAlign w:val="center"/>
            <w:tcMar>
              <w:top w:w="85" w:type="dxa"/>
              <w:left w:w="85" w:type="dxa"/>
              <w:bottom w:w="85" w:type="dxa"/>
              <w:right w:w="85" w:type="dxa"/>
            </w:tcMar>
            <w:shd w:fill="E8EEF5"/>
          </w:tcPr>
          <w:p>
            <w:pPr>
              <w:spacing w:after="40" w:before="40" w:line="269" w:lineRule="auto"/>
            </w:pPr>
            <w:r>
              <w:rPr>
                <w:b/>
                <w:sz w:val="20"/>
              </w:rPr>
              <w:t>评价或观察</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自我决定理论</w:t>
            </w:r>
          </w:p>
        </w:tc>
        <w:tc>
          <w:tcPr>
            <w:tcW w:type="dxa" w:w="2664"/>
            <w:vAlign w:val="center"/>
            <w:tcMar>
              <w:top w:w="85" w:type="dxa"/>
              <w:left w:w="85" w:type="dxa"/>
              <w:bottom w:w="85" w:type="dxa"/>
              <w:right w:w="85" w:type="dxa"/>
            </w:tcMar>
          </w:tcPr>
          <w:p>
            <w:pPr>
              <w:spacing w:after="40" w:before="40" w:line="269" w:lineRule="auto"/>
            </w:pPr>
            <w:r>
              <w:rPr>
                <w:b w:val="0"/>
                <w:sz w:val="20"/>
              </w:rPr>
              <w:t>用户对内容与关系保有选择机会</w:t>
            </w:r>
          </w:p>
        </w:tc>
        <w:tc>
          <w:tcPr>
            <w:tcW w:type="dxa" w:w="2736"/>
            <w:vAlign w:val="center"/>
            <w:tcMar>
              <w:top w:w="85" w:type="dxa"/>
              <w:left w:w="85" w:type="dxa"/>
              <w:bottom w:w="85" w:type="dxa"/>
              <w:right w:w="85" w:type="dxa"/>
            </w:tcMar>
          </w:tcPr>
          <w:p>
            <w:pPr>
              <w:spacing w:after="40" w:before="40" w:line="269" w:lineRule="auto"/>
            </w:pPr>
            <w:r>
              <w:rPr>
                <w:b w:val="0"/>
                <w:sz w:val="20"/>
              </w:rPr>
              <w:t>素材编排、明确确认、节奏控制</w:t>
            </w:r>
          </w:p>
        </w:tc>
        <w:tc>
          <w:tcPr>
            <w:tcW w:type="dxa" w:w="2866"/>
            <w:vAlign w:val="center"/>
            <w:tcMar>
              <w:top w:w="85" w:type="dxa"/>
              <w:left w:w="85" w:type="dxa"/>
              <w:bottom w:w="85" w:type="dxa"/>
              <w:right w:w="85" w:type="dxa"/>
            </w:tcMar>
          </w:tcPr>
          <w:p>
            <w:pPr>
              <w:spacing w:after="40" w:before="40" w:line="269" w:lineRule="auto"/>
            </w:pPr>
            <w:r>
              <w:rPr>
                <w:b w:val="0"/>
                <w:sz w:val="20"/>
              </w:rPr>
              <w:t>感知选择；被替代感访谈</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胜任感相关论述</w:t>
            </w:r>
          </w:p>
        </w:tc>
        <w:tc>
          <w:tcPr>
            <w:tcW w:type="dxa" w:w="2664"/>
            <w:vAlign w:val="center"/>
            <w:tcMar>
              <w:top w:w="85" w:type="dxa"/>
              <w:left w:w="85" w:type="dxa"/>
              <w:bottom w:w="85" w:type="dxa"/>
              <w:right w:w="85" w:type="dxa"/>
            </w:tcMar>
          </w:tcPr>
          <w:p>
            <w:pPr>
              <w:spacing w:after="40" w:before="40" w:line="269" w:lineRule="auto"/>
            </w:pPr>
            <w:r>
              <w:rPr>
                <w:b w:val="0"/>
                <w:sz w:val="20"/>
              </w:rPr>
              <w:t>让表达决定能够获得可辨识结果</w:t>
            </w:r>
          </w:p>
        </w:tc>
        <w:tc>
          <w:tcPr>
            <w:tcW w:type="dxa" w:w="2736"/>
            <w:vAlign w:val="center"/>
            <w:tcMar>
              <w:top w:w="85" w:type="dxa"/>
              <w:left w:w="85" w:type="dxa"/>
              <w:bottom w:w="85" w:type="dxa"/>
              <w:right w:w="85" w:type="dxa"/>
            </w:tcMar>
          </w:tcPr>
          <w:p>
            <w:pPr>
              <w:spacing w:after="40" w:before="40" w:line="269" w:lineRule="auto"/>
            </w:pPr>
            <w:r>
              <w:rPr>
                <w:b w:val="0"/>
                <w:sz w:val="20"/>
              </w:rPr>
              <w:t>从预览到笔触的稳定对应</w:t>
            </w:r>
          </w:p>
        </w:tc>
        <w:tc>
          <w:tcPr>
            <w:tcW w:type="dxa" w:w="2866"/>
            <w:vAlign w:val="center"/>
            <w:tcMar>
              <w:top w:w="85" w:type="dxa"/>
              <w:left w:w="85" w:type="dxa"/>
              <w:bottom w:w="85" w:type="dxa"/>
              <w:right w:w="85" w:type="dxa"/>
            </w:tcMar>
          </w:tcPr>
          <w:p>
            <w:pPr>
              <w:spacing w:after="40" w:before="40" w:line="269" w:lineRule="auto"/>
            </w:pPr>
            <w:r>
              <w:rPr>
                <w:b w:val="0"/>
                <w:sz w:val="20"/>
              </w:rPr>
              <w:t>表达实现；感知能力</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反思性创作</w:t>
            </w:r>
          </w:p>
        </w:tc>
        <w:tc>
          <w:tcPr>
            <w:tcW w:type="dxa" w:w="2664"/>
            <w:vAlign w:val="center"/>
            <w:tcMar>
              <w:top w:w="85" w:type="dxa"/>
              <w:left w:w="85" w:type="dxa"/>
              <w:bottom w:w="85" w:type="dxa"/>
              <w:right w:w="85" w:type="dxa"/>
            </w:tcMar>
          </w:tcPr>
          <w:p>
            <w:pPr>
              <w:spacing w:after="40" w:before="40" w:line="269" w:lineRule="auto"/>
            </w:pPr>
            <w:r>
              <w:rPr>
                <w:b w:val="0"/>
                <w:sz w:val="20"/>
              </w:rPr>
              <w:t>画面中间状态成为继续构思的材料</w:t>
            </w:r>
          </w:p>
        </w:tc>
        <w:tc>
          <w:tcPr>
            <w:tcW w:type="dxa" w:w="2736"/>
            <w:vAlign w:val="center"/>
            <w:tcMar>
              <w:top w:w="85" w:type="dxa"/>
              <w:left w:w="85" w:type="dxa"/>
              <w:bottom w:w="85" w:type="dxa"/>
              <w:right w:w="85" w:type="dxa"/>
            </w:tcMar>
          </w:tcPr>
          <w:p>
            <w:pPr>
              <w:spacing w:after="40" w:before="40" w:line="269" w:lineRule="auto"/>
            </w:pPr>
            <w:r>
              <w:rPr>
                <w:b w:val="0"/>
                <w:sz w:val="20"/>
              </w:rPr>
              <w:t>暂停、观看、再编排、续绘</w:t>
            </w:r>
          </w:p>
        </w:tc>
        <w:tc>
          <w:tcPr>
            <w:tcW w:type="dxa" w:w="2866"/>
            <w:vAlign w:val="center"/>
            <w:tcMar>
              <w:top w:w="85" w:type="dxa"/>
              <w:left w:w="85" w:type="dxa"/>
              <w:bottom w:w="85" w:type="dxa"/>
              <w:right w:w="85" w:type="dxa"/>
            </w:tcMar>
          </w:tcPr>
          <w:p>
            <w:pPr>
              <w:spacing w:after="40" w:before="40" w:line="269" w:lineRule="auto"/>
            </w:pPr>
            <w:r>
              <w:rPr>
                <w:b w:val="0"/>
                <w:sz w:val="20"/>
              </w:rPr>
              <w:t>录像回顾中的新想法及介入原因</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概念模型与反馈</w:t>
            </w:r>
          </w:p>
        </w:tc>
        <w:tc>
          <w:tcPr>
            <w:tcW w:type="dxa" w:w="2664"/>
            <w:vAlign w:val="center"/>
            <w:tcMar>
              <w:top w:w="85" w:type="dxa"/>
              <w:left w:w="85" w:type="dxa"/>
              <w:bottom w:w="85" w:type="dxa"/>
              <w:right w:w="85" w:type="dxa"/>
            </w:tcMar>
          </w:tcPr>
          <w:p>
            <w:pPr>
              <w:spacing w:after="40" w:before="40" w:line="269" w:lineRule="auto"/>
            </w:pPr>
            <w:r>
              <w:rPr>
                <w:b w:val="0"/>
                <w:sz w:val="20"/>
              </w:rPr>
              <w:t>用户能理解输入如何影响画面</w:t>
            </w:r>
          </w:p>
        </w:tc>
        <w:tc>
          <w:tcPr>
            <w:tcW w:type="dxa" w:w="2736"/>
            <w:vAlign w:val="center"/>
            <w:tcMar>
              <w:top w:w="85" w:type="dxa"/>
              <w:left w:w="85" w:type="dxa"/>
              <w:bottom w:w="85" w:type="dxa"/>
              <w:right w:w="85" w:type="dxa"/>
            </w:tcMar>
          </w:tcPr>
          <w:p>
            <w:pPr>
              <w:spacing w:after="40" w:before="40" w:line="269" w:lineRule="auto"/>
            </w:pPr>
            <w:r>
              <w:rPr>
                <w:b w:val="0"/>
                <w:sz w:val="20"/>
              </w:rPr>
              <w:t>预览与成品区分、状态提示、失败恢复</w:t>
            </w:r>
          </w:p>
        </w:tc>
        <w:tc>
          <w:tcPr>
            <w:tcW w:type="dxa" w:w="2866"/>
            <w:vAlign w:val="center"/>
            <w:tcMar>
              <w:top w:w="85" w:type="dxa"/>
              <w:left w:w="85" w:type="dxa"/>
              <w:bottom w:w="85" w:type="dxa"/>
              <w:right w:w="85" w:type="dxa"/>
            </w:tcMar>
          </w:tcPr>
          <w:p>
            <w:pPr>
              <w:spacing w:after="40" w:before="40" w:line="269" w:lineRule="auto"/>
            </w:pPr>
            <w:r>
              <w:rPr>
                <w:b w:val="0"/>
                <w:sz w:val="20"/>
              </w:rPr>
              <w:t>误解、错误操作、求助与 SUS</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创造力支持视角</w:t>
            </w:r>
          </w:p>
        </w:tc>
        <w:tc>
          <w:tcPr>
            <w:tcW w:type="dxa" w:w="2664"/>
            <w:vAlign w:val="center"/>
            <w:tcMar>
              <w:top w:w="85" w:type="dxa"/>
              <w:left w:w="85" w:type="dxa"/>
              <w:bottom w:w="85" w:type="dxa"/>
              <w:right w:w="85" w:type="dxa"/>
            </w:tcMar>
          </w:tcPr>
          <w:p>
            <w:pPr>
              <w:spacing w:after="40" w:before="40" w:line="269" w:lineRule="auto"/>
            </w:pPr>
            <w:r>
              <w:rPr>
                <w:b w:val="0"/>
                <w:sz w:val="20"/>
              </w:rPr>
              <w:t>提供可探索的形式选择和成果保存</w:t>
            </w:r>
          </w:p>
        </w:tc>
        <w:tc>
          <w:tcPr>
            <w:tcW w:type="dxa" w:w="2736"/>
            <w:vAlign w:val="center"/>
            <w:tcMar>
              <w:top w:w="85" w:type="dxa"/>
              <w:left w:w="85" w:type="dxa"/>
              <w:bottom w:w="85" w:type="dxa"/>
              <w:right w:w="85" w:type="dxa"/>
            </w:tcMar>
          </w:tcPr>
          <w:p>
            <w:pPr>
              <w:spacing w:after="40" w:before="40" w:line="269" w:lineRule="auto"/>
            </w:pPr>
            <w:r>
              <w:rPr>
                <w:b w:val="0"/>
                <w:sz w:val="20"/>
              </w:rPr>
              <w:t>布局、色彩、作品命名与画廊</w:t>
            </w:r>
          </w:p>
        </w:tc>
        <w:tc>
          <w:tcPr>
            <w:tcW w:type="dxa" w:w="2866"/>
            <w:vAlign w:val="center"/>
            <w:tcMar>
              <w:top w:w="85" w:type="dxa"/>
              <w:left w:w="85" w:type="dxa"/>
              <w:bottom w:w="85" w:type="dxa"/>
              <w:right w:w="85" w:type="dxa"/>
            </w:tcMar>
          </w:tcPr>
          <w:p>
            <w:pPr>
              <w:spacing w:after="40" w:before="40" w:line="269" w:lineRule="auto"/>
            </w:pPr>
            <w:r>
              <w:rPr>
                <w:b w:val="0"/>
                <w:sz w:val="20"/>
              </w:rPr>
              <w:t>替代方案探索和作品回顾</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星月叙事概念</w:t>
            </w:r>
          </w:p>
        </w:tc>
        <w:tc>
          <w:tcPr>
            <w:tcW w:type="dxa" w:w="2664"/>
            <w:vAlign w:val="center"/>
            <w:tcMar>
              <w:top w:w="85" w:type="dxa"/>
              <w:left w:w="85" w:type="dxa"/>
              <w:bottom w:w="85" w:type="dxa"/>
              <w:right w:w="85" w:type="dxa"/>
            </w:tcMar>
          </w:tcPr>
          <w:p>
            <w:pPr>
              <w:spacing w:after="40" w:before="40" w:line="269" w:lineRule="auto"/>
            </w:pPr>
            <w:r>
              <w:rPr>
                <w:b w:val="0"/>
                <w:sz w:val="20"/>
              </w:rPr>
              <w:t>用角色表达协作分工</w:t>
            </w:r>
          </w:p>
        </w:tc>
        <w:tc>
          <w:tcPr>
            <w:tcW w:type="dxa" w:w="2736"/>
            <w:vAlign w:val="center"/>
            <w:tcMar>
              <w:top w:w="85" w:type="dxa"/>
              <w:left w:w="85" w:type="dxa"/>
              <w:bottom w:w="85" w:type="dxa"/>
              <w:right w:w="85" w:type="dxa"/>
            </w:tcMar>
          </w:tcPr>
          <w:p>
            <w:pPr>
              <w:spacing w:after="40" w:before="40" w:line="269" w:lineRule="auto"/>
            </w:pPr>
            <w:r>
              <w:rPr>
                <w:b w:val="0"/>
                <w:sz w:val="20"/>
              </w:rPr>
              <w:t>月亮显示系统状态，星星承载用户决定</w:t>
            </w:r>
          </w:p>
        </w:tc>
        <w:tc>
          <w:tcPr>
            <w:tcW w:type="dxa" w:w="2866"/>
            <w:vAlign w:val="center"/>
            <w:tcMar>
              <w:top w:w="85" w:type="dxa"/>
              <w:left w:w="85" w:type="dxa"/>
              <w:bottom w:w="85" w:type="dxa"/>
              <w:right w:w="85" w:type="dxa"/>
            </w:tcMar>
          </w:tcPr>
          <w:p>
            <w:pPr>
              <w:spacing w:after="40" w:before="40" w:line="269" w:lineRule="auto"/>
            </w:pPr>
            <w:r>
              <w:rPr>
                <w:b w:val="0"/>
                <w:sz w:val="20"/>
              </w:rPr>
              <w:t>理解访谈与角色识别；不作独立因果结论</w:t>
            </w:r>
          </w:p>
        </w:tc>
      </w:tr>
    </w:tbl>
    <w:p>
      <w:pPr>
        <w:spacing w:after="20"/>
      </w:pPr>
    </w:p>
    <w:p>
      <w:r>
        <w:rPr>
          <w:b w:val="0"/>
        </w:rPr>
        <w:t>映射矩阵建议采用六列：用户证据 → 理论解释 → 设计原则 → 可操作规则 → 可见反馈 → 验证证据。例如，“想把花放得更小但画不好”对应降低执行要求，具体实现为缩放素材预览、确认后逐笔绘制，并检查最终尺度关系与用户感知选择。此例是说明用示例，不是已经采集的访谈原话。</w:t>
      </w:r>
    </w:p>
    <w:p>
      <w:r>
        <w:rPr>
          <w:b w:val="0"/>
        </w:rPr>
        <w:t>艺术学分析应解释画面主次、节奏、色彩关系、概括与笔触形态如何参与表达。参数改变不必然带来艺术价值；“更像画出来”须转成笔触连续性、宽度变化、局部衔接、整体协调等可讨论维度，再用作品对照和评价支持。</w:t>
      </w:r>
    </w:p>
    <w:p>
      <w:pPr>
        <w:pStyle w:val="Heading1"/>
        <w:pageBreakBefore/>
      </w:pPr>
      <w:r>
        <w:t>方案一的执行与分析约定</w:t>
      </w:r>
    </w:p>
    <w:p>
      <w:r>
        <w:rPr>
          <w:b w:val="0"/>
        </w:rPr>
        <w:t>实验因素已经选定；以下是下一步研究协议的具体化建议，尚未执行。四条件需要在统一画布基础上实现，不能把历史千笔引导测试的数据直接并入。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440"/>
        <w:gridCol w:w="1512"/>
        <w:gridCol w:w="5530"/>
      </w:tblGrid>
      <w:tr>
        <w:trPr>
          <w:cantSplit/>
          <w:tblHeader/>
        </w:trPr>
        <w:tc>
          <w:tcPr>
            <w:tcW w:type="dxa" w:w="1512"/>
            <w:vAlign w:val="center"/>
            <w:tcMar>
              <w:top w:w="85" w:type="dxa"/>
              <w:left w:w="85" w:type="dxa"/>
              <w:bottom w:w="85" w:type="dxa"/>
              <w:right w:w="85" w:type="dxa"/>
            </w:tcMar>
            <w:shd w:fill="E8EEF5"/>
          </w:tcPr>
          <w:p>
            <w:pPr>
              <w:spacing w:after="40" w:before="40" w:line="269" w:lineRule="auto"/>
            </w:pPr>
            <w:r>
              <w:rPr>
                <w:b/>
                <w:sz w:val="20"/>
              </w:rPr>
              <w:t>条件</w:t>
            </w:r>
          </w:p>
        </w:tc>
        <w:tc>
          <w:tcPr>
            <w:tcW w:type="dxa" w:w="1440"/>
            <w:vAlign w:val="center"/>
            <w:tcMar>
              <w:top w:w="85" w:type="dxa"/>
              <w:left w:w="85" w:type="dxa"/>
              <w:bottom w:w="85" w:type="dxa"/>
              <w:right w:w="85" w:type="dxa"/>
            </w:tcMar>
            <w:shd w:fill="E8EEF5"/>
          </w:tcPr>
          <w:p>
            <w:pPr>
              <w:spacing w:after="40" w:before="40" w:line="269" w:lineRule="auto"/>
            </w:pPr>
            <w:r>
              <w:rPr>
                <w:b/>
                <w:sz w:val="20"/>
              </w:rPr>
              <w:t>自动笔触辅助</w:t>
            </w:r>
          </w:p>
        </w:tc>
        <w:tc>
          <w:tcPr>
            <w:tcW w:type="dxa" w:w="1512"/>
            <w:vAlign w:val="center"/>
            <w:tcMar>
              <w:top w:w="85" w:type="dxa"/>
              <w:left w:w="85" w:type="dxa"/>
              <w:bottom w:w="85" w:type="dxa"/>
              <w:right w:w="85" w:type="dxa"/>
            </w:tcMar>
            <w:shd w:fill="E8EEF5"/>
          </w:tcPr>
          <w:p>
            <w:pPr>
              <w:spacing w:after="40" w:before="40" w:line="269" w:lineRule="auto"/>
            </w:pPr>
            <w:r>
              <w:rPr>
                <w:b/>
                <w:sz w:val="20"/>
              </w:rPr>
              <w:t>素材编排支持</w:t>
            </w:r>
          </w:p>
        </w:tc>
        <w:tc>
          <w:tcPr>
            <w:tcW w:type="dxa" w:w="5530"/>
            <w:vAlign w:val="center"/>
            <w:tcMar>
              <w:top w:w="85" w:type="dxa"/>
              <w:left w:w="85" w:type="dxa"/>
              <w:bottom w:w="85" w:type="dxa"/>
              <w:right w:w="85" w:type="dxa"/>
            </w:tcMar>
            <w:shd w:fill="E8EEF5"/>
          </w:tcPr>
          <w:p>
            <w:pPr>
              <w:spacing w:after="40" w:before="40" w:line="269" w:lineRule="auto"/>
            </w:pPr>
            <w:r>
              <w:rPr>
                <w:b/>
                <w:sz w:val="20"/>
              </w:rPr>
              <w:t>实际任务</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A 普通画布</w:t>
            </w:r>
          </w:p>
        </w:tc>
        <w:tc>
          <w:tcPr>
            <w:tcW w:type="dxa" w:w="1440"/>
            <w:vAlign w:val="center"/>
            <w:tcMar>
              <w:top w:w="85" w:type="dxa"/>
              <w:left w:w="85" w:type="dxa"/>
              <w:bottom w:w="85" w:type="dxa"/>
              <w:right w:w="85" w:type="dxa"/>
            </w:tcMar>
          </w:tcPr>
          <w:p>
            <w:pPr>
              <w:spacing w:after="40" w:before="40" w:line="269" w:lineRule="auto"/>
            </w:pPr>
            <w:r>
              <w:rPr>
                <w:b w:val="0"/>
                <w:sz w:val="20"/>
              </w:rPr>
              <w:t>关闭</w:t>
            </w:r>
          </w:p>
        </w:tc>
        <w:tc>
          <w:tcPr>
            <w:tcW w:type="dxa" w:w="1512"/>
            <w:vAlign w:val="center"/>
            <w:tcMar>
              <w:top w:w="85" w:type="dxa"/>
              <w:left w:w="85" w:type="dxa"/>
              <w:bottom w:w="85" w:type="dxa"/>
              <w:right w:w="85" w:type="dxa"/>
            </w:tcMar>
          </w:tcPr>
          <w:p>
            <w:pPr>
              <w:spacing w:after="40" w:before="40" w:line="269" w:lineRule="auto"/>
            </w:pPr>
            <w:r>
              <w:rPr>
                <w:b w:val="0"/>
                <w:sz w:val="20"/>
              </w:rPr>
              <w:t>关闭</w:t>
            </w:r>
          </w:p>
        </w:tc>
        <w:tc>
          <w:tcPr>
            <w:tcW w:type="dxa" w:w="5530"/>
            <w:vAlign w:val="center"/>
            <w:tcMar>
              <w:top w:w="85" w:type="dxa"/>
              <w:left w:w="85" w:type="dxa"/>
              <w:bottom w:w="85" w:type="dxa"/>
              <w:right w:w="85" w:type="dxa"/>
            </w:tcMar>
          </w:tcPr>
          <w:p>
            <w:pPr>
              <w:spacing w:after="40" w:before="40" w:line="269" w:lineRule="auto"/>
            </w:pPr>
            <w:r>
              <w:rPr>
                <w:b w:val="0"/>
                <w:sz w:val="20"/>
              </w:rPr>
              <w:t>查看共同参考，自行构思与手绘</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B 编排辅助</w:t>
            </w:r>
          </w:p>
        </w:tc>
        <w:tc>
          <w:tcPr>
            <w:tcW w:type="dxa" w:w="1440"/>
            <w:vAlign w:val="center"/>
            <w:tcMar>
              <w:top w:w="85" w:type="dxa"/>
              <w:left w:w="85" w:type="dxa"/>
              <w:bottom w:w="85" w:type="dxa"/>
              <w:right w:w="85" w:type="dxa"/>
            </w:tcMar>
          </w:tcPr>
          <w:p>
            <w:pPr>
              <w:spacing w:after="40" w:before="40" w:line="269" w:lineRule="auto"/>
            </w:pPr>
            <w:r>
              <w:rPr>
                <w:b w:val="0"/>
                <w:sz w:val="20"/>
              </w:rPr>
              <w:t>关闭</w:t>
            </w:r>
          </w:p>
        </w:tc>
        <w:tc>
          <w:tcPr>
            <w:tcW w:type="dxa" w:w="1512"/>
            <w:vAlign w:val="center"/>
            <w:tcMar>
              <w:top w:w="85" w:type="dxa"/>
              <w:left w:w="85" w:type="dxa"/>
              <w:bottom w:w="85" w:type="dxa"/>
              <w:right w:w="85" w:type="dxa"/>
            </w:tcMar>
          </w:tcPr>
          <w:p>
            <w:pPr>
              <w:spacing w:after="40" w:before="40" w:line="269" w:lineRule="auto"/>
            </w:pPr>
            <w:r>
              <w:rPr>
                <w:b w:val="0"/>
                <w:sz w:val="20"/>
              </w:rPr>
              <w:t>开启</w:t>
            </w:r>
          </w:p>
        </w:tc>
        <w:tc>
          <w:tcPr>
            <w:tcW w:type="dxa" w:w="5530"/>
            <w:vAlign w:val="center"/>
            <w:tcMar>
              <w:top w:w="85" w:type="dxa"/>
              <w:left w:w="85" w:type="dxa"/>
              <w:bottom w:w="85" w:type="dxa"/>
              <w:right w:w="85" w:type="dxa"/>
            </w:tcMar>
          </w:tcPr>
          <w:p>
            <w:pPr>
              <w:spacing w:after="40" w:before="40" w:line="269" w:lineRule="auto"/>
            </w:pPr>
            <w:r>
              <w:rPr>
                <w:b w:val="0"/>
                <w:sz w:val="20"/>
              </w:rPr>
              <w:t>在独立参考层编排，再手动绘制</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C 执行辅助</w:t>
            </w:r>
          </w:p>
        </w:tc>
        <w:tc>
          <w:tcPr>
            <w:tcW w:type="dxa" w:w="1440"/>
            <w:vAlign w:val="center"/>
            <w:tcMar>
              <w:top w:w="85" w:type="dxa"/>
              <w:left w:w="85" w:type="dxa"/>
              <w:bottom w:w="85" w:type="dxa"/>
              <w:right w:w="85" w:type="dxa"/>
            </w:tcMar>
          </w:tcPr>
          <w:p>
            <w:pPr>
              <w:spacing w:after="40" w:before="40" w:line="269" w:lineRule="auto"/>
            </w:pPr>
            <w:r>
              <w:rPr>
                <w:b w:val="0"/>
                <w:sz w:val="20"/>
              </w:rPr>
              <w:t>开启</w:t>
            </w:r>
          </w:p>
        </w:tc>
        <w:tc>
          <w:tcPr>
            <w:tcW w:type="dxa" w:w="1512"/>
            <w:vAlign w:val="center"/>
            <w:tcMar>
              <w:top w:w="85" w:type="dxa"/>
              <w:left w:w="85" w:type="dxa"/>
              <w:bottom w:w="85" w:type="dxa"/>
              <w:right w:w="85" w:type="dxa"/>
            </w:tcMar>
          </w:tcPr>
          <w:p>
            <w:pPr>
              <w:spacing w:after="40" w:before="40" w:line="269" w:lineRule="auto"/>
            </w:pPr>
            <w:r>
              <w:rPr>
                <w:b w:val="0"/>
                <w:sz w:val="20"/>
              </w:rPr>
              <w:t>关闭</w:t>
            </w:r>
          </w:p>
        </w:tc>
        <w:tc>
          <w:tcPr>
            <w:tcW w:type="dxa" w:w="5530"/>
            <w:vAlign w:val="center"/>
            <w:tcMar>
              <w:top w:w="85" w:type="dxa"/>
              <w:left w:w="85" w:type="dxa"/>
              <w:bottom w:w="85" w:type="dxa"/>
              <w:right w:w="85" w:type="dxa"/>
            </w:tcMar>
          </w:tcPr>
          <w:p>
            <w:pPr>
              <w:spacing w:after="40" w:before="40" w:line="269" w:lineRule="auto"/>
            </w:pPr>
            <w:r>
              <w:rPr>
                <w:b w:val="0"/>
                <w:sz w:val="20"/>
              </w:rPr>
              <w:t>系统绘制共同基础内容，用户手动补充</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D 完整共创</w:t>
            </w:r>
          </w:p>
        </w:tc>
        <w:tc>
          <w:tcPr>
            <w:tcW w:type="dxa" w:w="1440"/>
            <w:vAlign w:val="center"/>
            <w:tcMar>
              <w:top w:w="85" w:type="dxa"/>
              <w:left w:w="85" w:type="dxa"/>
              <w:bottom w:w="85" w:type="dxa"/>
              <w:right w:w="85" w:type="dxa"/>
            </w:tcMar>
          </w:tcPr>
          <w:p>
            <w:pPr>
              <w:spacing w:after="40" w:before="40" w:line="269" w:lineRule="auto"/>
            </w:pPr>
            <w:r>
              <w:rPr>
                <w:b w:val="0"/>
                <w:sz w:val="20"/>
              </w:rPr>
              <w:t>开启</w:t>
            </w:r>
          </w:p>
        </w:tc>
        <w:tc>
          <w:tcPr>
            <w:tcW w:type="dxa" w:w="1512"/>
            <w:vAlign w:val="center"/>
            <w:tcMar>
              <w:top w:w="85" w:type="dxa"/>
              <w:left w:w="85" w:type="dxa"/>
              <w:bottom w:w="85" w:type="dxa"/>
              <w:right w:w="85" w:type="dxa"/>
            </w:tcMar>
          </w:tcPr>
          <w:p>
            <w:pPr>
              <w:spacing w:after="40" w:before="40" w:line="269" w:lineRule="auto"/>
            </w:pPr>
            <w:r>
              <w:rPr>
                <w:b w:val="0"/>
                <w:sz w:val="20"/>
              </w:rPr>
              <w:t>开启</w:t>
            </w:r>
          </w:p>
        </w:tc>
        <w:tc>
          <w:tcPr>
            <w:tcW w:type="dxa" w:w="5530"/>
            <w:vAlign w:val="center"/>
            <w:tcMar>
              <w:top w:w="85" w:type="dxa"/>
              <w:left w:w="85" w:type="dxa"/>
              <w:bottom w:w="85" w:type="dxa"/>
              <w:right w:w="85" w:type="dxa"/>
            </w:tcMar>
          </w:tcPr>
          <w:p>
            <w:pPr>
              <w:spacing w:after="40" w:before="40" w:line="269" w:lineRule="auto"/>
            </w:pPr>
            <w:r>
              <w:rPr>
                <w:b w:val="0"/>
                <w:sz w:val="20"/>
              </w:rPr>
              <w:t>编排内容转为自动笔触，并可继续介入</w:t>
            </w:r>
          </w:p>
        </w:tc>
      </w:tr>
    </w:tbl>
    <w:p>
      <w:pPr>
        <w:spacing w:after="20"/>
      </w:pPr>
    </w:p>
    <w:p>
      <w:r>
        <w:rPr>
          <w:b w:val="0"/>
        </w:rPr>
        <w:t>公平性：四条件保留同样的基础手绘能力与参考资源。编排条件的图形不直接贴到成品画布。C 条件需有共同基础参考目标，不能在纯空白且无输入时宣称开启了有效辅助。用户新增内容、关系与基础内容分别保存；评分评价个人表达的落实，不奖励系统自带的完成度。</w:t>
      </w:r>
    </w:p>
    <w:p>
      <w:r>
        <w:rPr>
          <w:b w:val="0"/>
        </w:rPr>
        <w:t>因素边界：编排支持应冻结为明确功能包，不能同时偷偷更换素材数量、默认配色、算法质量和任务提示。C、D 使用相同的改造后算法；旧算法对比在工程验证中另做。星月叙事和总体视觉风格在四条件尽量一致，自动条件的动画速度与样式相同。实验不能独立证明角色或动画的效果。</w:t>
      </w:r>
    </w:p>
    <w:p>
      <w:r>
        <w:rPr>
          <w:b w:val="0"/>
        </w:rPr>
        <w:t>设计建议：自动辅助采用组间随机分配，编排支持采用组内两轮比较。手动组完成 A、B；自动组完成 C、D。每组内同时平衡编排顺序和任务版本。若按两个平行任务安排，每组可分配“无编排／任务甲→有编排／任务乙”“有编排／任务甲→无编排／任务乙”及交换甲乙后的两种序列，避免某一任务固定对应某条件。</w:t>
      </w:r>
    </w:p>
    <w:p>
      <w:r>
        <w:rPr>
          <w:b w:val="0"/>
        </w:rPr>
        <w:t>流程：同意与背景调查 → 等量工具练习 → 记录本轮意图 → 创作与操作记录 → 本轮问卷 → 休息 → 第二轮 → 回顾访谈。预试可先按每轮创作 8—10 分钟、全程约 45—60 分钟安排，最终依据预试确定。未完成、主动停止和技术失败分别记录，不强制等满 1000 笔。</w:t>
      </w:r>
    </w:p>
    <w:p>
      <w:r>
        <w:rPr>
          <w:b w:val="0"/>
        </w:rPr>
        <w:t>预试可先招募约 6—8 人进行操作与任务校准，这不是正式效应估计的充分样本。正式样本量应依据主要结局及计划检验的交互作用进行功效或精度规划；小预试效应量不稳定，需要合理范围或敏感性分析，不能沿用旧研究“24 人足够”的说法。</w:t>
      </w:r>
    </w:p>
    <w:p>
      <w:pPr>
        <w:pStyle w:val="Heading2"/>
      </w:pPr>
      <w:r>
        <w:t>测量工具与评分边界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160"/>
        <w:gridCol w:w="2952"/>
        <w:gridCol w:w="3154"/>
      </w:tblGrid>
      <w:tr>
        <w:trPr>
          <w:cantSplit/>
          <w:tblHeader/>
        </w:trPr>
        <w:tc>
          <w:tcPr>
            <w:tcW w:type="dxa" w:w="1728"/>
            <w:vAlign w:val="center"/>
            <w:tcMar>
              <w:top w:w="85" w:type="dxa"/>
              <w:left w:w="85" w:type="dxa"/>
              <w:bottom w:w="85" w:type="dxa"/>
              <w:right w:w="85" w:type="dxa"/>
            </w:tcMar>
            <w:shd w:fill="E8EEF5"/>
          </w:tcPr>
          <w:p>
            <w:pPr>
              <w:spacing w:after="40" w:before="40" w:line="269" w:lineRule="auto"/>
            </w:pPr>
            <w:r>
              <w:rPr>
                <w:b/>
                <w:sz w:val="20"/>
              </w:rPr>
              <w:t>数据</w:t>
            </w:r>
          </w:p>
        </w:tc>
        <w:tc>
          <w:tcPr>
            <w:tcW w:type="dxa" w:w="2160"/>
            <w:vAlign w:val="center"/>
            <w:tcMar>
              <w:top w:w="85" w:type="dxa"/>
              <w:left w:w="85" w:type="dxa"/>
              <w:bottom w:w="85" w:type="dxa"/>
              <w:right w:w="85" w:type="dxa"/>
            </w:tcMar>
            <w:shd w:fill="E8EEF5"/>
          </w:tcPr>
          <w:p>
            <w:pPr>
              <w:spacing w:after="40" w:before="40" w:line="269" w:lineRule="auto"/>
            </w:pPr>
            <w:r>
              <w:rPr>
                <w:b/>
                <w:sz w:val="20"/>
              </w:rPr>
              <w:t>收集时点</w:t>
            </w:r>
          </w:p>
        </w:tc>
        <w:tc>
          <w:tcPr>
            <w:tcW w:type="dxa" w:w="2952"/>
            <w:vAlign w:val="center"/>
            <w:tcMar>
              <w:top w:w="85" w:type="dxa"/>
              <w:left w:w="85" w:type="dxa"/>
              <w:bottom w:w="85" w:type="dxa"/>
              <w:right w:w="85" w:type="dxa"/>
            </w:tcMar>
            <w:shd w:fill="E8EEF5"/>
          </w:tcPr>
          <w:p>
            <w:pPr>
              <w:spacing w:after="40" w:before="40" w:line="269" w:lineRule="auto"/>
            </w:pPr>
            <w:r>
              <w:rPr>
                <w:b/>
                <w:sz w:val="20"/>
              </w:rPr>
              <w:t>主要用途</w:t>
            </w:r>
          </w:p>
        </w:tc>
        <w:tc>
          <w:tcPr>
            <w:tcW w:type="dxa" w:w="3154"/>
            <w:vAlign w:val="center"/>
            <w:tcMar>
              <w:top w:w="85" w:type="dxa"/>
              <w:left w:w="85" w:type="dxa"/>
              <w:bottom w:w="85" w:type="dxa"/>
              <w:right w:w="85" w:type="dxa"/>
            </w:tcMar>
            <w:shd w:fill="E8EEF5"/>
          </w:tcPr>
          <w:p>
            <w:pPr>
              <w:spacing w:after="40" w:before="40" w:line="269" w:lineRule="auto"/>
            </w:pPr>
            <w:r>
              <w:rPr>
                <w:b/>
                <w:sz w:val="20"/>
              </w:rPr>
              <w:t>解释边界</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表达实现评分</w:t>
            </w:r>
          </w:p>
        </w:tc>
        <w:tc>
          <w:tcPr>
            <w:tcW w:type="dxa" w:w="2160"/>
            <w:vAlign w:val="center"/>
            <w:tcMar>
              <w:top w:w="85" w:type="dxa"/>
              <w:left w:w="85" w:type="dxa"/>
              <w:bottom w:w="85" w:type="dxa"/>
              <w:right w:w="85" w:type="dxa"/>
            </w:tcMar>
          </w:tcPr>
          <w:p>
            <w:pPr>
              <w:spacing w:after="40" w:before="40" w:line="269" w:lineRule="auto"/>
            </w:pPr>
            <w:r>
              <w:rPr>
                <w:b w:val="0"/>
                <w:sz w:val="20"/>
              </w:rPr>
              <w:t>实验后由两位评分者独立完成</w:t>
            </w:r>
          </w:p>
        </w:tc>
        <w:tc>
          <w:tcPr>
            <w:tcW w:type="dxa" w:w="2952"/>
            <w:vAlign w:val="center"/>
            <w:tcMar>
              <w:top w:w="85" w:type="dxa"/>
              <w:left w:w="85" w:type="dxa"/>
              <w:bottom w:w="85" w:type="dxa"/>
              <w:right w:w="85" w:type="dxa"/>
            </w:tcMar>
          </w:tcPr>
          <w:p>
            <w:pPr>
              <w:spacing w:after="40" w:before="40" w:line="269" w:lineRule="auto"/>
            </w:pPr>
            <w:r>
              <w:rPr>
                <w:b w:val="0"/>
                <w:sz w:val="20"/>
              </w:rPr>
              <w:t>评价预先表达意图的落实</w:t>
            </w:r>
          </w:p>
        </w:tc>
        <w:tc>
          <w:tcPr>
            <w:tcW w:type="dxa" w:w="3154"/>
            <w:vAlign w:val="center"/>
            <w:tcMar>
              <w:top w:w="85" w:type="dxa"/>
              <w:left w:w="85" w:type="dxa"/>
              <w:bottom w:w="85" w:type="dxa"/>
              <w:right w:w="85" w:type="dxa"/>
            </w:tcMar>
          </w:tcPr>
          <w:p>
            <w:pPr>
              <w:spacing w:after="40" w:before="40" w:line="269" w:lineRule="auto"/>
            </w:pPr>
            <w:r>
              <w:rPr>
                <w:b w:val="0"/>
                <w:sz w:val="20"/>
              </w:rPr>
              <w:t>不等于美观、像原图或创造力</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IMI 22 项版本</w:t>
            </w:r>
          </w:p>
        </w:tc>
        <w:tc>
          <w:tcPr>
            <w:tcW w:type="dxa" w:w="2160"/>
            <w:vAlign w:val="center"/>
            <w:tcMar>
              <w:top w:w="85" w:type="dxa"/>
              <w:left w:w="85" w:type="dxa"/>
              <w:bottom w:w="85" w:type="dxa"/>
              <w:right w:w="85" w:type="dxa"/>
            </w:tcMar>
          </w:tcPr>
          <w:p>
            <w:pPr>
              <w:spacing w:after="40" w:before="40" w:line="269" w:lineRule="auto"/>
            </w:pPr>
            <w:r>
              <w:rPr>
                <w:b w:val="0"/>
                <w:sz w:val="20"/>
              </w:rPr>
              <w:t>每轮创作后</w:t>
            </w:r>
          </w:p>
        </w:tc>
        <w:tc>
          <w:tcPr>
            <w:tcW w:type="dxa" w:w="2952"/>
            <w:vAlign w:val="center"/>
            <w:tcMar>
              <w:top w:w="85" w:type="dxa"/>
              <w:left w:w="85" w:type="dxa"/>
              <w:bottom w:w="85" w:type="dxa"/>
              <w:right w:w="85" w:type="dxa"/>
            </w:tcMar>
          </w:tcPr>
          <w:p>
            <w:pPr>
              <w:spacing w:after="40" w:before="40" w:line="269" w:lineRule="auto"/>
            </w:pPr>
            <w:r>
              <w:rPr>
                <w:b w:val="0"/>
                <w:sz w:val="20"/>
              </w:rPr>
              <w:t>分别获得兴趣、能力、选择、压力</w:t>
            </w:r>
          </w:p>
        </w:tc>
        <w:tc>
          <w:tcPr>
            <w:tcW w:type="dxa" w:w="3154"/>
            <w:vAlign w:val="center"/>
            <w:tcMar>
              <w:top w:w="85" w:type="dxa"/>
              <w:left w:w="85" w:type="dxa"/>
              <w:bottom w:w="85" w:type="dxa"/>
              <w:right w:w="85" w:type="dxa"/>
            </w:tcMar>
          </w:tcPr>
          <w:p>
            <w:pPr>
              <w:spacing w:after="40" w:before="40" w:line="269" w:lineRule="auto"/>
            </w:pPr>
            <w:r>
              <w:rPr>
                <w:b w:val="0"/>
                <w:sz w:val="20"/>
              </w:rPr>
              <w:t>四分量表分别计分，不能任意合成</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SUS 10 项标准版本</w:t>
            </w:r>
          </w:p>
        </w:tc>
        <w:tc>
          <w:tcPr>
            <w:tcW w:type="dxa" w:w="2160"/>
            <w:vAlign w:val="center"/>
            <w:tcMar>
              <w:top w:w="85" w:type="dxa"/>
              <w:left w:w="85" w:type="dxa"/>
              <w:bottom w:w="85" w:type="dxa"/>
              <w:right w:w="85" w:type="dxa"/>
            </w:tcMar>
          </w:tcPr>
          <w:p>
            <w:pPr>
              <w:spacing w:after="40" w:before="40" w:line="269" w:lineRule="auto"/>
            </w:pPr>
            <w:r>
              <w:rPr>
                <w:b w:val="0"/>
                <w:sz w:val="20"/>
              </w:rPr>
              <w:t>每轮体验后，题干对象明确为本轮界面</w:t>
            </w:r>
          </w:p>
        </w:tc>
        <w:tc>
          <w:tcPr>
            <w:tcW w:type="dxa" w:w="2952"/>
            <w:vAlign w:val="center"/>
            <w:tcMar>
              <w:top w:w="85" w:type="dxa"/>
              <w:left w:w="85" w:type="dxa"/>
              <w:bottom w:w="85" w:type="dxa"/>
              <w:right w:w="85" w:type="dxa"/>
            </w:tcMar>
          </w:tcPr>
          <w:p>
            <w:pPr>
              <w:spacing w:after="40" w:before="40" w:line="269" w:lineRule="auto"/>
            </w:pPr>
            <w:r>
              <w:rPr>
                <w:b w:val="0"/>
                <w:sz w:val="20"/>
              </w:rPr>
              <w:t>评价感知可用性</w:t>
            </w:r>
          </w:p>
        </w:tc>
        <w:tc>
          <w:tcPr>
            <w:tcW w:type="dxa" w:w="3154"/>
            <w:vAlign w:val="center"/>
            <w:tcMar>
              <w:top w:w="85" w:type="dxa"/>
              <w:left w:w="85" w:type="dxa"/>
              <w:bottom w:w="85" w:type="dxa"/>
              <w:right w:w="85" w:type="dxa"/>
            </w:tcMar>
          </w:tcPr>
          <w:p>
            <w:pPr>
              <w:spacing w:after="40" w:before="40" w:line="269" w:lineRule="auto"/>
            </w:pPr>
            <w:r>
              <w:rPr>
                <w:b w:val="0"/>
                <w:sz w:val="20"/>
              </w:rPr>
              <w:t>0—100 分不是百分比，也不等于负担</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过程记录</w:t>
            </w:r>
          </w:p>
        </w:tc>
        <w:tc>
          <w:tcPr>
            <w:tcW w:type="dxa" w:w="2160"/>
            <w:vAlign w:val="center"/>
            <w:tcMar>
              <w:top w:w="85" w:type="dxa"/>
              <w:left w:w="85" w:type="dxa"/>
              <w:bottom w:w="85" w:type="dxa"/>
              <w:right w:w="85" w:type="dxa"/>
            </w:tcMar>
          </w:tcPr>
          <w:p>
            <w:pPr>
              <w:spacing w:after="40" w:before="40" w:line="269" w:lineRule="auto"/>
            </w:pPr>
            <w:r>
              <w:rPr>
                <w:b w:val="0"/>
                <w:sz w:val="20"/>
              </w:rPr>
              <w:t>整个任务</w:t>
            </w:r>
          </w:p>
        </w:tc>
        <w:tc>
          <w:tcPr>
            <w:tcW w:type="dxa" w:w="2952"/>
            <w:vAlign w:val="center"/>
            <w:tcMar>
              <w:top w:w="85" w:type="dxa"/>
              <w:left w:w="85" w:type="dxa"/>
              <w:bottom w:w="85" w:type="dxa"/>
              <w:right w:w="85" w:type="dxa"/>
            </w:tcMar>
          </w:tcPr>
          <w:p>
            <w:pPr>
              <w:spacing w:after="40" w:before="40" w:line="269" w:lineRule="auto"/>
            </w:pPr>
            <w:r>
              <w:rPr>
                <w:b w:val="0"/>
                <w:sz w:val="20"/>
              </w:rPr>
              <w:t>分析困难、求助、暂停与介入</w:t>
            </w:r>
          </w:p>
        </w:tc>
        <w:tc>
          <w:tcPr>
            <w:tcW w:type="dxa" w:w="3154"/>
            <w:vAlign w:val="center"/>
            <w:tcMar>
              <w:top w:w="85" w:type="dxa"/>
              <w:left w:w="85" w:type="dxa"/>
              <w:bottom w:w="85" w:type="dxa"/>
              <w:right w:w="85" w:type="dxa"/>
            </w:tcMar>
          </w:tcPr>
          <w:p>
            <w:pPr>
              <w:spacing w:after="40" w:before="40" w:line="269" w:lineRule="auto"/>
            </w:pPr>
            <w:r>
              <w:rPr>
                <w:b w:val="0"/>
                <w:sz w:val="20"/>
              </w:rPr>
              <w:t>自动笔数与手动笔数不能混算成努力</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回顾访谈</w:t>
            </w:r>
          </w:p>
        </w:tc>
        <w:tc>
          <w:tcPr>
            <w:tcW w:type="dxa" w:w="2160"/>
            <w:vAlign w:val="center"/>
            <w:tcMar>
              <w:top w:w="85" w:type="dxa"/>
              <w:left w:w="85" w:type="dxa"/>
              <w:bottom w:w="85" w:type="dxa"/>
              <w:right w:w="85" w:type="dxa"/>
            </w:tcMar>
          </w:tcPr>
          <w:p>
            <w:pPr>
              <w:spacing w:after="40" w:before="40" w:line="269" w:lineRule="auto"/>
            </w:pPr>
            <w:r>
              <w:rPr>
                <w:b w:val="0"/>
                <w:sz w:val="20"/>
              </w:rPr>
              <w:t>两轮完成后</w:t>
            </w:r>
          </w:p>
        </w:tc>
        <w:tc>
          <w:tcPr>
            <w:tcW w:type="dxa" w:w="2952"/>
            <w:vAlign w:val="center"/>
            <w:tcMar>
              <w:top w:w="85" w:type="dxa"/>
              <w:left w:w="85" w:type="dxa"/>
              <w:bottom w:w="85" w:type="dxa"/>
              <w:right w:w="85" w:type="dxa"/>
            </w:tcMar>
          </w:tcPr>
          <w:p>
            <w:pPr>
              <w:spacing w:after="40" w:before="40" w:line="269" w:lineRule="auto"/>
            </w:pPr>
            <w:r>
              <w:rPr>
                <w:b w:val="0"/>
                <w:sz w:val="20"/>
              </w:rPr>
              <w:t>解释决策、归属感和变化原因</w:t>
            </w:r>
          </w:p>
        </w:tc>
        <w:tc>
          <w:tcPr>
            <w:tcW w:type="dxa" w:w="3154"/>
            <w:vAlign w:val="center"/>
            <w:tcMar>
              <w:top w:w="85" w:type="dxa"/>
              <w:left w:w="85" w:type="dxa"/>
              <w:bottom w:w="85" w:type="dxa"/>
              <w:right w:w="85" w:type="dxa"/>
            </w:tcMar>
          </w:tcPr>
          <w:p>
            <w:pPr>
              <w:spacing w:after="40" w:before="40" w:line="269" w:lineRule="auto"/>
            </w:pPr>
            <w:r>
              <w:rPr>
                <w:b w:val="0"/>
                <w:sz w:val="20"/>
              </w:rPr>
              <w:t>自述不能替代客观操作或作品证据</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直接负担指标</w:t>
            </w:r>
          </w:p>
        </w:tc>
        <w:tc>
          <w:tcPr>
            <w:tcW w:type="dxa" w:w="2160"/>
            <w:vAlign w:val="center"/>
            <w:tcMar>
              <w:top w:w="85" w:type="dxa"/>
              <w:left w:w="85" w:type="dxa"/>
              <w:bottom w:w="85" w:type="dxa"/>
              <w:right w:w="85" w:type="dxa"/>
            </w:tcMar>
          </w:tcPr>
          <w:p>
            <w:pPr>
              <w:spacing w:after="40" w:before="40" w:line="269" w:lineRule="auto"/>
            </w:pPr>
            <w:r>
              <w:rPr>
                <w:b w:val="0"/>
                <w:sz w:val="20"/>
              </w:rPr>
              <w:t>待协议确定</w:t>
            </w:r>
          </w:p>
        </w:tc>
        <w:tc>
          <w:tcPr>
            <w:tcW w:type="dxa" w:w="2952"/>
            <w:vAlign w:val="center"/>
            <w:tcMar>
              <w:top w:w="85" w:type="dxa"/>
              <w:left w:w="85" w:type="dxa"/>
              <w:bottom w:w="85" w:type="dxa"/>
              <w:right w:w="85" w:type="dxa"/>
            </w:tcMar>
          </w:tcPr>
          <w:p>
            <w:pPr>
              <w:spacing w:after="40" w:before="40" w:line="269" w:lineRule="auto"/>
            </w:pPr>
            <w:r>
              <w:rPr>
                <w:b w:val="0"/>
                <w:sz w:val="20"/>
              </w:rPr>
              <w:t>支撑降低负担的主张</w:t>
            </w:r>
          </w:p>
        </w:tc>
        <w:tc>
          <w:tcPr>
            <w:tcW w:type="dxa" w:w="3154"/>
            <w:vAlign w:val="center"/>
            <w:tcMar>
              <w:top w:w="85" w:type="dxa"/>
              <w:left w:w="85" w:type="dxa"/>
              <w:bottom w:w="85" w:type="dxa"/>
              <w:right w:w="85" w:type="dxa"/>
            </w:tcMar>
          </w:tcPr>
          <w:p>
            <w:pPr>
              <w:spacing w:after="40" w:before="40" w:line="269" w:lineRule="auto"/>
            </w:pPr>
            <w:r>
              <w:rPr>
                <w:b w:val="0"/>
                <w:sz w:val="20"/>
              </w:rPr>
              <w:t>可考虑 NASA-TLX；若自编单题则标探索性</w:t>
            </w:r>
          </w:p>
        </w:tc>
      </w:tr>
    </w:tbl>
    <w:p>
      <w:pPr>
        <w:spacing w:after="20"/>
      </w:pPr>
    </w:p>
    <w:p>
      <w:r>
        <w:rPr>
          <w:b w:val="0"/>
        </w:rPr>
        <w:t>IMI 采用来源明确的活动评价版本，保留分量表含义和反向计分；对中文表达进行已有译本核查与认知访谈，不把自行翻译称为已验证中文版。SUS 使用与其计分公式一致的标准 5 点反应形式，不机械复制参考论文中的 7 点描述。[7][8]</w:t>
      </w:r>
    </w:p>
    <w:p>
      <w:r>
        <w:rPr>
          <w:b w:val="0"/>
        </w:rPr>
        <w:t>作品评分初稿可包括内容落实、视觉组织与表达线索，每项设 1—5 级文字锚点。共同基础参考图、创作前意图和匿名最终作品构成评审包；过程中新意图另行分析，不倒改原始目标。艺术表现评价单列，不与表达实现分合并。合成评分前需试评其合理性与信度。</w:t>
      </w:r>
    </w:p>
    <w:p>
      <w:r>
        <w:rPr>
          <w:b w:val="0"/>
        </w:rPr>
        <w:t>评分者先用非正式样本训练，再独立评分并保留原始分数。匿名、随机排序、隐藏条件和界面信息；承认画风可能导致不完全盲评。对合成分采用 ICC 时说明随机或固定评分者、绝对一致性、单人或两人平均及置信区间；相关系数不能替代一致性。[9]</w:t>
      </w:r>
    </w:p>
    <w:p>
      <w:pPr>
        <w:pStyle w:val="Heading2"/>
      </w:pPr>
      <w:r>
        <w:t>分析与结论的对应</w:t>
      </w:r>
    </w:p>
    <w:p>
      <w:r>
        <w:rPr>
          <w:b w:val="0"/>
        </w:rPr>
        <w:t>主要分析分别估计自动辅助主效应、编排支持主效应和两者交互。交互可直观写为“自动条件中增加编排的变化 D−C”与“手动条件中增加编排的变化 B−A”的差异，即（D−C）−（B−A）。D 最高不等于交互成立，也不能仅凭一组显著、另一组不显著就断言二者不同。[15]</w:t>
      </w:r>
    </w:p>
    <w:p>
      <w:r>
        <w:rPr>
          <w:b w:val="0"/>
        </w:rPr>
        <w:t>推荐按结果分布使用合适的混合效应模型，纳入参与者重复测量、因素及交互，并处理任务版本与顺序。连续合成分、等级评分和求助次数可能需要不同模型；小样本时限制模型复杂度。每位参与者两幅作品并不构成两个独立受试者，两个评分者也不使样本量翻倍。</w:t>
      </w:r>
    </w:p>
    <w:p>
      <w:r>
        <w:rPr>
          <w:b w:val="0"/>
        </w:rPr>
        <w:t>预先确定主要检验家族与多重比较控制，报告四条件分布、估计差值、效应量、置信区间和缺失情况。不能事后挑量表或随意删极端值。统计不显著不能证明等效；如要声称自主性不降低，需要预定非劣效界值及相应设计。</w:t>
      </w:r>
    </w:p>
    <w:p>
      <w:r>
        <w:rPr>
          <w:b w:val="0"/>
        </w:rPr>
        <w:t>访谈通过主题分析解释用户怎样作决定、为什么暂停或修改，以及觉得作品属于谁。结合量化结果保留不一致案例。结论限定为所测用户、任务与原型版本；短时实验不证明长期习惯、绘画技能或一般创造力提高。</w:t>
      </w:r>
    </w:p>
    <w:p>
      <w:pPr>
        <w:pStyle w:val="Heading1"/>
        <w:pageBreakBefore/>
      </w:pPr>
      <w:r>
        <w:t>算法对比图与贡献边界</w:t>
      </w:r>
    </w:p>
    <w:p>
      <w:r>
        <w:rPr>
          <w:b w:val="0"/>
        </w:rPr>
        <w:t>“传统算法”应指明文献或具体实现。至少区分经典方法、项目旧版和改造版三层。Hertzmann 1998 已提出多尺度曲线笔触，因此曲线和粗到细本身属于已有方法。项目可以主张面向交互目标的适配、组合、参数与流程改造，并用证据说明作用。[6]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032"/>
        <w:gridCol w:w="4234"/>
      </w:tblGrid>
      <w:tr>
        <w:trPr>
          <w:cantSplit/>
          <w:tblHeader/>
        </w:trPr>
        <w:tc>
          <w:tcPr>
            <w:tcW w:type="dxa" w:w="1728"/>
            <w:vAlign w:val="center"/>
            <w:tcMar>
              <w:top w:w="85" w:type="dxa"/>
              <w:left w:w="85" w:type="dxa"/>
              <w:bottom w:w="85" w:type="dxa"/>
              <w:right w:w="85" w:type="dxa"/>
            </w:tcMar>
            <w:shd w:fill="E8EEF5"/>
          </w:tcPr>
          <w:p>
            <w:pPr>
              <w:spacing w:after="40" w:before="40" w:line="269" w:lineRule="auto"/>
            </w:pPr>
            <w:r>
              <w:rPr>
                <w:b/>
                <w:sz w:val="20"/>
              </w:rPr>
              <w:t>对比组图</w:t>
            </w:r>
          </w:p>
        </w:tc>
        <w:tc>
          <w:tcPr>
            <w:tcW w:type="dxa" w:w="4032"/>
            <w:vAlign w:val="center"/>
            <w:tcMar>
              <w:top w:w="85" w:type="dxa"/>
              <w:left w:w="85" w:type="dxa"/>
              <w:bottom w:w="85" w:type="dxa"/>
              <w:right w:w="85" w:type="dxa"/>
            </w:tcMar>
            <w:shd w:fill="E8EEF5"/>
          </w:tcPr>
          <w:p>
            <w:pPr>
              <w:spacing w:after="40" w:before="40" w:line="269" w:lineRule="auto"/>
            </w:pPr>
            <w:r>
              <w:rPr>
                <w:b/>
                <w:sz w:val="20"/>
              </w:rPr>
              <w:t>建议呈现方式</w:t>
            </w:r>
          </w:p>
        </w:tc>
        <w:tc>
          <w:tcPr>
            <w:tcW w:type="dxa" w:w="4234"/>
            <w:vAlign w:val="center"/>
            <w:tcMar>
              <w:top w:w="85" w:type="dxa"/>
              <w:left w:w="85" w:type="dxa"/>
              <w:bottom w:w="85" w:type="dxa"/>
              <w:right w:w="85" w:type="dxa"/>
            </w:tcMar>
            <w:shd w:fill="E8EEF5"/>
          </w:tcPr>
          <w:p>
            <w:pPr>
              <w:spacing w:after="40" w:before="40" w:line="269" w:lineRule="auto"/>
            </w:pPr>
            <w:r>
              <w:rPr>
                <w:b/>
                <w:sz w:val="20"/>
              </w:rPr>
              <w:t>控制与记录</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整图效果</w:t>
            </w:r>
          </w:p>
        </w:tc>
        <w:tc>
          <w:tcPr>
            <w:tcW w:type="dxa" w:w="4032"/>
            <w:vAlign w:val="center"/>
            <w:tcMar>
              <w:top w:w="85" w:type="dxa"/>
              <w:left w:w="85" w:type="dxa"/>
              <w:bottom w:w="85" w:type="dxa"/>
              <w:right w:w="85" w:type="dxa"/>
            </w:tcMar>
          </w:tcPr>
          <w:p>
            <w:pPr>
              <w:spacing w:after="40" w:before="40" w:line="269" w:lineRule="auto"/>
            </w:pPr>
            <w:r>
              <w:rPr>
                <w:b w:val="0"/>
                <w:sz w:val="20"/>
              </w:rPr>
              <w:t>参考图、旧版、改造版并排，展示多类输入</w:t>
            </w:r>
          </w:p>
        </w:tc>
        <w:tc>
          <w:tcPr>
            <w:tcW w:type="dxa" w:w="4234"/>
            <w:vAlign w:val="center"/>
            <w:tcMar>
              <w:top w:w="85" w:type="dxa"/>
              <w:left w:w="85" w:type="dxa"/>
              <w:bottom w:w="85" w:type="dxa"/>
              <w:right w:w="85" w:type="dxa"/>
            </w:tcMar>
          </w:tcPr>
          <w:p>
            <w:pPr>
              <w:spacing w:after="40" w:before="40" w:line="269" w:lineRule="auto"/>
            </w:pPr>
            <w:r>
              <w:rPr>
                <w:b w:val="0"/>
                <w:sz w:val="20"/>
              </w:rPr>
              <w:t>相同分辨率和输入；记录实际笔数与运行配置</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笔触路径</w:t>
            </w:r>
          </w:p>
        </w:tc>
        <w:tc>
          <w:tcPr>
            <w:tcW w:type="dxa" w:w="4032"/>
            <w:vAlign w:val="center"/>
            <w:tcMar>
              <w:top w:w="85" w:type="dxa"/>
              <w:left w:w="85" w:type="dxa"/>
              <w:bottom w:w="85" w:type="dxa"/>
              <w:right w:w="85" w:type="dxa"/>
            </w:tcMar>
          </w:tcPr>
          <w:p>
            <w:pPr>
              <w:spacing w:after="40" w:before="40" w:line="269" w:lineRule="auto"/>
            </w:pPr>
            <w:r>
              <w:rPr>
                <w:b w:val="0"/>
                <w:sz w:val="20"/>
              </w:rPr>
              <w:t>相同局部的旧笔触与曲线路径叠加图</w:t>
            </w:r>
          </w:p>
        </w:tc>
        <w:tc>
          <w:tcPr>
            <w:tcW w:type="dxa" w:w="4234"/>
            <w:vAlign w:val="center"/>
            <w:tcMar>
              <w:top w:w="85" w:type="dxa"/>
              <w:left w:w="85" w:type="dxa"/>
              <w:bottom w:w="85" w:type="dxa"/>
              <w:right w:w="85" w:type="dxa"/>
            </w:tcMar>
          </w:tcPr>
          <w:p>
            <w:pPr>
              <w:spacing w:after="40" w:before="40" w:line="269" w:lineRule="auto"/>
            </w:pPr>
            <w:r>
              <w:rPr>
                <w:b w:val="0"/>
                <w:sz w:val="20"/>
              </w:rPr>
              <w:t>同倍率裁切，说明方向与停止条件</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笔触覆盖范围</w:t>
            </w:r>
          </w:p>
        </w:tc>
        <w:tc>
          <w:tcPr>
            <w:tcW w:type="dxa" w:w="4032"/>
            <w:vAlign w:val="center"/>
            <w:tcMar>
              <w:top w:w="85" w:type="dxa"/>
              <w:left w:w="85" w:type="dxa"/>
              <w:bottom w:w="85" w:type="dxa"/>
              <w:right w:w="85" w:type="dxa"/>
            </w:tcMar>
          </w:tcPr>
          <w:p>
            <w:pPr>
              <w:spacing w:after="40" w:before="40" w:line="269" w:lineRule="auto"/>
            </w:pPr>
            <w:r>
              <w:rPr>
                <w:b w:val="0"/>
                <w:sz w:val="20"/>
              </w:rPr>
              <w:t>宽度、长度、边界停止前后对比</w:t>
            </w:r>
          </w:p>
        </w:tc>
        <w:tc>
          <w:tcPr>
            <w:tcW w:type="dxa" w:w="4234"/>
            <w:vAlign w:val="center"/>
            <w:tcMar>
              <w:top w:w="85" w:type="dxa"/>
              <w:left w:w="85" w:type="dxa"/>
              <w:bottom w:w="85" w:type="dxa"/>
              <w:right w:w="85" w:type="dxa"/>
            </w:tcMar>
          </w:tcPr>
          <w:p>
            <w:pPr>
              <w:spacing w:after="40" w:before="40" w:line="269" w:lineRule="auto"/>
            </w:pPr>
            <w:r>
              <w:rPr>
                <w:b w:val="0"/>
                <w:sz w:val="20"/>
              </w:rPr>
              <w:t>仅改变目标机制，保留其他条件</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形成阶段</w:t>
            </w:r>
          </w:p>
        </w:tc>
        <w:tc>
          <w:tcPr>
            <w:tcW w:type="dxa" w:w="4032"/>
            <w:vAlign w:val="center"/>
            <w:tcMar>
              <w:top w:w="85" w:type="dxa"/>
              <w:left w:w="85" w:type="dxa"/>
              <w:bottom w:w="85" w:type="dxa"/>
              <w:right w:w="85" w:type="dxa"/>
            </w:tcMar>
          </w:tcPr>
          <w:p>
            <w:pPr>
              <w:spacing w:after="40" w:before="40" w:line="269" w:lineRule="auto"/>
            </w:pPr>
            <w:r>
              <w:rPr>
                <w:b w:val="0"/>
                <w:sz w:val="20"/>
              </w:rPr>
              <w:t>按相同比例或实际笔数展示早、中、后阶段</w:t>
            </w:r>
          </w:p>
        </w:tc>
        <w:tc>
          <w:tcPr>
            <w:tcW w:type="dxa" w:w="4234"/>
            <w:vAlign w:val="center"/>
            <w:tcMar>
              <w:top w:w="85" w:type="dxa"/>
              <w:left w:w="85" w:type="dxa"/>
              <w:bottom w:w="85" w:type="dxa"/>
              <w:right w:w="85" w:type="dxa"/>
            </w:tcMar>
          </w:tcPr>
          <w:p>
            <w:pPr>
              <w:spacing w:after="40" w:before="40" w:line="269" w:lineRule="auto"/>
            </w:pPr>
            <w:r>
              <w:rPr>
                <w:b w:val="0"/>
                <w:sz w:val="20"/>
              </w:rPr>
              <w:t>统一比较口径，不混用时间与笔数</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色彩概括</w:t>
            </w:r>
          </w:p>
        </w:tc>
        <w:tc>
          <w:tcPr>
            <w:tcW w:type="dxa" w:w="4032"/>
            <w:vAlign w:val="center"/>
            <w:tcMar>
              <w:top w:w="85" w:type="dxa"/>
              <w:left w:w="85" w:type="dxa"/>
              <w:bottom w:w="85" w:type="dxa"/>
              <w:right w:w="85" w:type="dxa"/>
            </w:tcMar>
          </w:tcPr>
          <w:p>
            <w:pPr>
              <w:spacing w:after="40" w:before="40" w:line="269" w:lineRule="auto"/>
            </w:pPr>
            <w:r>
              <w:rPr>
                <w:b w:val="0"/>
                <w:sz w:val="20"/>
              </w:rPr>
              <w:t>原色、概括程度与配色变化</w:t>
            </w:r>
          </w:p>
        </w:tc>
        <w:tc>
          <w:tcPr>
            <w:tcW w:type="dxa" w:w="4234"/>
            <w:vAlign w:val="center"/>
            <w:tcMar>
              <w:top w:w="85" w:type="dxa"/>
              <w:left w:w="85" w:type="dxa"/>
              <w:bottom w:w="85" w:type="dxa"/>
              <w:right w:w="85" w:type="dxa"/>
            </w:tcMar>
          </w:tcPr>
          <w:p>
            <w:pPr>
              <w:spacing w:after="40" w:before="40" w:line="269" w:lineRule="auto"/>
            </w:pPr>
            <w:r>
              <w:rPr>
                <w:b w:val="0"/>
                <w:sz w:val="20"/>
              </w:rPr>
              <w:t>区分目标预处理和笔触规划的作用</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局部加入素材</w:t>
            </w:r>
          </w:p>
        </w:tc>
        <w:tc>
          <w:tcPr>
            <w:tcW w:type="dxa" w:w="4032"/>
            <w:vAlign w:val="center"/>
            <w:tcMar>
              <w:top w:w="85" w:type="dxa"/>
              <w:left w:w="85" w:type="dxa"/>
              <w:bottom w:w="85" w:type="dxa"/>
              <w:right w:w="85" w:type="dxa"/>
            </w:tcMar>
          </w:tcPr>
          <w:p>
            <w:pPr>
              <w:spacing w:after="40" w:before="40" w:line="269" w:lineRule="auto"/>
            </w:pPr>
            <w:r>
              <w:rPr>
                <w:b w:val="0"/>
                <w:sz w:val="20"/>
              </w:rPr>
              <w:t>插入前、隐藏目标变化、续绘中和完成后</w:t>
            </w:r>
          </w:p>
        </w:tc>
        <w:tc>
          <w:tcPr>
            <w:tcW w:type="dxa" w:w="4234"/>
            <w:vAlign w:val="center"/>
            <w:tcMar>
              <w:top w:w="85" w:type="dxa"/>
              <w:left w:w="85" w:type="dxa"/>
              <w:bottom w:w="85" w:type="dxa"/>
              <w:right w:w="85" w:type="dxa"/>
            </w:tcMar>
          </w:tcPr>
          <w:p>
            <w:pPr>
              <w:spacing w:after="40" w:before="40" w:line="269" w:lineRule="auto"/>
            </w:pPr>
            <w:r>
              <w:rPr>
                <w:b w:val="0"/>
                <w:sz w:val="20"/>
              </w:rPr>
              <w:t>展示旧画面保留、局部作用和失败情况</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失败案例</w:t>
            </w:r>
          </w:p>
        </w:tc>
        <w:tc>
          <w:tcPr>
            <w:tcW w:type="dxa" w:w="4032"/>
            <w:vAlign w:val="center"/>
            <w:tcMar>
              <w:top w:w="85" w:type="dxa"/>
              <w:left w:w="85" w:type="dxa"/>
              <w:bottom w:w="85" w:type="dxa"/>
              <w:right w:w="85" w:type="dxa"/>
            </w:tcMar>
          </w:tcPr>
          <w:p>
            <w:pPr>
              <w:spacing w:after="40" w:before="40" w:line="269" w:lineRule="auto"/>
            </w:pPr>
            <w:r>
              <w:rPr>
                <w:b w:val="0"/>
                <w:sz w:val="20"/>
              </w:rPr>
              <w:t>细线、小物体、高频纹理或边界溢出</w:t>
            </w:r>
          </w:p>
        </w:tc>
        <w:tc>
          <w:tcPr>
            <w:tcW w:type="dxa" w:w="4234"/>
            <w:vAlign w:val="center"/>
            <w:tcMar>
              <w:top w:w="85" w:type="dxa"/>
              <w:left w:w="85" w:type="dxa"/>
              <w:bottom w:w="85" w:type="dxa"/>
              <w:right w:w="85" w:type="dxa"/>
            </w:tcMar>
          </w:tcPr>
          <w:p>
            <w:pPr>
              <w:spacing w:after="40" w:before="40" w:line="269" w:lineRule="auto"/>
            </w:pPr>
            <w:r>
              <w:rPr>
                <w:b w:val="0"/>
                <w:sz w:val="20"/>
              </w:rPr>
              <w:t>按预先选定样本保留，不只挑好看的图</w:t>
            </w:r>
          </w:p>
        </w:tc>
      </w:tr>
    </w:tbl>
    <w:p>
      <w:pPr>
        <w:spacing w:after="20"/>
      </w:pPr>
    </w:p>
    <w:p>
      <w:r>
        <w:rPr>
          <w:b w:val="0"/>
        </w:rPr>
        <w:t>工程比较至少统一输入、画布、预算定义、设备与计时方式。若旧版“1000 次尝试”与新版每次候选数量不同，不能称为相同计算量；应同时报告候选评估数、实际输出笔数和时间，必要时补充等时间比较。固定种子以复现，涉及随机性的版本用多个种子报告波动。</w:t>
      </w:r>
    </w:p>
    <w:p>
      <w:r>
        <w:rPr>
          <w:b w:val="0"/>
        </w:rPr>
        <w:t>消融建议优先选择少数可解释模块，例如曲线路径、可变宽度、色彩概括或局部优先续绘，逐次关闭其中一个观察变化。MSE 或 SSIM 只能解释重建保真，不能单独证明绘画感和创意。视觉自然性、协调性与用户表达应分别评价。</w:t>
      </w:r>
    </w:p>
    <w:p>
      <w:r>
        <w:rPr>
          <w:b w:val="0"/>
        </w:rPr>
        <w:t>所有正式图注明输入来源、算法版本、参数、预算和局部放大位置。当前工程截图可用于讨论原型现状，不能包装为真人实验作品或已经完成的算法科学验证。</w:t>
      </w:r>
    </w:p>
    <w:p>
      <w:pPr>
        <w:pStyle w:val="Heading1"/>
        <w:pageBreakBefore/>
      </w:pPr>
      <w:r>
        <w:t>界面改版与星月叙事的后续设计</w:t>
      </w:r>
    </w:p>
    <w:p>
      <w:r>
        <w:rPr>
          <w:b w:val="0"/>
        </w:rPr>
        <w:t>案例研究按任务组织：进入与新建、画布导航、选择笔刷和颜色、素材操作、纠错、暂停与续绘、保存与回看。为 Procreate、画世界和 Feather 各记录平台、版本、访问日期及官方材料，再做同一任务的操作走查。[11—13]</w:t>
      </w:r>
    </w:p>
    <w:p>
      <w:r>
        <w:rPr>
          <w:b w:val="0"/>
        </w:rPr>
        <w:t>借鉴方式是提炼原则并适配，而不是复制截图。Procreate 可重点研究画布与工具分区及画廊，Feather 可研究情境工具和界面收纳；画世界目前核对到官方应用描述，完整手册与具体交互仍需后续核验。最终论文展示本项目的设计决策及迭代证据。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392"/>
        <w:gridCol w:w="4018"/>
      </w:tblGrid>
      <w:tr>
        <w:trPr>
          <w:cantSplit/>
          <w:tblHeader/>
        </w:trPr>
        <w:tc>
          <w:tcPr>
            <w:tcW w:type="dxa" w:w="1584"/>
            <w:vAlign w:val="center"/>
            <w:tcMar>
              <w:top w:w="85" w:type="dxa"/>
              <w:left w:w="85" w:type="dxa"/>
              <w:bottom w:w="85" w:type="dxa"/>
              <w:right w:w="85" w:type="dxa"/>
            </w:tcMar>
            <w:shd w:fill="E8EEF5"/>
          </w:tcPr>
          <w:p>
            <w:pPr>
              <w:spacing w:after="40" w:before="40" w:line="269" w:lineRule="auto"/>
            </w:pPr>
            <w:r>
              <w:rPr>
                <w:b/>
                <w:sz w:val="20"/>
              </w:rPr>
              <w:t>设计对象</w:t>
            </w:r>
          </w:p>
        </w:tc>
        <w:tc>
          <w:tcPr>
            <w:tcW w:type="dxa" w:w="4392"/>
            <w:vAlign w:val="center"/>
            <w:tcMar>
              <w:top w:w="85" w:type="dxa"/>
              <w:left w:w="85" w:type="dxa"/>
              <w:bottom w:w="85" w:type="dxa"/>
              <w:right w:w="85" w:type="dxa"/>
            </w:tcMar>
            <w:shd w:fill="E8EEF5"/>
          </w:tcPr>
          <w:p>
            <w:pPr>
              <w:spacing w:after="40" w:before="40" w:line="269" w:lineRule="auto"/>
            </w:pPr>
            <w:r>
              <w:rPr>
                <w:b/>
                <w:sz w:val="20"/>
              </w:rPr>
              <w:t>应形成的具体说明</w:t>
            </w:r>
          </w:p>
        </w:tc>
        <w:tc>
          <w:tcPr>
            <w:tcW w:type="dxa" w:w="4018"/>
            <w:vAlign w:val="center"/>
            <w:tcMar>
              <w:top w:w="85" w:type="dxa"/>
              <w:left w:w="85" w:type="dxa"/>
              <w:bottom w:w="85" w:type="dxa"/>
              <w:right w:w="85" w:type="dxa"/>
            </w:tcMar>
            <w:shd w:fill="E8EEF5"/>
          </w:tcPr>
          <w:p>
            <w:pPr>
              <w:spacing w:after="40" w:before="40" w:line="269" w:lineRule="auto"/>
            </w:pPr>
            <w:r>
              <w:rPr>
                <w:b/>
                <w:sz w:val="20"/>
              </w:rPr>
              <w:t>避免的误写</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完整画布</w:t>
            </w:r>
          </w:p>
        </w:tc>
        <w:tc>
          <w:tcPr>
            <w:tcW w:type="dxa" w:w="4392"/>
            <w:vAlign w:val="center"/>
            <w:tcMar>
              <w:top w:w="85" w:type="dxa"/>
              <w:left w:w="85" w:type="dxa"/>
              <w:bottom w:w="85" w:type="dxa"/>
              <w:right w:w="85" w:type="dxa"/>
            </w:tcMar>
          </w:tcPr>
          <w:p>
            <w:pPr>
              <w:spacing w:after="40" w:before="40" w:line="269" w:lineRule="auto"/>
            </w:pPr>
            <w:r>
              <w:rPr>
                <w:b w:val="0"/>
                <w:sz w:val="20"/>
              </w:rPr>
              <w:t>入口、尺寸、导航、工具、状态、保存与恢复能力</w:t>
            </w:r>
          </w:p>
        </w:tc>
        <w:tc>
          <w:tcPr>
            <w:tcW w:type="dxa" w:w="4018"/>
            <w:vAlign w:val="center"/>
            <w:tcMar>
              <w:top w:w="85" w:type="dxa"/>
              <w:left w:w="85" w:type="dxa"/>
              <w:bottom w:w="85" w:type="dxa"/>
              <w:right w:w="85" w:type="dxa"/>
            </w:tcMar>
          </w:tcPr>
          <w:p>
            <w:pPr>
              <w:spacing w:after="40" w:before="40" w:line="269" w:lineRule="auto"/>
            </w:pPr>
            <w:r>
              <w:rPr>
                <w:b w:val="0"/>
                <w:sz w:val="20"/>
              </w:rPr>
              <w:t>不把成品导出等同于工程继续编辑</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画笔动画</w:t>
            </w:r>
          </w:p>
        </w:tc>
        <w:tc>
          <w:tcPr>
            <w:tcW w:type="dxa" w:w="4392"/>
            <w:vAlign w:val="center"/>
            <w:tcMar>
              <w:top w:w="85" w:type="dxa"/>
              <w:left w:w="85" w:type="dxa"/>
              <w:bottom w:w="85" w:type="dxa"/>
              <w:right w:w="85" w:type="dxa"/>
            </w:tcMar>
          </w:tcPr>
          <w:p>
            <w:pPr>
              <w:spacing w:after="40" w:before="40" w:line="269" w:lineRule="auto"/>
            </w:pPr>
            <w:r>
              <w:rPr>
                <w:b w:val="0"/>
                <w:sz w:val="20"/>
              </w:rPr>
              <w:t>路径运动、笔迹增长、抬落笔、暂停位置、速度</w:t>
            </w:r>
          </w:p>
        </w:tc>
        <w:tc>
          <w:tcPr>
            <w:tcW w:type="dxa" w:w="4018"/>
            <w:vAlign w:val="center"/>
            <w:tcMar>
              <w:top w:w="85" w:type="dxa"/>
              <w:left w:w="85" w:type="dxa"/>
              <w:bottom w:w="85" w:type="dxa"/>
              <w:right w:w="85" w:type="dxa"/>
            </w:tcMar>
          </w:tcPr>
          <w:p>
            <w:pPr>
              <w:spacing w:after="40" w:before="40" w:line="269" w:lineRule="auto"/>
            </w:pPr>
            <w:r>
              <w:rPr>
                <w:b w:val="0"/>
                <w:sz w:val="20"/>
              </w:rPr>
              <w:t>不把整笔逐次显示描述成已实现路径动画</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月亮角色</w:t>
            </w:r>
          </w:p>
        </w:tc>
        <w:tc>
          <w:tcPr>
            <w:tcW w:type="dxa" w:w="4392"/>
            <w:vAlign w:val="center"/>
            <w:tcMar>
              <w:top w:w="85" w:type="dxa"/>
              <w:left w:w="85" w:type="dxa"/>
              <w:bottom w:w="85" w:type="dxa"/>
              <w:right w:w="85" w:type="dxa"/>
            </w:tcMar>
          </w:tcPr>
          <w:p>
            <w:pPr>
              <w:spacing w:after="40" w:before="40" w:line="269" w:lineRule="auto"/>
            </w:pPr>
            <w:r>
              <w:rPr>
                <w:b w:val="0"/>
                <w:sz w:val="20"/>
              </w:rPr>
              <w:t>准备、执行、暂停和故障的状态及语气</w:t>
            </w:r>
          </w:p>
        </w:tc>
        <w:tc>
          <w:tcPr>
            <w:tcW w:type="dxa" w:w="4018"/>
            <w:vAlign w:val="center"/>
            <w:tcMar>
              <w:top w:w="85" w:type="dxa"/>
              <w:left w:w="85" w:type="dxa"/>
              <w:bottom w:w="85" w:type="dxa"/>
              <w:right w:w="85" w:type="dxa"/>
            </w:tcMar>
          </w:tcPr>
          <w:p>
            <w:pPr>
              <w:spacing w:after="40" w:before="40" w:line="269" w:lineRule="auto"/>
            </w:pPr>
            <w:r>
              <w:rPr>
                <w:b w:val="0"/>
                <w:sz w:val="20"/>
              </w:rPr>
              <w:t>不暗示系统理解语义或具有情感</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星星角色</w:t>
            </w:r>
          </w:p>
        </w:tc>
        <w:tc>
          <w:tcPr>
            <w:tcW w:type="dxa" w:w="4392"/>
            <w:vAlign w:val="center"/>
            <w:tcMar>
              <w:top w:w="85" w:type="dxa"/>
              <w:left w:w="85" w:type="dxa"/>
              <w:bottom w:w="85" w:type="dxa"/>
              <w:right w:w="85" w:type="dxa"/>
            </w:tcMar>
          </w:tcPr>
          <w:p>
            <w:pPr>
              <w:spacing w:after="40" w:before="40" w:line="269" w:lineRule="auto"/>
            </w:pPr>
            <w:r>
              <w:rPr>
                <w:b w:val="0"/>
                <w:sz w:val="20"/>
              </w:rPr>
              <w:t>用户决定、署名、作品积累与回看</w:t>
            </w:r>
          </w:p>
        </w:tc>
        <w:tc>
          <w:tcPr>
            <w:tcW w:type="dxa" w:w="4018"/>
            <w:vAlign w:val="center"/>
            <w:tcMar>
              <w:top w:w="85" w:type="dxa"/>
              <w:left w:w="85" w:type="dxa"/>
              <w:bottom w:w="85" w:type="dxa"/>
              <w:right w:w="85" w:type="dxa"/>
            </w:tcMar>
          </w:tcPr>
          <w:p>
            <w:pPr>
              <w:spacing w:after="40" w:before="40" w:line="269" w:lineRule="auto"/>
            </w:pPr>
            <w:r>
              <w:rPr>
                <w:b w:val="0"/>
                <w:sz w:val="20"/>
              </w:rPr>
              <w:t>不以作品笔数或等级替代用户创作价值</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夜空叙事</w:t>
            </w:r>
          </w:p>
        </w:tc>
        <w:tc>
          <w:tcPr>
            <w:tcW w:type="dxa" w:w="4392"/>
            <w:vAlign w:val="center"/>
            <w:tcMar>
              <w:top w:w="85" w:type="dxa"/>
              <w:left w:w="85" w:type="dxa"/>
              <w:bottom w:w="85" w:type="dxa"/>
              <w:right w:w="85" w:type="dxa"/>
            </w:tcMar>
          </w:tcPr>
          <w:p>
            <w:pPr>
              <w:spacing w:after="40" w:before="40" w:line="269" w:lineRule="auto"/>
            </w:pPr>
            <w:r>
              <w:rPr>
                <w:b w:val="0"/>
                <w:sz w:val="20"/>
              </w:rPr>
              <w:t>连接入口、画布、画廊的视觉与语言一致性</w:t>
            </w:r>
          </w:p>
        </w:tc>
        <w:tc>
          <w:tcPr>
            <w:tcW w:type="dxa" w:w="4018"/>
            <w:vAlign w:val="center"/>
            <w:tcMar>
              <w:top w:w="85" w:type="dxa"/>
              <w:left w:w="85" w:type="dxa"/>
              <w:bottom w:w="85" w:type="dxa"/>
              <w:right w:w="85" w:type="dxa"/>
            </w:tcMar>
          </w:tcPr>
          <w:p>
            <w:pPr>
              <w:spacing w:after="40" w:before="40" w:line="269" w:lineRule="auto"/>
            </w:pPr>
            <w:r>
              <w:rPr>
                <w:b w:val="0"/>
                <w:sz w:val="20"/>
              </w:rPr>
              <w:t>不限制用户必须画星月题材</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帮助与容错</w:t>
            </w:r>
          </w:p>
        </w:tc>
        <w:tc>
          <w:tcPr>
            <w:tcW w:type="dxa" w:w="4392"/>
            <w:vAlign w:val="center"/>
            <w:tcMar>
              <w:top w:w="85" w:type="dxa"/>
              <w:left w:w="85" w:type="dxa"/>
              <w:bottom w:w="85" w:type="dxa"/>
              <w:right w:w="85" w:type="dxa"/>
            </w:tcMar>
          </w:tcPr>
          <w:p>
            <w:pPr>
              <w:spacing w:after="40" w:before="40" w:line="269" w:lineRule="auto"/>
            </w:pPr>
            <w:r>
              <w:rPr>
                <w:b w:val="0"/>
                <w:sz w:val="20"/>
              </w:rPr>
              <w:t>明确预览、确认、取消、重试及不可撤销边界</w:t>
            </w:r>
          </w:p>
        </w:tc>
        <w:tc>
          <w:tcPr>
            <w:tcW w:type="dxa" w:w="4018"/>
            <w:vAlign w:val="center"/>
            <w:tcMar>
              <w:top w:w="85" w:type="dxa"/>
              <w:left w:w="85" w:type="dxa"/>
              <w:bottom w:w="85" w:type="dxa"/>
              <w:right w:w="85" w:type="dxa"/>
            </w:tcMar>
          </w:tcPr>
          <w:p>
            <w:pPr>
              <w:spacing w:after="40" w:before="40" w:line="269" w:lineRule="auto"/>
            </w:pPr>
            <w:r>
              <w:rPr>
                <w:b w:val="0"/>
                <w:sz w:val="20"/>
              </w:rPr>
              <w:t>不在缺少撤回能力时宣称完整可逆性</w:t>
            </w:r>
          </w:p>
        </w:tc>
      </w:tr>
    </w:tbl>
    <w:p>
      <w:pPr>
        <w:spacing w:after="20"/>
      </w:pPr>
    </w:p>
    <w:p>
      <w:r>
        <w:rPr>
          <w:b w:val="0"/>
        </w:rPr>
        <w:t>叙事概念可以写为：月亮代表在创作途中提供支持的系统，星星代表以个人选择参与画面形成的用户，画廊保留共同形成的作品。这个概念需要通过状态、行为和署名落实；形象本身不是学术创新证明。</w:t>
      </w:r>
    </w:p>
    <w:p>
      <w:r>
        <w:rPr>
          <w:b w:val="0"/>
        </w:rPr>
        <w:t>当前“确认后不可撤销”与鼓励尝试之间存在张力。后续应研究用户是否因此不敢探索，再决定是否引入确认前更充分的预览或可恢复机制。本蓝图不擅自改变现有规则，也不将未来改进记为已完成。</w:t>
      </w:r>
    </w:p>
    <w:p>
      <w:pPr>
        <w:pStyle w:val="Heading1"/>
        <w:pageBreakBefore/>
      </w:pPr>
      <w:r>
        <w:t>现有成果与待完成工作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592"/>
        <w:gridCol w:w="4450"/>
      </w:tblGrid>
      <w:tr>
        <w:trPr>
          <w:cantSplit/>
          <w:tblHeader/>
        </w:trPr>
        <w:tc>
          <w:tcPr>
            <w:tcW w:type="dxa" w:w="2952"/>
            <w:vAlign w:val="center"/>
            <w:tcMar>
              <w:top w:w="85" w:type="dxa"/>
              <w:left w:w="85" w:type="dxa"/>
              <w:bottom w:w="85" w:type="dxa"/>
              <w:right w:w="85" w:type="dxa"/>
            </w:tcMar>
            <w:shd w:fill="E8EEF5"/>
          </w:tcPr>
          <w:p>
            <w:pPr>
              <w:spacing w:after="40" w:before="40" w:line="269" w:lineRule="auto"/>
            </w:pPr>
            <w:r>
              <w:rPr>
                <w:b/>
                <w:sz w:val="20"/>
              </w:rPr>
              <w:t>事项</w:t>
            </w:r>
          </w:p>
        </w:tc>
        <w:tc>
          <w:tcPr>
            <w:tcW w:type="dxa" w:w="2592"/>
            <w:vAlign w:val="center"/>
            <w:tcMar>
              <w:top w:w="85" w:type="dxa"/>
              <w:left w:w="85" w:type="dxa"/>
              <w:bottom w:w="85" w:type="dxa"/>
              <w:right w:w="85" w:type="dxa"/>
            </w:tcMar>
            <w:shd w:fill="E8EEF5"/>
          </w:tcPr>
          <w:p>
            <w:pPr>
              <w:spacing w:after="40" w:before="40" w:line="269" w:lineRule="auto"/>
            </w:pPr>
            <w:r>
              <w:rPr>
                <w:b/>
                <w:sz w:val="20"/>
              </w:rPr>
              <w:t>截至本次规划的状态</w:t>
            </w:r>
          </w:p>
        </w:tc>
        <w:tc>
          <w:tcPr>
            <w:tcW w:type="dxa" w:w="4450"/>
            <w:vAlign w:val="center"/>
            <w:tcMar>
              <w:top w:w="85" w:type="dxa"/>
              <w:left w:w="85" w:type="dxa"/>
              <w:bottom w:w="85" w:type="dxa"/>
              <w:right w:w="85" w:type="dxa"/>
            </w:tcMar>
            <w:shd w:fill="E8EEF5"/>
          </w:tcPr>
          <w:p>
            <w:pPr>
              <w:spacing w:after="40" w:before="40" w:line="269" w:lineRule="auto"/>
            </w:pPr>
            <w:r>
              <w:rPr>
                <w:b/>
                <w:sz w:val="20"/>
              </w:rPr>
              <w:t>写入论文的方式</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自由画布、共创入口、保存与画廊</w:t>
            </w:r>
          </w:p>
        </w:tc>
        <w:tc>
          <w:tcPr>
            <w:tcW w:type="dxa" w:w="2592"/>
            <w:vAlign w:val="center"/>
            <w:tcMar>
              <w:top w:w="85" w:type="dxa"/>
              <w:left w:w="85" w:type="dxa"/>
              <w:bottom w:w="85" w:type="dxa"/>
              <w:right w:w="85" w:type="dxa"/>
            </w:tcMar>
          </w:tcPr>
          <w:p>
            <w:pPr>
              <w:spacing w:after="40" w:before="40" w:line="269" w:lineRule="auto"/>
            </w:pPr>
            <w:r>
              <w:rPr>
                <w:b w:val="0"/>
                <w:sz w:val="20"/>
              </w:rPr>
              <w:t>已有本地原型</w:t>
            </w:r>
          </w:p>
        </w:tc>
        <w:tc>
          <w:tcPr>
            <w:tcW w:type="dxa" w:w="4450"/>
            <w:vAlign w:val="center"/>
            <w:tcMar>
              <w:top w:w="85" w:type="dxa"/>
              <w:left w:w="85" w:type="dxa"/>
              <w:bottom w:w="85" w:type="dxa"/>
              <w:right w:w="85" w:type="dxa"/>
            </w:tcMar>
          </w:tcPr>
          <w:p>
            <w:pPr>
              <w:spacing w:after="40" w:before="40" w:line="269" w:lineRule="auto"/>
            </w:pPr>
            <w:r>
              <w:rPr>
                <w:b w:val="0"/>
                <w:sz w:val="20"/>
              </w:rPr>
              <w:t>可写设计现状，最终稿替换为冻结版</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素材预览、确认、续绘与形态变化</w:t>
            </w:r>
          </w:p>
        </w:tc>
        <w:tc>
          <w:tcPr>
            <w:tcW w:type="dxa" w:w="2592"/>
            <w:vAlign w:val="center"/>
            <w:tcMar>
              <w:top w:w="85" w:type="dxa"/>
              <w:left w:w="85" w:type="dxa"/>
              <w:bottom w:w="85" w:type="dxa"/>
              <w:right w:w="85" w:type="dxa"/>
            </w:tcMar>
          </w:tcPr>
          <w:p>
            <w:pPr>
              <w:spacing w:after="40" w:before="40" w:line="269" w:lineRule="auto"/>
            </w:pPr>
            <w:r>
              <w:rPr>
                <w:b w:val="0"/>
                <w:sz w:val="20"/>
              </w:rPr>
              <w:t>已有本地实现</w:t>
            </w:r>
          </w:p>
        </w:tc>
        <w:tc>
          <w:tcPr>
            <w:tcW w:type="dxa" w:w="4450"/>
            <w:vAlign w:val="center"/>
            <w:tcMar>
              <w:top w:w="85" w:type="dxa"/>
              <w:left w:w="85" w:type="dxa"/>
              <w:bottom w:w="85" w:type="dxa"/>
              <w:right w:w="85" w:type="dxa"/>
            </w:tcMar>
          </w:tcPr>
          <w:p>
            <w:pPr>
              <w:spacing w:after="40" w:before="40" w:line="269" w:lineRule="auto"/>
            </w:pPr>
            <w:r>
              <w:rPr>
                <w:b w:val="0"/>
                <w:sz w:val="20"/>
              </w:rPr>
              <w:t>说明规则、流程与限制，不预设体验有效</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曲线路径、变宽、色彩概括和局部续绘</w:t>
            </w:r>
          </w:p>
        </w:tc>
        <w:tc>
          <w:tcPr>
            <w:tcW w:type="dxa" w:w="2592"/>
            <w:vAlign w:val="center"/>
            <w:tcMar>
              <w:top w:w="85" w:type="dxa"/>
              <w:left w:w="85" w:type="dxa"/>
              <w:bottom w:w="85" w:type="dxa"/>
              <w:right w:w="85" w:type="dxa"/>
            </w:tcMar>
          </w:tcPr>
          <w:p>
            <w:pPr>
              <w:spacing w:after="40" w:before="40" w:line="269" w:lineRule="auto"/>
            </w:pPr>
            <w:r>
              <w:rPr>
                <w:b w:val="0"/>
                <w:sz w:val="20"/>
              </w:rPr>
              <w:t>已有轻量实现</w:t>
            </w:r>
          </w:p>
        </w:tc>
        <w:tc>
          <w:tcPr>
            <w:tcW w:type="dxa" w:w="4450"/>
            <w:vAlign w:val="center"/>
            <w:tcMar>
              <w:top w:w="85" w:type="dxa"/>
              <w:left w:w="85" w:type="dxa"/>
              <w:bottom w:w="85" w:type="dxa"/>
              <w:right w:w="85" w:type="dxa"/>
            </w:tcMar>
          </w:tcPr>
          <w:p>
            <w:pPr>
              <w:spacing w:after="40" w:before="40" w:line="269" w:lineRule="auto"/>
            </w:pPr>
            <w:r>
              <w:rPr>
                <w:b w:val="0"/>
                <w:sz w:val="20"/>
              </w:rPr>
              <w:t>补公平对照、参数依据与失败案例</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沿路径运动且同步落笔的画笔动画</w:t>
            </w:r>
          </w:p>
        </w:tc>
        <w:tc>
          <w:tcPr>
            <w:tcW w:type="dxa" w:w="2592"/>
            <w:vAlign w:val="center"/>
            <w:tcMar>
              <w:top w:w="85" w:type="dxa"/>
              <w:left w:w="85" w:type="dxa"/>
              <w:bottom w:w="85" w:type="dxa"/>
              <w:right w:w="85" w:type="dxa"/>
            </w:tcMar>
          </w:tcPr>
          <w:p>
            <w:pPr>
              <w:spacing w:after="40" w:before="40" w:line="269" w:lineRule="auto"/>
            </w:pPr>
            <w:r>
              <w:rPr>
                <w:b w:val="0"/>
                <w:sz w:val="20"/>
              </w:rPr>
              <w:t>待设计与实现</w:t>
            </w:r>
          </w:p>
        </w:tc>
        <w:tc>
          <w:tcPr>
            <w:tcW w:type="dxa" w:w="4450"/>
            <w:vAlign w:val="center"/>
            <w:tcMar>
              <w:top w:w="85" w:type="dxa"/>
              <w:left w:w="85" w:type="dxa"/>
              <w:bottom w:w="85" w:type="dxa"/>
              <w:right w:w="85" w:type="dxa"/>
            </w:tcMar>
          </w:tcPr>
          <w:p>
            <w:pPr>
              <w:spacing w:after="40" w:before="40" w:line="269" w:lineRule="auto"/>
            </w:pPr>
            <w:r>
              <w:rPr>
                <w:b w:val="0"/>
                <w:sz w:val="20"/>
              </w:rPr>
              <w:t>作为迭代任务，完成后补关键帧与验证</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参考优秀案例的完整界面改版</w:t>
            </w:r>
          </w:p>
        </w:tc>
        <w:tc>
          <w:tcPr>
            <w:tcW w:type="dxa" w:w="2592"/>
            <w:vAlign w:val="center"/>
            <w:tcMar>
              <w:top w:w="85" w:type="dxa"/>
              <w:left w:w="85" w:type="dxa"/>
              <w:bottom w:w="85" w:type="dxa"/>
              <w:right w:w="85" w:type="dxa"/>
            </w:tcMar>
          </w:tcPr>
          <w:p>
            <w:pPr>
              <w:spacing w:after="40" w:before="40" w:line="269" w:lineRule="auto"/>
            </w:pPr>
            <w:r>
              <w:rPr>
                <w:b w:val="0"/>
                <w:sz w:val="20"/>
              </w:rPr>
              <w:t>待案例走查与原型迭代</w:t>
            </w:r>
          </w:p>
        </w:tc>
        <w:tc>
          <w:tcPr>
            <w:tcW w:type="dxa" w:w="4450"/>
            <w:vAlign w:val="center"/>
            <w:tcMar>
              <w:top w:w="85" w:type="dxa"/>
              <w:left w:w="85" w:type="dxa"/>
              <w:bottom w:w="85" w:type="dxa"/>
              <w:right w:w="85" w:type="dxa"/>
            </w:tcMar>
          </w:tcPr>
          <w:p>
            <w:pPr>
              <w:spacing w:after="40" w:before="40" w:line="269" w:lineRule="auto"/>
            </w:pPr>
            <w:r>
              <w:rPr>
                <w:b w:val="0"/>
                <w:sz w:val="20"/>
              </w:rPr>
              <w:t>保留修改前后及真实依据</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星星用户形象与完整星月 IP 规范</w:t>
            </w:r>
          </w:p>
        </w:tc>
        <w:tc>
          <w:tcPr>
            <w:tcW w:type="dxa" w:w="2592"/>
            <w:vAlign w:val="center"/>
            <w:tcMar>
              <w:top w:w="85" w:type="dxa"/>
              <w:left w:w="85" w:type="dxa"/>
              <w:bottom w:w="85" w:type="dxa"/>
              <w:right w:w="85" w:type="dxa"/>
            </w:tcMar>
          </w:tcPr>
          <w:p>
            <w:pPr>
              <w:spacing w:after="40" w:before="40" w:line="269" w:lineRule="auto"/>
            </w:pPr>
            <w:r>
              <w:rPr>
                <w:b w:val="0"/>
                <w:sz w:val="20"/>
              </w:rPr>
              <w:t>概念已明确，系统规范待完成</w:t>
            </w:r>
          </w:p>
        </w:tc>
        <w:tc>
          <w:tcPr>
            <w:tcW w:type="dxa" w:w="4450"/>
            <w:vAlign w:val="center"/>
            <w:tcMar>
              <w:top w:w="85" w:type="dxa"/>
              <w:left w:w="85" w:type="dxa"/>
              <w:bottom w:w="85" w:type="dxa"/>
              <w:right w:w="85" w:type="dxa"/>
            </w:tcMar>
          </w:tcPr>
          <w:p>
            <w:pPr>
              <w:spacing w:after="40" w:before="40" w:line="269" w:lineRule="auto"/>
            </w:pPr>
            <w:r>
              <w:rPr>
                <w:b w:val="0"/>
                <w:sz w:val="20"/>
              </w:rPr>
              <w:t>补造型、状态、应用和理解评价</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方案一的统一四条件原型</w:t>
            </w:r>
          </w:p>
        </w:tc>
        <w:tc>
          <w:tcPr>
            <w:tcW w:type="dxa" w:w="2592"/>
            <w:vAlign w:val="center"/>
            <w:tcMar>
              <w:top w:w="85" w:type="dxa"/>
              <w:left w:w="85" w:type="dxa"/>
              <w:bottom w:w="85" w:type="dxa"/>
              <w:right w:w="85" w:type="dxa"/>
            </w:tcMar>
          </w:tcPr>
          <w:p>
            <w:pPr>
              <w:spacing w:after="40" w:before="40" w:line="269" w:lineRule="auto"/>
            </w:pPr>
            <w:r>
              <w:rPr>
                <w:b w:val="0"/>
                <w:sz w:val="20"/>
              </w:rPr>
              <w:t>待实现与预试</w:t>
            </w:r>
          </w:p>
        </w:tc>
        <w:tc>
          <w:tcPr>
            <w:tcW w:type="dxa" w:w="4450"/>
            <w:vAlign w:val="center"/>
            <w:tcMar>
              <w:top w:w="85" w:type="dxa"/>
              <w:left w:w="85" w:type="dxa"/>
              <w:bottom w:w="85" w:type="dxa"/>
              <w:right w:w="85" w:type="dxa"/>
            </w:tcMar>
          </w:tcPr>
          <w:p>
            <w:pPr>
              <w:spacing w:after="40" w:before="40" w:line="269" w:lineRule="auto"/>
            </w:pPr>
            <w:r>
              <w:rPr>
                <w:b w:val="0"/>
                <w:sz w:val="20"/>
              </w:rPr>
              <w:t>不得把现有两种页面等同为四条件</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用户需求研究与正式实验结果</w:t>
            </w:r>
          </w:p>
        </w:tc>
        <w:tc>
          <w:tcPr>
            <w:tcW w:type="dxa" w:w="2592"/>
            <w:vAlign w:val="center"/>
            <w:tcMar>
              <w:top w:w="85" w:type="dxa"/>
              <w:left w:w="85" w:type="dxa"/>
              <w:bottom w:w="85" w:type="dxa"/>
              <w:right w:w="85" w:type="dxa"/>
            </w:tcMar>
          </w:tcPr>
          <w:p>
            <w:pPr>
              <w:spacing w:after="40" w:before="40" w:line="269" w:lineRule="auto"/>
            </w:pPr>
            <w:r>
              <w:rPr>
                <w:b w:val="0"/>
                <w:sz w:val="20"/>
              </w:rPr>
              <w:t>本次未提供可核验的新研究数据</w:t>
            </w:r>
          </w:p>
        </w:tc>
        <w:tc>
          <w:tcPr>
            <w:tcW w:type="dxa" w:w="4450"/>
            <w:vAlign w:val="center"/>
            <w:tcMar>
              <w:top w:w="85" w:type="dxa"/>
              <w:left w:w="85" w:type="dxa"/>
              <w:bottom w:w="85" w:type="dxa"/>
              <w:right w:w="85" w:type="dxa"/>
            </w:tcMar>
          </w:tcPr>
          <w:p>
            <w:pPr>
              <w:spacing w:after="40" w:before="40" w:line="269" w:lineRule="auto"/>
            </w:pPr>
            <w:r>
              <w:rPr>
                <w:b w:val="0"/>
                <w:sz w:val="20"/>
              </w:rPr>
              <w:t>按实际实施补齐，不虚构原话或结果</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旧实验后台与历史协议</w:t>
            </w:r>
          </w:p>
        </w:tc>
        <w:tc>
          <w:tcPr>
            <w:tcW w:type="dxa" w:w="2592"/>
            <w:vAlign w:val="center"/>
            <w:tcMar>
              <w:top w:w="85" w:type="dxa"/>
              <w:left w:w="85" w:type="dxa"/>
              <w:bottom w:w="85" w:type="dxa"/>
              <w:right w:w="85" w:type="dxa"/>
            </w:tcMar>
          </w:tcPr>
          <w:p>
            <w:pPr>
              <w:spacing w:after="40" w:before="40" w:line="269" w:lineRule="auto"/>
            </w:pPr>
            <w:r>
              <w:rPr>
                <w:b w:val="0"/>
                <w:sz w:val="20"/>
              </w:rPr>
              <w:t>已有，尚非新共创实验</w:t>
            </w:r>
          </w:p>
        </w:tc>
        <w:tc>
          <w:tcPr>
            <w:tcW w:type="dxa" w:w="4450"/>
            <w:vAlign w:val="center"/>
            <w:tcMar>
              <w:top w:w="85" w:type="dxa"/>
              <w:left w:w="85" w:type="dxa"/>
              <w:bottom w:w="85" w:type="dxa"/>
              <w:right w:w="85" w:type="dxa"/>
            </w:tcMar>
          </w:tcPr>
          <w:p>
            <w:pPr>
              <w:spacing w:after="40" w:before="40" w:line="269" w:lineRule="auto"/>
            </w:pPr>
            <w:r>
              <w:rPr>
                <w:b w:val="0"/>
                <w:sz w:val="20"/>
              </w:rPr>
              <w:t>保持历史身份，新协议与数据版本分开</w:t>
            </w:r>
          </w:p>
        </w:tc>
      </w:tr>
    </w:tbl>
    <w:p>
      <w:pPr>
        <w:spacing w:after="20"/>
      </w:pPr>
    </w:p>
    <w:p>
      <w:pPr>
        <w:pStyle w:val="Heading2"/>
      </w:pPr>
      <w:r>
        <w:t>资料包与写作推进顺序</w:t>
      </w:r>
    </w:p>
    <w:p>
      <w:r>
        <w:rPr>
          <w:b w:val="0"/>
        </w:rPr>
        <w:t>第一步，完成针对新方向的用户需求研究，同时核对开题和中期材料中的研究范围变更。产出访谈记录、观察片段、需求证据表及案例任务走查。可以立即写第一章的范围与方法，第二章结果必须等真实材料。</w:t>
      </w:r>
    </w:p>
    <w:p>
      <w:r>
        <w:rPr>
          <w:b w:val="0"/>
        </w:rPr>
        <w:t>第二步，依据需求修订理论映射，完成画布、动画及星月角色的交互规格，并记录真实版本。第三章与第四章可以随着设计同步写；旧稿涉及临摹、千笔跟随和六种风格的内容仅保留为历史迭代。</w:t>
      </w:r>
    </w:p>
    <w:p>
      <w:r>
        <w:rPr>
          <w:b w:val="0"/>
        </w:rPr>
        <w:t>第三步，制作四条件实验原型并开展预试。补齐任务、负担控制、量表、评分锚点、盲评和伦理材料。原型改动与预试反馈逐项对应，随后冻结协议和软件版本。</w:t>
      </w:r>
    </w:p>
    <w:p>
      <w:r>
        <w:rPr>
          <w:b w:val="0"/>
        </w:rPr>
        <w:t>第四步，开展正式实验和独立作品评分，按预定方案分析。第五章先写方法，结果、讨论及第六章在获得数据后完成。前四章无需等待正式实验结束，但不得提前写出显著提升等结论。</w:t>
      </w:r>
    </w:p>
    <w:p>
      <w:r>
        <w:rPr>
          <w:b w:val="0"/>
        </w:rPr>
        <w:t>第五步，统一术语、截图、版本号、图表编号和参考文献，进行逐段语言审校。每段尽量围绕一个判断展开，说明证据和设计含义；删除没有具体对象的“赋能”“创新体验”等空泛表述。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02"/>
      </w:tblGrid>
      <w:tr>
        <w:trPr>
          <w:cantSplit/>
          <w:tblHeader/>
        </w:trPr>
        <w:tc>
          <w:tcPr>
            <w:tcW w:type="dxa" w:w="2592"/>
            <w:vAlign w:val="center"/>
            <w:tcMar>
              <w:top w:w="85" w:type="dxa"/>
              <w:left w:w="85" w:type="dxa"/>
              <w:bottom w:w="85" w:type="dxa"/>
              <w:right w:w="85" w:type="dxa"/>
            </w:tcMar>
            <w:shd w:fill="E8EEF5"/>
          </w:tcPr>
          <w:p>
            <w:pPr>
              <w:spacing w:after="40" w:before="40" w:line="269" w:lineRule="auto"/>
            </w:pPr>
            <w:r>
              <w:rPr>
                <w:b/>
                <w:sz w:val="20"/>
              </w:rPr>
              <w:t>附录建议</w:t>
            </w:r>
          </w:p>
        </w:tc>
        <w:tc>
          <w:tcPr>
            <w:tcW w:type="dxa" w:w="7402"/>
            <w:vAlign w:val="center"/>
            <w:tcMar>
              <w:top w:w="85" w:type="dxa"/>
              <w:left w:w="85" w:type="dxa"/>
              <w:bottom w:w="85" w:type="dxa"/>
              <w:right w:w="85" w:type="dxa"/>
            </w:tcMar>
            <w:shd w:fill="E8EEF5"/>
          </w:tcPr>
          <w:p>
            <w:pPr>
              <w:spacing w:after="40" w:before="40" w:line="269" w:lineRule="auto"/>
            </w:pPr>
            <w:r>
              <w:rPr>
                <w:b/>
                <w:sz w:val="20"/>
              </w:rPr>
              <w:t>内容</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A 用户研究材料</w:t>
            </w:r>
          </w:p>
        </w:tc>
        <w:tc>
          <w:tcPr>
            <w:tcW w:type="dxa" w:w="7402"/>
            <w:vAlign w:val="center"/>
            <w:tcMar>
              <w:top w:w="85" w:type="dxa"/>
              <w:left w:w="85" w:type="dxa"/>
              <w:bottom w:w="85" w:type="dxa"/>
              <w:right w:w="85" w:type="dxa"/>
            </w:tcMar>
          </w:tcPr>
          <w:p>
            <w:pPr>
              <w:spacing w:after="40" w:before="40" w:line="269" w:lineRule="auto"/>
            </w:pPr>
            <w:r>
              <w:rPr>
                <w:b w:val="0"/>
                <w:sz w:val="20"/>
              </w:rPr>
              <w:t>招募标准、访谈提纲、任务观察表及匿名编码示例</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B 设计规格</w:t>
            </w:r>
          </w:p>
        </w:tc>
        <w:tc>
          <w:tcPr>
            <w:tcW w:type="dxa" w:w="7402"/>
            <w:vAlign w:val="center"/>
            <w:tcMar>
              <w:top w:w="85" w:type="dxa"/>
              <w:left w:w="85" w:type="dxa"/>
              <w:bottom w:w="85" w:type="dxa"/>
              <w:right w:w="85" w:type="dxa"/>
            </w:tcMar>
          </w:tcPr>
          <w:p>
            <w:pPr>
              <w:spacing w:after="40" w:before="40" w:line="269" w:lineRule="auto"/>
            </w:pPr>
            <w:r>
              <w:rPr>
                <w:b w:val="0"/>
                <w:sz w:val="20"/>
              </w:rPr>
              <w:t>四条件功能矩阵、状态表、交互映射、星月角色状态规范</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C 实验材料</w:t>
            </w:r>
          </w:p>
        </w:tc>
        <w:tc>
          <w:tcPr>
            <w:tcW w:type="dxa" w:w="7402"/>
            <w:vAlign w:val="center"/>
            <w:tcMar>
              <w:top w:w="85" w:type="dxa"/>
              <w:left w:w="85" w:type="dxa"/>
              <w:bottom w:w="85" w:type="dxa"/>
              <w:right w:w="85" w:type="dxa"/>
            </w:tcMar>
          </w:tcPr>
          <w:p>
            <w:pPr>
              <w:spacing w:after="40" w:before="40" w:line="269" w:lineRule="auto"/>
            </w:pPr>
            <w:r>
              <w:rPr>
                <w:b w:val="0"/>
                <w:sz w:val="20"/>
              </w:rPr>
              <w:t>知情同意、平行任务、指导语、练习与顺序分配</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D 测量与评分</w:t>
            </w:r>
          </w:p>
        </w:tc>
        <w:tc>
          <w:tcPr>
            <w:tcW w:type="dxa" w:w="7402"/>
            <w:vAlign w:val="center"/>
            <w:tcMar>
              <w:top w:w="85" w:type="dxa"/>
              <w:left w:w="85" w:type="dxa"/>
              <w:bottom w:w="85" w:type="dxa"/>
              <w:right w:w="85" w:type="dxa"/>
            </w:tcMar>
          </w:tcPr>
          <w:p>
            <w:pPr>
              <w:spacing w:after="40" w:before="40" w:line="269" w:lineRule="auto"/>
            </w:pPr>
            <w:r>
              <w:rPr>
                <w:b w:val="0"/>
                <w:sz w:val="20"/>
              </w:rPr>
              <w:t>有来源和适配说明的量表、计分规则、评分细则与训练说明</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E 可复现资料</w:t>
            </w:r>
          </w:p>
        </w:tc>
        <w:tc>
          <w:tcPr>
            <w:tcW w:type="dxa" w:w="7402"/>
            <w:vAlign w:val="center"/>
            <w:tcMar>
              <w:top w:w="85" w:type="dxa"/>
              <w:left w:w="85" w:type="dxa"/>
              <w:bottom w:w="85" w:type="dxa"/>
              <w:right w:w="85" w:type="dxa"/>
            </w:tcMar>
          </w:tcPr>
          <w:p>
            <w:pPr>
              <w:spacing w:after="40" w:before="40" w:line="269" w:lineRule="auto"/>
            </w:pPr>
            <w:r>
              <w:rPr>
                <w:b w:val="0"/>
                <w:sz w:val="20"/>
              </w:rPr>
              <w:t>冻结版本、算法参数、事件字段、分析代码与数据说明</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F 补充作品与迭代</w:t>
            </w:r>
          </w:p>
        </w:tc>
        <w:tc>
          <w:tcPr>
            <w:tcW w:type="dxa" w:w="7402"/>
            <w:vAlign w:val="center"/>
            <w:tcMar>
              <w:top w:w="85" w:type="dxa"/>
              <w:left w:w="85" w:type="dxa"/>
              <w:bottom w:w="85" w:type="dxa"/>
              <w:right w:w="85" w:type="dxa"/>
            </w:tcMar>
          </w:tcPr>
          <w:p>
            <w:pPr>
              <w:spacing w:after="40" w:before="40" w:line="269" w:lineRule="auto"/>
            </w:pPr>
            <w:r>
              <w:rPr>
                <w:b w:val="0"/>
                <w:sz w:val="20"/>
              </w:rPr>
              <w:t>完整对照样本、失败案例、许可展示的匿名作品及界面演进</w:t>
            </w:r>
          </w:p>
        </w:tc>
      </w:tr>
    </w:tbl>
    <w:p>
      <w:pPr>
        <w:spacing w:after="20"/>
      </w:pPr>
    </w:p>
    <w:p>
      <w:pPr>
        <w:pStyle w:val="Heading1"/>
        <w:pageBreakBefore/>
      </w:pPr>
      <w:r>
        <w:t>已核对的基础来源</w:t>
      </w:r>
    </w:p>
    <w:p>
      <w:r>
        <w:rPr>
          <w:b w:val="0"/>
        </w:rPr>
        <w:t>以下用于支撑本蓝图的框架、概念及方法，属于起始文献清单，不是论文文献综述的完成稿。正式引用应按学校要求统一著录，并继续补充目标用户、数字艺术表达和相关实证研究。网络资料核对日期为 2026 年 10 月 24 日。</w:t>
      </w:r>
    </w:p>
    <w:p>
      <w:pPr>
        <w:keepNext/>
      </w:pPr>
      <w:r>
        <w:rPr>
          <w:b w:val="0"/>
        </w:rPr>
        <w:t>[1] 陈奕扬. 促进音乐要素理解的增强现实应用交互设计[D]. 上海交通大学, 2023.</w:t>
      </w:r>
    </w:p>
    <w:p>
      <w:r>
        <w:rPr>
          <w:b w:val="0"/>
          <w:sz w:val="18"/>
        </w:rPr>
        <w:t>本地原文：论文/07_参考论文/有实验论文/用户测试/上海交大_促进音乐要素理解的增强现实应用交互设计_陈奕扬.pdf；结构见目录，实验见正文 75—87 页，量表见附录 99—101 页。</w:t>
      </w:r>
    </w:p>
    <w:p>
      <w:pPr>
        <w:keepNext/>
      </w:pPr>
      <w:r>
        <w:rPr>
          <w:b w:val="0"/>
        </w:rPr>
        <w:t>[2] Ryan R M, Deci E L. Self-Determination Theory and the Facilitation of Intrinsic Motivation, Social Development, and Well-Being. American Psychologist, 2000, 55(1): 68—78.</w:t>
      </w:r>
    </w:p>
    <w:p>
      <w:r>
        <w:rPr>
          <w:b w:val="0"/>
          <w:sz w:val="18"/>
        </w:rPr>
        <w:t>https://selfdeterminationtheory.org/SDT/documents/2000_RyanDeci_SDT.pdf</w:t>
      </w:r>
    </w:p>
    <w:p>
      <w:pPr>
        <w:keepNext/>
      </w:pPr>
      <w:r>
        <w:rPr>
          <w:b w:val="0"/>
        </w:rPr>
        <w:t>[3] Schön D A, Wiggins G. Kinds of seeing and their functions in designing. Design Studies, 1992, 13(2): 135—156.</w:t>
      </w:r>
    </w:p>
    <w:p>
      <w:r>
        <w:rPr>
          <w:b w:val="0"/>
          <w:sz w:val="18"/>
        </w:rPr>
        <w:t>https://doi.org/10.1016/0142-694X(92)90268-F；本次核对书目信息及摘要，理论细读还需获取全文。</w:t>
      </w:r>
    </w:p>
    <w:p>
      <w:pPr>
        <w:keepNext/>
      </w:pPr>
      <w:r>
        <w:rPr>
          <w:b w:val="0"/>
        </w:rPr>
        <w:t>[4] Norman D. Design as Communication. 作者官网文章.</w:t>
      </w:r>
    </w:p>
    <w:p>
      <w:r>
        <w:rPr>
          <w:b w:val="0"/>
          <w:sz w:val="18"/>
        </w:rPr>
        <w:t>https://jnd.org/design-as-communication/；概念模型与设计沟通的依据，正式综述可继续查阅 The Design of Everyday Things。</w:t>
      </w:r>
    </w:p>
    <w:p>
      <w:pPr>
        <w:keepNext/>
      </w:pPr>
      <w:r>
        <w:rPr>
          <w:b w:val="0"/>
        </w:rPr>
        <w:t>[5] Shneiderman B. Creativity support tools: accelerating discovery and innovation. Communications of the ACM, 2007, 50(12): 20—32.</w:t>
      </w:r>
    </w:p>
    <w:p>
      <w:r>
        <w:rPr>
          <w:b w:val="0"/>
          <w:sz w:val="18"/>
        </w:rPr>
        <w:t>https://doi.org/10.1145/1323688.1323689</w:t>
      </w:r>
    </w:p>
    <w:p>
      <w:pPr>
        <w:keepNext/>
      </w:pPr>
      <w:r>
        <w:rPr>
          <w:b w:val="0"/>
        </w:rPr>
        <w:t>[6] Hertzmann A. Painterly Rendering with Curved Brush Strokes of Multiple Sizes. SIGGRAPH, 1998: 453—460.</w:t>
      </w:r>
    </w:p>
    <w:p>
      <w:r>
        <w:rPr>
          <w:b w:val="0"/>
          <w:sz w:val="18"/>
        </w:rPr>
        <w:t>https://mrl.cs.nyu.edu/publications/painterly98/；https://doi.org/10.1145/280814.280951</w:t>
      </w:r>
    </w:p>
    <w:p>
      <w:pPr>
        <w:keepNext/>
      </w:pPr>
      <w:r>
        <w:rPr>
          <w:b w:val="0"/>
        </w:rPr>
        <w:t>[7] Center for Self-Determination Theory. Intrinsic Motivation Inventory.</w:t>
      </w:r>
    </w:p>
    <w:p>
      <w:r>
        <w:rPr>
          <w:b w:val="0"/>
          <w:sz w:val="18"/>
        </w:rPr>
        <w:t>https://selfdeterminationtheory.org/intrinsic-motivation-inventory/；https://selfdeterminationtheory.org/wp-content/uploads/2022/02/IMI_Complete.pdf</w:t>
      </w:r>
    </w:p>
    <w:p>
      <w:pPr>
        <w:keepNext/>
      </w:pPr>
      <w:r>
        <w:rPr>
          <w:b w:val="0"/>
        </w:rPr>
        <w:t>[8] Brooke J. SUS A quick and dirty usability scale. 1996. AHRQ 收录版本.</w:t>
      </w:r>
    </w:p>
    <w:p>
      <w:r>
        <w:rPr>
          <w:b w:val="0"/>
          <w:sz w:val="18"/>
        </w:rPr>
        <w:t>https://digital.ahrq.gov/sites/default/files/docs/survey/systemusabilityscale%2528sus%2529_comp%255B1%255D.pdf</w:t>
      </w:r>
    </w:p>
    <w:p>
      <w:pPr>
        <w:keepNext/>
      </w:pPr>
      <w:r>
        <w:rPr>
          <w:b w:val="0"/>
        </w:rPr>
        <w:t>[9] Koo T K, Li M Y. A Guideline of Selecting and Reporting Intraclass Correlation Coefficients for Reliability Research. Journal of Chiropractic Medicine, 2016, 15(2): 155—163.</w:t>
      </w:r>
    </w:p>
    <w:p>
      <w:r>
        <w:rPr>
          <w:b w:val="0"/>
          <w:sz w:val="18"/>
        </w:rPr>
        <w:t>https://pmc.ncbi.nlm.nih.gov/articles/PMC4913118/</w:t>
      </w:r>
    </w:p>
    <w:p>
      <w:pPr>
        <w:keepNext/>
      </w:pPr>
      <w:r>
        <w:rPr>
          <w:b w:val="0"/>
        </w:rPr>
        <w:t>[10] Zimmerman J, Forlizzi J, Evenson S. Research Through Design as a Method for Interaction Design Research in HCI. CHI, 2007: 493—502.</w:t>
      </w:r>
    </w:p>
    <w:p>
      <w:r>
        <w:rPr>
          <w:b w:val="0"/>
          <w:sz w:val="18"/>
        </w:rPr>
        <w:t>https://doi.org/10.1145/1240624.1240704；用于后续研究方法细读。</w:t>
      </w:r>
    </w:p>
    <w:p>
      <w:pPr>
        <w:keepNext/>
      </w:pPr>
      <w:r>
        <w:rPr>
          <w:b w:val="0"/>
        </w:rPr>
        <w:t>[11] Procreate. Handbook Interface.</w:t>
      </w:r>
    </w:p>
    <w:p>
      <w:r>
        <w:rPr>
          <w:b w:val="0"/>
          <w:sz w:val="18"/>
        </w:rPr>
        <w:t>https://help.procreate.com/procreate/handbook/interface-gestures/interface</w:t>
      </w:r>
    </w:p>
    <w:p>
      <w:pPr>
        <w:keepNext/>
      </w:pPr>
      <w:r>
        <w:rPr>
          <w:b w:val="0"/>
        </w:rPr>
        <w:t>[12] Feather. Documentation Interface.</w:t>
      </w:r>
    </w:p>
    <w:p>
      <w:r>
        <w:rPr>
          <w:b w:val="0"/>
          <w:sz w:val="18"/>
        </w:rPr>
        <w:t>https://support.feather.art/docs/interfaceandgestures/interface</w:t>
      </w:r>
    </w:p>
    <w:p>
      <w:pPr>
        <w:keepNext/>
      </w:pPr>
      <w:r>
        <w:rPr>
          <w:b w:val="0"/>
        </w:rPr>
        <w:t>[13] 画世界. 官方 App Store 产品说明.</w:t>
      </w:r>
    </w:p>
    <w:p>
      <w:r>
        <w:rPr>
          <w:b w:val="0"/>
          <w:sz w:val="18"/>
        </w:rPr>
        <w:t>https://apps.apple.com/cn/app/画世界/id1450111327；当前仅作为官方功能说明，不替代具体版本的交互实测与完整使用手册。</w:t>
      </w:r>
    </w:p>
    <w:p>
      <w:pPr>
        <w:keepNext/>
      </w:pPr>
      <w:r>
        <w:rPr>
          <w:b w:val="0"/>
        </w:rPr>
        <w:t>[14] NASA. NASA Task Load Index.</w:t>
      </w:r>
    </w:p>
    <w:p>
      <w:r>
        <w:rPr>
          <w:b w:val="0"/>
          <w:sz w:val="18"/>
        </w:rPr>
        <w:t>https://www.nasa.gov/human-systems-integration-division/nasa-task-load-index-tlx/；作为直接负担测量的可选来源，尚未确定纳入。</w:t>
      </w:r>
    </w:p>
    <w:p>
      <w:pPr>
        <w:keepNext/>
      </w:pPr>
      <w:r>
        <w:rPr>
          <w:b w:val="0"/>
        </w:rPr>
        <w:t>[15] NIST. Experimental Statistics. National Bureau of Standards Handbook 91.</w:t>
      </w:r>
    </w:p>
    <w:p>
      <w:r>
        <w:rPr>
          <w:b w:val="0"/>
          <w:sz w:val="18"/>
        </w:rPr>
        <w:t>https://nvlpubs.nist.gov/nistpubs/Legacy/hb/nbshandbook91.pdf；因子设计、主效应与交互概念。</w:t>
      </w:r>
    </w:p>
    <w:p>
      <w:r>
        <w:rPr>
          <w:b w:val="0"/>
        </w:rPr>
        <w:t>项目现状核查位置：/Users/harrychen/Desktop/startrace/CLAUDE.md、src/components/creation/CoCreationStudio.tsx、src/lib/expressive-painter.ts、src/lib/creative-material.ts 与 src/workers/co-create.worker.ts。它们证明实现状态，不构成用户研究有效性证据。</w:t>
      </w:r>
    </w:p>
    <w:sectPr w:rsidR="00FC693F" w:rsidRPr="0006063C" w:rsidSect="00034616">
      <w:footerReference w:type="default" r:id="rId9"/>
      <w:pgSz w:w="12240" w:h="15840"/>
      <w:pgMar w:top="1037" w:right="1123" w:bottom="1008"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00"/>
    </w:pPr>
    <w:rPr>
      <w:rFonts w:ascii="Source Han Sans SC" w:hAnsi="Source Han Sans SC" w:eastAsia="Source Han Sans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83" w:lineRule="auto"/>
      <w:outlineLvl w:val="0"/>
    </w:pPr>
    <w:rPr>
      <w:rFonts w:cstheme="majorBidi" w:ascii="Source Han Sans SC" w:hAnsi="Source Han Sans SC" w:eastAsia="Source Han Sans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83" w:lineRule="auto"/>
      <w:outlineLvl w:val="1"/>
    </w:pPr>
    <w:rPr>
      <w:rFonts w:cstheme="majorBidi" w:ascii="Source Han Sans SC" w:hAnsi="Source Han Sans SC" w:eastAsia="Source Han Sans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83" w:lineRule="auto"/>
      <w:outlineLvl w:val="2"/>
    </w:pPr>
    <w:rPr>
      <w:rFonts w:cstheme="majorBidi" w:ascii="Source Han Sans SC" w:hAnsi="Source Han Sans SC" w:eastAsia="Source Han Sans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83" w:lineRule="auto"/>
      <w:contextualSpacing/>
    </w:pPr>
    <w:rPr>
      <w:rFonts w:cstheme="majorBidi" w:ascii="Source Han Sans SC" w:hAnsi="Source Han Sans SC" w:eastAsia="Source Han Sans SC"/>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3" w:lineRule="auto" w:after="100"/>
    </w:pPr>
    <w:rPr>
      <w:rFonts w:cstheme="majorBidi" w:ascii="Source Han Sans SC" w:hAnsi="Source Han Sans SC" w:eastAsia="Source Han Sans S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星迹智绘硕士论文写作蓝图</dc:title>
  <dc:subject>45000 字目录与内容规划及方案一实验安排</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