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6"/>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4"/>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10"/>
          <w:rFonts w:eastAsia="仿宋_GB2312"/>
          <w:sz w:val="24"/>
        </w:rPr>
        <w:t>数字交大</w:t>
      </w:r>
      <w:r>
        <w:rPr>
          <w:rStyle w:val="11"/>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4"/>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1"/>
          <w:rFonts w:eastAsia="仿宋_GB2312"/>
          <w:sz w:val="24"/>
        </w:rPr>
        <w:t>My SJTU</w:t>
      </w:r>
      <w:r>
        <w:rPr>
          <w:rStyle w:val="11"/>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4"/>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1"/>
      <w:bookmarkStart w:id="1" w:name="OLE_LINK2"/>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r>
        <w:rPr>
          <w:rFonts w:ascii="Times New Roman" w:hAnsi="Times New Roman" w:eastAsia="宋体"/>
          <w:b/>
          <w:sz w:val="24"/>
          <w:lang w:val="zh-CN"/>
        </w:rPr>
        <w:t>本人承诺，中期检查报告正文中文字数</w:t>
      </w:r>
      <w:r>
        <w:rPr>
          <w:rFonts w:ascii="Times New Roman" w:hAnsi="Times New Roman" w:eastAsia="宋体"/>
          <w:b/>
          <w:sz w:val="24"/>
          <w:u w:val="single"/>
          <w:lang w:val="zh-CN"/>
        </w:rPr>
        <w:t xml:space="preserve"> 5</w:t>
      </w:r>
      <w:r>
        <w:rPr>
          <w:rFonts w:hint="eastAsia"/>
          <w:b/>
          <w:sz w:val="24"/>
          <w:u w:val="single"/>
          <w:lang w:val="en-US" w:eastAsia="zh-CN"/>
        </w:rPr>
        <w:t>671</w:t>
      </w:r>
      <w:r>
        <w:rPr>
          <w:rFonts w:ascii="Times New Roman" w:hAnsi="Times New Roman" w:eastAsia="宋体"/>
          <w:b/>
          <w:sz w:val="24"/>
          <w:lang w:val="zh-CN"/>
        </w:rPr>
        <w:t>，英文字数</w:t>
      </w:r>
      <w:r>
        <w:rPr>
          <w:rFonts w:ascii="Times New Roman" w:hAnsi="Times New Roman" w:eastAsia="宋体"/>
          <w:b/>
          <w:sz w:val="24"/>
          <w:u w:val="single"/>
          <w:lang w:val="zh-CN"/>
        </w:rPr>
        <w:t xml:space="preserve"> </w:t>
      </w:r>
      <w:r>
        <w:rPr>
          <w:rFonts w:hint="eastAsia"/>
          <w:b/>
          <w:sz w:val="24"/>
          <w:u w:val="single"/>
          <w:lang w:val="en-US" w:eastAsia="zh-CN"/>
        </w:rPr>
        <w:t>3371</w:t>
      </w:r>
      <w:r>
        <w:rPr>
          <w:rFonts w:ascii="Times New Roman" w:hAnsi="Times New Roman" w:eastAsia="宋体"/>
          <w:b/>
          <w:sz w:val="24"/>
          <w:lang w:val="zh-CN"/>
        </w:rPr>
        <w:t>。若与事实不符，本人愿承担相应后果。</w:t>
      </w:r>
    </w:p>
    <w:p w14:paraId="2EA6B715">
      <w:pPr>
        <w:snapToGrid w:val="0"/>
        <w:ind w:firstLine="480" w:firstLineChars="200"/>
        <w:jc w:val="left"/>
        <w:rPr>
          <w:rFonts w:eastAsia="华文楷体"/>
          <w:sz w:val="24"/>
        </w:rPr>
      </w:pPr>
    </w:p>
    <w:p w14:paraId="1B3F653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一、研究目标与中期工作概况</w:t>
      </w:r>
    </w:p>
    <w:p w14:paraId="463FB7B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本课题围绕</w:t>
      </w:r>
      <w:r>
        <w:rPr>
          <w:rFonts w:hint="eastAsia" w:asciiTheme="minorEastAsia" w:hAnsiTheme="minorEastAsia" w:eastAsiaTheme="minorEastAsia" w:cstheme="minorEastAsia"/>
          <w:lang w:val="en-US" w:eastAsia="zh-CN"/>
        </w:rPr>
        <w:t>绘画初学者</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lang w:val="en-US" w:eastAsia="zh-CN"/>
        </w:rPr>
        <w:t>通过数字绘画应用app参照一张图</w:t>
      </w:r>
      <w:bookmarkStart w:id="8" w:name="_GoBack"/>
      <w:bookmarkEnd w:id="8"/>
      <w:r>
        <w:rPr>
          <w:rFonts w:hint="eastAsia" w:asciiTheme="minorEastAsia" w:hAnsiTheme="minorEastAsia" w:eastAsiaTheme="minorEastAsia" w:cstheme="minorEastAsia"/>
          <w:lang w:val="en-US" w:eastAsia="zh-CN"/>
        </w:rPr>
        <w:t>片，完成一副绘画的完成度问题、绘画缺乏引导问题</w:t>
      </w:r>
      <w:r>
        <w:rPr>
          <w:rFonts w:hint="eastAsia" w:asciiTheme="minorEastAsia" w:hAnsiTheme="minorEastAsia" w:eastAsiaTheme="minorEastAsia" w:cstheme="minorEastAsia"/>
        </w:rPr>
        <w:t>展开，研究如何</w:t>
      </w:r>
      <w:r>
        <w:rPr>
          <w:rFonts w:hint="eastAsia" w:asciiTheme="minorEastAsia" w:hAnsiTheme="minorEastAsia" w:eastAsiaTheme="minorEastAsia" w:cstheme="minorEastAsia"/>
          <w:lang w:val="en-US" w:eastAsia="zh-CN"/>
        </w:rPr>
        <w:t>通过设计一款</w:t>
      </w:r>
      <w:r>
        <w:rPr>
          <w:rFonts w:hint="default" w:asciiTheme="minorEastAsia" w:hAnsiTheme="minorEastAsia" w:eastAsiaTheme="minorEastAsia" w:cstheme="minorEastAsia"/>
          <w:lang w:val="en-US" w:eastAsia="zh-CN"/>
        </w:rPr>
        <w:t>ai</w:t>
      </w:r>
      <w:r>
        <w:rPr>
          <w:rFonts w:hint="eastAsia" w:asciiTheme="minorEastAsia" w:hAnsiTheme="minorEastAsia" w:eastAsiaTheme="minorEastAsia" w:cstheme="minorEastAsia"/>
          <w:lang w:val="en-US" w:eastAsia="zh-CN"/>
        </w:rPr>
        <w:t>辅助绘画交互系统，</w:t>
      </w:r>
      <w:r>
        <w:rPr>
          <w:rFonts w:hint="eastAsia" w:asciiTheme="minorEastAsia" w:hAnsiTheme="minorEastAsia" w:eastAsiaTheme="minorEastAsia" w:cstheme="minorEastAsia"/>
        </w:rPr>
        <w:t>将</w:t>
      </w:r>
      <w:r>
        <w:rPr>
          <w:rFonts w:hint="eastAsia" w:asciiTheme="minorEastAsia" w:hAnsiTheme="minorEastAsia" w:eastAsiaTheme="minorEastAsia" w:cstheme="minorEastAsia"/>
          <w:lang w:val="en-US" w:eastAsia="zh-CN"/>
        </w:rPr>
        <w:t>传统的已有图像进行</w:t>
      </w:r>
      <w:r>
        <w:rPr>
          <w:rFonts w:hint="eastAsia" w:asciiTheme="minorEastAsia" w:hAnsiTheme="minorEastAsia" w:eastAsiaTheme="minorEastAsia" w:cstheme="minorEastAsia"/>
        </w:rPr>
        <w:t>笔触</w:t>
      </w:r>
      <w:r>
        <w:rPr>
          <w:rFonts w:hint="eastAsia" w:asciiTheme="minorEastAsia" w:hAnsiTheme="minorEastAsia" w:eastAsiaTheme="minorEastAsia" w:cstheme="minorEastAsia"/>
          <w:lang w:val="en-US" w:eastAsia="zh-CN"/>
        </w:rPr>
        <w:t>拆解计算，然后</w:t>
      </w:r>
      <w:r>
        <w:rPr>
          <w:rFonts w:hint="eastAsia" w:asciiTheme="minorEastAsia" w:hAnsiTheme="minorEastAsia" w:eastAsiaTheme="minorEastAsia" w:cstheme="minorEastAsia"/>
        </w:rPr>
        <w:t>表达转化为可理解、可执行的操作引导</w:t>
      </w:r>
      <w:r>
        <w:rPr>
          <w:rFonts w:hint="eastAsia" w:asciiTheme="minorEastAsia" w:hAnsiTheme="minorEastAsia" w:eastAsiaTheme="minorEastAsia" w:cstheme="minorEastAsia"/>
          <w:lang w:val="en-US" w:eastAsia="zh-CN"/>
        </w:rPr>
        <w:t>交互提示</w:t>
      </w:r>
      <w:r>
        <w:rPr>
          <w:rFonts w:hint="eastAsia" w:asciiTheme="minorEastAsia" w:hAnsiTheme="minorEastAsia" w:eastAsiaTheme="minorEastAsia" w:cstheme="minorEastAsia"/>
        </w:rPr>
        <w:t>，帮助使用者</w:t>
      </w:r>
      <w:r>
        <w:rPr>
          <w:rFonts w:hint="eastAsia" w:asciiTheme="minorEastAsia" w:hAnsiTheme="minorEastAsia" w:eastAsiaTheme="minorEastAsia" w:cstheme="minorEastAsia"/>
          <w:lang w:val="en-US" w:eastAsia="zh-CN"/>
        </w:rPr>
        <w:t>通过数字绘画app可以顺利地</w:t>
      </w:r>
      <w:r>
        <w:rPr>
          <w:rFonts w:hint="eastAsia" w:asciiTheme="minorEastAsia" w:hAnsiTheme="minorEastAsia" w:eastAsiaTheme="minorEastAsia" w:cstheme="minorEastAsia"/>
        </w:rPr>
        <w:t>开始绘画、</w:t>
      </w:r>
      <w:r>
        <w:rPr>
          <w:rFonts w:hint="eastAsia" w:asciiTheme="minorEastAsia" w:hAnsiTheme="minorEastAsia" w:eastAsiaTheme="minorEastAsia" w:cstheme="minorEastAsia"/>
          <w:lang w:val="en-US" w:eastAsia="zh-CN"/>
        </w:rPr>
        <w:t>完成绘画、</w:t>
      </w:r>
      <w:r>
        <w:rPr>
          <w:rFonts w:hint="eastAsia" w:asciiTheme="minorEastAsia" w:hAnsiTheme="minorEastAsia" w:eastAsiaTheme="minorEastAsia" w:cstheme="minorEastAsia"/>
        </w:rPr>
        <w:t>持续推进并获得</w:t>
      </w:r>
      <w:r>
        <w:rPr>
          <w:rFonts w:hint="eastAsia" w:asciiTheme="minorEastAsia" w:hAnsiTheme="minorEastAsia" w:eastAsiaTheme="minorEastAsia" w:cstheme="minorEastAsia"/>
          <w:lang w:val="en-US" w:eastAsia="zh-CN"/>
        </w:rPr>
        <w:t>一副完成度高且质量好可以给用户带来满足感的画作</w:t>
      </w:r>
      <w:r>
        <w:rPr>
          <w:rFonts w:hint="eastAsia" w:asciiTheme="minorEastAsia" w:hAnsiTheme="minorEastAsia" w:eastAsiaTheme="minorEastAsia" w:cstheme="minorEastAsia"/>
        </w:rPr>
        <w:t>。</w:t>
      </w:r>
    </w:p>
    <w:p w14:paraId="1D6C7057">
      <w:pPr>
        <w:pStyle w:val="17"/>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论文题目为“基于笔触拆解算法的数字绘画辅助系统交互设计研究——以‘星迹智绘’为例”。</w:t>
      </w:r>
      <w:r>
        <w:rPr>
          <w:rFonts w:hint="eastAsia" w:asciiTheme="minorEastAsia" w:hAnsiTheme="minorEastAsia" w:eastAsiaTheme="minorEastAsia" w:cstheme="minorEastAsia"/>
          <w:lang w:val="en-US" w:eastAsia="zh-CN"/>
        </w:rPr>
        <w:t>通过针对多名成年的绘画初学者的访谈，得出部分绘画初学者在进行电子绘画时普遍会存在的</w:t>
      </w:r>
      <w:r>
        <w:rPr>
          <w:rFonts w:hint="eastAsia" w:asciiTheme="minorEastAsia" w:hAnsiTheme="minorEastAsia" w:eastAsiaTheme="minorEastAsia" w:cstheme="minorEastAsia"/>
        </w:rPr>
        <w:t>“不会画、</w:t>
      </w:r>
      <w:r>
        <w:rPr>
          <w:rFonts w:hint="eastAsia" w:asciiTheme="minorEastAsia" w:hAnsiTheme="minorEastAsia" w:eastAsiaTheme="minorEastAsia" w:cstheme="minorEastAsia"/>
          <w:lang w:val="en-US" w:eastAsia="zh-CN"/>
        </w:rPr>
        <w:t>缺乏绘画引导</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绘画作品质量不佳</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多种绘画难点于抵触点</w:t>
      </w:r>
      <w:r>
        <w:rPr>
          <w:rFonts w:hint="eastAsia" w:asciiTheme="minorEastAsia" w:hAnsiTheme="minorEastAsia" w:eastAsiaTheme="minorEastAsia" w:cstheme="minorEastAsia"/>
        </w:rPr>
        <w:t>，分别对应操作方法不明确、行动意愿不足以及对结果的不确定感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通过设计此引导绘画</w:t>
      </w:r>
      <w:r>
        <w:rPr>
          <w:rFonts w:hint="eastAsia" w:asciiTheme="minorEastAsia" w:hAnsiTheme="minorEastAsia" w:eastAsiaTheme="minorEastAsia" w:cstheme="minorEastAsia"/>
        </w:rPr>
        <w:t>系统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希望通过清晰的下一</w:t>
      </w:r>
      <w:r>
        <w:rPr>
          <w:rFonts w:hint="eastAsia" w:asciiTheme="minorEastAsia" w:hAnsiTheme="minorEastAsia" w:eastAsiaTheme="minorEastAsia" w:cstheme="minorEastAsia"/>
          <w:lang w:val="en-US" w:eastAsia="zh-CN"/>
        </w:rPr>
        <w:t>笔触交互</w:t>
      </w:r>
      <w:r>
        <w:rPr>
          <w:rFonts w:hint="eastAsia" w:asciiTheme="minorEastAsia" w:hAnsiTheme="minorEastAsia" w:eastAsiaTheme="minorEastAsia" w:cstheme="minorEastAsia"/>
        </w:rPr>
        <w:t>提示</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降低</w:t>
      </w:r>
      <w:r>
        <w:rPr>
          <w:rFonts w:hint="eastAsia" w:asciiTheme="minorEastAsia" w:hAnsiTheme="minorEastAsia" w:eastAsiaTheme="minorEastAsia" w:cstheme="minorEastAsia"/>
          <w:lang w:val="en-US" w:eastAsia="zh-CN"/>
        </w:rPr>
        <w:t>绘画初学者的绘画</w:t>
      </w:r>
      <w:r>
        <w:rPr>
          <w:rFonts w:hint="eastAsia" w:asciiTheme="minorEastAsia" w:hAnsiTheme="minorEastAsia" w:eastAsiaTheme="minorEastAsia" w:cstheme="minorEastAsia"/>
        </w:rPr>
        <w:t>障碍</w:t>
      </w:r>
      <w:r>
        <w:rPr>
          <w:rFonts w:hint="eastAsia" w:asciiTheme="minorEastAsia" w:hAnsiTheme="minorEastAsia" w:eastAsiaTheme="minorEastAsia" w:cstheme="minorEastAsia"/>
          <w:lang w:eastAsia="zh-CN"/>
        </w:rPr>
        <w:t>。</w:t>
      </w:r>
    </w:p>
    <w:p w14:paraId="245068B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开题阶段</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本项目初步</w:t>
      </w:r>
      <w:r>
        <w:rPr>
          <w:rFonts w:hint="eastAsia" w:asciiTheme="minorEastAsia" w:hAnsiTheme="minorEastAsia" w:eastAsiaTheme="minorEastAsia" w:cstheme="minorEastAsia"/>
        </w:rPr>
        <w:t>确定了</w:t>
      </w:r>
      <w:r>
        <w:rPr>
          <w:rFonts w:hint="eastAsia" w:asciiTheme="minorEastAsia" w:hAnsiTheme="minorEastAsia" w:eastAsiaTheme="minorEastAsia" w:cstheme="minorEastAsia"/>
          <w:lang w:val="en-US" w:eastAsia="zh-CN"/>
        </w:rPr>
        <w:t>大致的</w:t>
      </w:r>
      <w:r>
        <w:rPr>
          <w:rFonts w:hint="eastAsia" w:asciiTheme="minorEastAsia" w:hAnsiTheme="minorEastAsia" w:eastAsiaTheme="minorEastAsia" w:cstheme="minorEastAsia"/>
        </w:rPr>
        <w:t>研究方向、问题意识和产品构想，尚未形成可运行的系统。</w:t>
      </w:r>
      <w:r>
        <w:rPr>
          <w:rFonts w:hint="eastAsia" w:asciiTheme="minorEastAsia" w:hAnsiTheme="minorEastAsia" w:eastAsiaTheme="minorEastAsia" w:cstheme="minorEastAsia"/>
          <w:lang w:val="en-US" w:eastAsia="zh-CN"/>
        </w:rPr>
        <w:t>后续</w:t>
      </w:r>
      <w:r>
        <w:rPr>
          <w:rFonts w:hint="eastAsia" w:asciiTheme="minorEastAsia" w:hAnsiTheme="minorEastAsia" w:eastAsiaTheme="minorEastAsia" w:cstheme="minorEastAsia"/>
        </w:rPr>
        <w:t>阶段工作主要集中于四个方面：</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搜集与梳理</w:t>
      </w:r>
      <w:r>
        <w:rPr>
          <w:rFonts w:hint="eastAsia" w:asciiTheme="minorEastAsia" w:hAnsiTheme="minorEastAsia" w:eastAsiaTheme="minorEastAsia" w:cstheme="minorEastAsia"/>
          <w:lang w:val="en-US" w:eastAsia="zh-CN"/>
        </w:rPr>
        <w:t>传统的</w:t>
      </w:r>
      <w:r>
        <w:rPr>
          <w:rFonts w:hint="eastAsia" w:asciiTheme="minorEastAsia" w:hAnsiTheme="minorEastAsia" w:eastAsiaTheme="minorEastAsia" w:cstheme="minorEastAsia"/>
        </w:rPr>
        <w:t>笔触式渲染及神经绘画相关算法；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融合</w:t>
      </w:r>
      <w:r>
        <w:rPr>
          <w:rFonts w:hint="eastAsia" w:asciiTheme="minorEastAsia" w:hAnsiTheme="minorEastAsia" w:eastAsiaTheme="minorEastAsia" w:cstheme="minorEastAsia"/>
          <w:lang w:val="en-US" w:eastAsia="zh-CN"/>
        </w:rPr>
        <w:t>算法的</w:t>
      </w:r>
      <w:r>
        <w:rPr>
          <w:rFonts w:hint="eastAsia" w:asciiTheme="minorEastAsia" w:hAnsiTheme="minorEastAsia" w:eastAsiaTheme="minorEastAsia" w:cstheme="minorEastAsia"/>
        </w:rPr>
        <w:t>方法思想</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结合传统数字绘画形式与交互体验范式，</w:t>
      </w:r>
      <w:r>
        <w:rPr>
          <w:rFonts w:hint="eastAsia" w:asciiTheme="minorEastAsia" w:hAnsiTheme="minorEastAsia" w:eastAsiaTheme="minorEastAsia" w:cstheme="minorEastAsia"/>
        </w:rPr>
        <w:t>完成适合浏览器交互的笔触规划实现；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搭建选图、绘画、反馈和作品保存的交互流程及视觉界面；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开发支持对比实验的数据采集、研究管理和分析展示模块。目前已形成可操作、可演示的</w:t>
      </w:r>
      <w:r>
        <w:rPr>
          <w:rFonts w:hint="eastAsia" w:asciiTheme="minorEastAsia" w:hAnsiTheme="minorEastAsia" w:eastAsiaTheme="minorEastAsia" w:cstheme="minorEastAsia"/>
          <w:lang w:val="en-US" w:eastAsia="zh-CN"/>
        </w:rPr>
        <w:t>自研</w:t>
      </w: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绘画app</w:t>
      </w:r>
      <w:r>
        <w:rPr>
          <w:rFonts w:hint="eastAsia" w:asciiTheme="minorEastAsia" w:hAnsiTheme="minorEastAsia" w:eastAsiaTheme="minorEastAsia" w:cstheme="minorEastAsia"/>
        </w:rPr>
        <w:t>网页原型。</w:t>
      </w:r>
    </w:p>
    <w:p w14:paraId="2E54F99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本研究将</w:t>
      </w:r>
      <w:r>
        <w:rPr>
          <w:rFonts w:hint="eastAsia" w:asciiTheme="minorEastAsia" w:hAnsiTheme="minorEastAsia" w:eastAsiaTheme="minorEastAsia" w:cstheme="minorEastAsia"/>
          <w:lang w:val="en-US" w:eastAsia="zh-CN"/>
        </w:rPr>
        <w:t>传统笔触拆解</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进行改造适配，并进行前端应用化设计</w:t>
      </w:r>
      <w:r>
        <w:rPr>
          <w:rFonts w:hint="eastAsia" w:asciiTheme="minorEastAsia" w:hAnsiTheme="minorEastAsia" w:eastAsiaTheme="minorEastAsia" w:cstheme="minorEastAsia"/>
        </w:rPr>
        <w:t>、交互</w:t>
      </w:r>
      <w:r>
        <w:rPr>
          <w:rFonts w:hint="eastAsia" w:asciiTheme="minorEastAsia" w:hAnsiTheme="minorEastAsia" w:eastAsiaTheme="minorEastAsia" w:cstheme="minorEastAsia"/>
          <w:lang w:val="en-US" w:eastAsia="zh-CN"/>
        </w:rPr>
        <w:t>设计</w:t>
      </w:r>
      <w:r>
        <w:rPr>
          <w:rFonts w:hint="eastAsia" w:asciiTheme="minorEastAsia" w:hAnsiTheme="minorEastAsia" w:eastAsiaTheme="minorEastAsia" w:cstheme="minorEastAsia"/>
        </w:rPr>
        <w:t>和评价。</w:t>
      </w:r>
      <w:r>
        <w:rPr>
          <w:rFonts w:hint="eastAsia" w:asciiTheme="minorEastAsia" w:hAnsiTheme="minorEastAsia" w:eastAsiaTheme="minorEastAsia" w:cstheme="minorEastAsia"/>
          <w:lang w:val="en-US" w:eastAsia="zh-CN"/>
        </w:rPr>
        <w:t>其中，笔触拆解</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rPr>
        <w:t>提供有序的绘画动作</w:t>
      </w:r>
      <w:r>
        <w:rPr>
          <w:rFonts w:hint="eastAsia" w:asciiTheme="minorEastAsia" w:hAnsiTheme="minorEastAsia" w:eastAsiaTheme="minorEastAsia" w:cstheme="minorEastAsia"/>
          <w:lang w:val="en-US" w:eastAsia="zh-CN"/>
        </w:rPr>
        <w:t>规则与参数</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并通过网站</w:t>
      </w:r>
      <w:r>
        <w:rPr>
          <w:rFonts w:hint="eastAsia" w:asciiTheme="minorEastAsia" w:hAnsiTheme="minorEastAsia" w:eastAsiaTheme="minorEastAsia" w:cstheme="minorEastAsia"/>
        </w:rPr>
        <w:t>交互设计</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将位置、方向、颜色、宽度和进度</w:t>
      </w:r>
      <w:r>
        <w:rPr>
          <w:rFonts w:hint="eastAsia" w:asciiTheme="minorEastAsia" w:hAnsiTheme="minorEastAsia" w:eastAsiaTheme="minorEastAsia" w:cstheme="minorEastAsia"/>
          <w:lang w:val="en-US" w:eastAsia="zh-CN"/>
        </w:rPr>
        <w:t>等参数信息，</w:t>
      </w:r>
      <w:r>
        <w:rPr>
          <w:rFonts w:hint="eastAsia" w:asciiTheme="minorEastAsia" w:hAnsiTheme="minorEastAsia" w:eastAsiaTheme="minorEastAsia" w:cstheme="minorEastAsia"/>
        </w:rPr>
        <w:t>转译为易于</w:t>
      </w:r>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rPr>
        <w:t>理解的提示。</w:t>
      </w:r>
    </w:p>
    <w:p w14:paraId="6A13FFE0">
      <w:pPr>
        <w:pStyle w:val="17"/>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该作品项目已完成云部署：</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"https://startracepaint.com/" </w:instrText>
      </w:r>
      <w:r>
        <w:rPr>
          <w:rFonts w:hint="eastAsia" w:asciiTheme="minorEastAsia" w:hAnsiTheme="minorEastAsia" w:eastAsiaTheme="minorEastAsia" w:cstheme="minorEastAsia"/>
        </w:rPr>
        <w:fldChar w:fldCharType="separate"/>
      </w:r>
      <w:r>
        <w:rPr>
          <w:rStyle w:val="11"/>
          <w:rFonts w:hint="eastAsia" w:asciiTheme="minorEastAsia" w:hAnsiTheme="minorEastAsia" w:eastAsiaTheme="minorEastAsia" w:cstheme="minorEastAsia"/>
        </w:rPr>
        <w:t>https://startracepaint.com/</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可在线体验。</w:t>
      </w:r>
    </w:p>
    <w:p w14:paraId="6C078ED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二、相关算法的搜集、理解与方法整合</w:t>
      </w:r>
    </w:p>
    <w:p w14:paraId="052264AD">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2.1 笔触式渲染的基础原理</w:t>
      </w:r>
    </w:p>
    <w:p w14:paraId="5A3F53D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Hertzmann</w:t>
      </w:r>
      <w:r>
        <w:rPr>
          <w:rFonts w:hint="eastAsia" w:asciiTheme="minorEastAsia" w:hAnsiTheme="minorEastAsia" w:eastAsiaTheme="minorEastAsia" w:cstheme="minorEastAsia"/>
          <w:lang w:val="en-US" w:eastAsia="zh-CN"/>
        </w:rPr>
        <w:t>于1998年</w:t>
      </w:r>
      <w:r>
        <w:rPr>
          <w:rFonts w:hint="eastAsia" w:asciiTheme="minorEastAsia" w:hAnsiTheme="minorEastAsia" w:eastAsiaTheme="minorEastAsia" w:cstheme="minorEastAsia"/>
        </w:rPr>
        <w:t>提出的多尺度曲线笔触方法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是本课题的重要基础文献</w:t>
      </w:r>
      <w:r>
        <w:rPr>
          <w:rFonts w:hint="eastAsia" w:asciiTheme="minorEastAsia" w:hAnsiTheme="minorEastAsia" w:eastAsiaTheme="minorEastAsia" w:cstheme="minorEastAsia"/>
          <w:lang w:val="en-US" w:eastAsia="zh-CN"/>
        </w:rPr>
        <w:t>与笔触序列拆解算法来源</w:t>
      </w:r>
      <w:r>
        <w:rPr>
          <w:rFonts w:hint="eastAsia" w:asciiTheme="minorEastAsia" w:hAnsiTheme="minorEastAsia" w:eastAsiaTheme="minorEastAsia" w:cstheme="minorEastAsia"/>
        </w:rPr>
        <w:t>[1]。该方法</w:t>
      </w:r>
      <w:r>
        <w:rPr>
          <w:rFonts w:hint="eastAsia" w:asciiTheme="minorEastAsia" w:hAnsiTheme="minorEastAsia" w:eastAsiaTheme="minorEastAsia" w:cstheme="minorEastAsia"/>
          <w:lang w:val="en-US" w:eastAsia="zh-CN"/>
        </w:rPr>
        <w:t>采</w:t>
      </w:r>
      <w:r>
        <w:rPr>
          <w:rFonts w:hint="eastAsia" w:asciiTheme="minorEastAsia" w:hAnsiTheme="minorEastAsia" w:eastAsiaTheme="minorEastAsia" w:cstheme="minorEastAsia"/>
        </w:rPr>
        <w:t>用</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较大的笔刷建立画面，再</w:t>
      </w: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rPr>
        <w:t>逐渐缩小的笔刷修整与相应模糊参考图存在差异的区域</w:t>
      </w:r>
      <w:r>
        <w:rPr>
          <w:rFonts w:hint="eastAsia" w:asciiTheme="minorEastAsia" w:hAnsiTheme="minorEastAsia" w:eastAsiaTheme="minorEastAsia" w:cstheme="minorEastAsia"/>
          <w:lang w:val="en-US" w:eastAsia="zh-CN"/>
        </w:rPr>
        <w:t>的方法，将笔触</w:t>
      </w:r>
      <w:r>
        <w:rPr>
          <w:rFonts w:hint="eastAsia" w:asciiTheme="minorEastAsia" w:hAnsiTheme="minorEastAsia" w:eastAsiaTheme="minorEastAsia" w:cstheme="minorEastAsia"/>
        </w:rPr>
        <w:t>曲线沿图像梯度的垂直方向延伸，形成具有绘画感的笔迹。</w:t>
      </w:r>
      <w:r>
        <w:rPr>
          <w:rFonts w:hint="eastAsia" w:asciiTheme="minorEastAsia" w:hAnsiTheme="minorEastAsia" w:eastAsiaTheme="minorEastAsia" w:cstheme="minorEastAsia"/>
          <w:lang w:val="en-US" w:eastAsia="zh-CN"/>
        </w:rPr>
        <w:t>这篇</w:t>
      </w:r>
      <w:r>
        <w:rPr>
          <w:rFonts w:hint="eastAsia" w:asciiTheme="minorEastAsia" w:hAnsiTheme="minorEastAsia" w:eastAsiaTheme="minorEastAsia" w:cstheme="minorEastAsia"/>
        </w:rPr>
        <w:t>论文</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rPr>
        <w:t>把笔刷尺寸、曲率及颜色变化等组织为可调风格参数，为</w:t>
      </w:r>
      <w:r>
        <w:rPr>
          <w:rFonts w:hint="eastAsia" w:asciiTheme="minorEastAsia" w:hAnsiTheme="minorEastAsia" w:eastAsiaTheme="minorEastAsia" w:cstheme="minorEastAsia"/>
          <w:lang w:val="en-US" w:eastAsia="zh-CN"/>
        </w:rPr>
        <w:t>绘画应用中所需要的</w:t>
      </w:r>
      <w:r>
        <w:rPr>
          <w:rFonts w:hint="eastAsia" w:asciiTheme="minorEastAsia" w:hAnsiTheme="minorEastAsia" w:eastAsiaTheme="minorEastAsia" w:cstheme="minorEastAsia"/>
        </w:rPr>
        <w:t>“将图像表示为动作序列”和“通过参数形成不同笔触外观”</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提供了方法参照。</w:t>
      </w:r>
    </w:p>
    <w:p w14:paraId="64A7ED6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在</w:t>
      </w:r>
      <w:r>
        <w:rPr>
          <w:rFonts w:hint="eastAsia" w:asciiTheme="minorEastAsia" w:hAnsiTheme="minorEastAsia" w:eastAsiaTheme="minorEastAsia" w:cstheme="minorEastAsia"/>
          <w:lang w:val="en-US" w:eastAsia="zh-CN"/>
        </w:rPr>
        <w:t>后续的</w:t>
      </w:r>
      <w:r>
        <w:rPr>
          <w:rFonts w:hint="eastAsia" w:asciiTheme="minorEastAsia" w:hAnsiTheme="minorEastAsia" w:eastAsiaTheme="minorEastAsia" w:cstheme="minorEastAsia"/>
        </w:rPr>
        <w:t>交互设计中，我重点区分了图像重建与人的绘画任务。</w:t>
      </w:r>
      <w:r>
        <w:rPr>
          <w:rFonts w:hint="eastAsia" w:asciiTheme="minorEastAsia" w:hAnsiTheme="minorEastAsia" w:eastAsiaTheme="minorEastAsia" w:cstheme="minorEastAsia"/>
          <w:lang w:val="en-US" w:eastAsia="zh-CN"/>
        </w:rPr>
        <w:t>传统算法中的</w:t>
      </w:r>
      <w:r>
        <w:rPr>
          <w:rFonts w:hint="eastAsia" w:asciiTheme="minorEastAsia" w:hAnsiTheme="minorEastAsia" w:eastAsiaTheme="minorEastAsia" w:cstheme="minorEastAsia"/>
        </w:rPr>
        <w:t>自动渲染主要关心生成图像，</w:t>
      </w:r>
      <w:r>
        <w:rPr>
          <w:rFonts w:hint="eastAsia" w:asciiTheme="minorEastAsia" w:hAnsiTheme="minorEastAsia" w:eastAsiaTheme="minorEastAsia" w:cstheme="minorEastAsia"/>
          <w:lang w:val="en-US" w:eastAsia="zh-CN"/>
        </w:rPr>
        <w:t>而针对用户的</w:t>
      </w:r>
      <w:r>
        <w:rPr>
          <w:rFonts w:hint="eastAsia" w:asciiTheme="minorEastAsia" w:hAnsiTheme="minorEastAsia" w:eastAsiaTheme="minorEastAsia" w:cstheme="minorEastAsia"/>
        </w:rPr>
        <w:t>逐笔指导还需要考虑笔数、寻找起点的难度、位置跳转与动作顺序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因而本项目以多尺度表达为基础，将有限</w:t>
      </w:r>
      <w:r>
        <w:rPr>
          <w:rFonts w:hint="eastAsia" w:asciiTheme="minorEastAsia" w:hAnsiTheme="minorEastAsia" w:eastAsiaTheme="minorEastAsia" w:cstheme="minorEastAsia"/>
          <w:lang w:val="en-US" w:eastAsia="zh-CN"/>
        </w:rPr>
        <w:t>的绘画笔触</w:t>
      </w:r>
      <w:r>
        <w:rPr>
          <w:rFonts w:hint="eastAsia" w:asciiTheme="minorEastAsia" w:hAnsiTheme="minorEastAsia" w:eastAsiaTheme="minorEastAsia" w:cstheme="minorEastAsia"/>
        </w:rPr>
        <w:t>动作预算、可预测的</w:t>
      </w:r>
      <w:r>
        <w:rPr>
          <w:rFonts w:hint="eastAsia" w:asciiTheme="minorEastAsia" w:hAnsiTheme="minorEastAsia" w:eastAsiaTheme="minorEastAsia" w:cstheme="minorEastAsia"/>
          <w:lang w:val="en-US" w:eastAsia="zh-CN"/>
        </w:rPr>
        <w:t>笔触</w:t>
      </w:r>
      <w:r>
        <w:rPr>
          <w:rFonts w:hint="eastAsia" w:asciiTheme="minorEastAsia" w:hAnsiTheme="minorEastAsia" w:eastAsiaTheme="minorEastAsia" w:cstheme="minorEastAsia"/>
        </w:rPr>
        <w:t>空间顺序以及每一步可显示的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笔触参数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都</w:t>
      </w:r>
      <w:r>
        <w:rPr>
          <w:rFonts w:hint="eastAsia" w:asciiTheme="minorEastAsia" w:hAnsiTheme="minorEastAsia" w:eastAsiaTheme="minorEastAsia" w:cstheme="minorEastAsia"/>
        </w:rPr>
        <w:t>纳入实现目标。</w:t>
      </w:r>
    </w:p>
    <w:p w14:paraId="7EAA2980">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2.2 神经绘画研究的参照价值</w:t>
      </w:r>
    </w:p>
    <w:p w14:paraId="47665C3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1998年，</w:t>
      </w:r>
      <w:r>
        <w:rPr>
          <w:rFonts w:hint="eastAsia" w:asciiTheme="minorEastAsia" w:hAnsiTheme="minorEastAsia" w:eastAsiaTheme="minorEastAsia" w:cstheme="minorEastAsia"/>
        </w:rPr>
        <w:t>Huang等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将绘画描述为连续笔触决策，通过神经渲染器和基于模型的强化学习生成笔触序列[2]；</w:t>
      </w:r>
      <w:r>
        <w:rPr>
          <w:rFonts w:hint="eastAsia" w:asciiTheme="minorEastAsia" w:hAnsiTheme="minorEastAsia" w:eastAsiaTheme="minorEastAsia" w:cstheme="minorEastAsia"/>
          <w:lang w:val="en-US" w:eastAsia="zh-CN"/>
        </w:rPr>
        <w:t>2021年，</w:t>
      </w:r>
      <w:r>
        <w:rPr>
          <w:rFonts w:hint="eastAsia" w:asciiTheme="minorEastAsia" w:hAnsiTheme="minorEastAsia" w:eastAsiaTheme="minorEastAsia" w:cstheme="minorEastAsia"/>
        </w:rPr>
        <w:t>Zou</w:t>
      </w:r>
      <w:r>
        <w:rPr>
          <w:rFonts w:hint="eastAsia" w:asciiTheme="minorEastAsia" w:hAnsiTheme="minorEastAsia" w:eastAsiaTheme="minorEastAsia" w:cstheme="minorEastAsia"/>
          <w:lang w:val="en-US" w:eastAsia="zh-CN"/>
        </w:rPr>
        <w:t>Z</w:t>
      </w:r>
      <w:r>
        <w:rPr>
          <w:rFonts w:hint="eastAsia" w:asciiTheme="minorEastAsia" w:hAnsiTheme="minorEastAsia" w:eastAsiaTheme="minorEastAsia" w:cstheme="minorEastAsia"/>
        </w:rPr>
        <w: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将参数化笔触渲染与图像相似度优化相结合，讨论神经渲染及参数搜索问题[3]；</w:t>
      </w:r>
      <w:r>
        <w:rPr>
          <w:rFonts w:hint="eastAsia" w:asciiTheme="minorEastAsia" w:hAnsiTheme="minorEastAsia" w:eastAsiaTheme="minorEastAsia" w:cstheme="minorEastAsia"/>
          <w:lang w:val="en-US" w:eastAsia="zh-CN"/>
        </w:rPr>
        <w:t>2023年，</w:t>
      </w:r>
      <w:r>
        <w:rPr>
          <w:rFonts w:hint="eastAsia" w:asciiTheme="minorEastAsia" w:hAnsiTheme="minorEastAsia" w:eastAsiaTheme="minorEastAsia" w:cstheme="minorEastAsia"/>
        </w:rPr>
        <w:t>HU 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进一步区分“在哪里画”和“画什么”，通过动态预测绘画区域组织重建过程[4]。这三类</w:t>
      </w:r>
      <w:r>
        <w:rPr>
          <w:rFonts w:hint="eastAsia" w:asciiTheme="minorEastAsia" w:hAnsiTheme="minorEastAsia" w:eastAsiaTheme="minorEastAsia" w:cstheme="minorEastAsia"/>
          <w:lang w:val="en-US" w:eastAsia="zh-CN"/>
        </w:rPr>
        <w:t>已有</w:t>
      </w:r>
      <w:r>
        <w:rPr>
          <w:rFonts w:hint="eastAsia" w:asciiTheme="minorEastAsia" w:hAnsiTheme="minorEastAsia" w:eastAsiaTheme="minorEastAsia" w:cstheme="minorEastAsia"/>
        </w:rPr>
        <w:t>研究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将用于</w:t>
      </w:r>
      <w:r>
        <w:rPr>
          <w:rFonts w:hint="eastAsia" w:asciiTheme="minorEastAsia" w:hAnsiTheme="minorEastAsia" w:eastAsiaTheme="minorEastAsia" w:cstheme="minorEastAsia"/>
        </w:rPr>
        <w:t>本课题</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rPr>
        <w:t>理解有限笔触表达、参数优化反馈以及绘画区域组织之间的联系。</w:t>
      </w:r>
    </w:p>
    <w:p w14:paraId="2BBEC94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本课题的工作定位是</w:t>
      </w:r>
      <w:r>
        <w:rPr>
          <w:rFonts w:hint="eastAsia" w:asciiTheme="minorEastAsia" w:hAnsiTheme="minorEastAsia" w:eastAsiaTheme="minorEastAsia" w:cstheme="minorEastAsia"/>
          <w:b/>
          <w:bCs/>
        </w:rPr>
        <w:t>面向</w:t>
      </w:r>
      <w:r>
        <w:rPr>
          <w:rFonts w:hint="eastAsia" w:asciiTheme="minorEastAsia" w:hAnsiTheme="minorEastAsia" w:eastAsiaTheme="minorEastAsia" w:cstheme="minorEastAsia"/>
          <w:b/>
          <w:bCs/>
          <w:lang w:val="en-US" w:eastAsia="zh-CN"/>
        </w:rPr>
        <w:t>绘画初学者的笔触引导</w:t>
      </w:r>
      <w:r>
        <w:rPr>
          <w:rFonts w:hint="eastAsia" w:asciiTheme="minorEastAsia" w:hAnsiTheme="minorEastAsia" w:eastAsiaTheme="minorEastAsia" w:cstheme="minorEastAsia"/>
          <w:b/>
          <w:bCs/>
        </w:rPr>
        <w:t>交互需求的算法适配与系统设计</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项目对</w:t>
      </w:r>
      <w:r>
        <w:rPr>
          <w:rFonts w:hint="eastAsia" w:asciiTheme="minorEastAsia" w:hAnsiTheme="minorEastAsia" w:eastAsiaTheme="minorEastAsia" w:cstheme="minorEastAsia"/>
          <w:lang w:val="en-US" w:eastAsia="zh-CN"/>
        </w:rPr>
        <w:t>上述</w:t>
      </w:r>
      <w:r>
        <w:rPr>
          <w:rFonts w:hint="eastAsia" w:asciiTheme="minorEastAsia" w:hAnsiTheme="minorEastAsia" w:eastAsiaTheme="minorEastAsia" w:cstheme="minorEastAsia"/>
        </w:rPr>
        <w:t>研究采用方法层面</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综合参照：保留可回放的参数化动作、以重建误差评价候选笔触，并明确组织区域访问顺序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采用显式搜索和解析颜色拟合。</w:t>
      </w:r>
    </w:p>
    <w:p w14:paraId="4A5129A9">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2.3 方法选择与系统结构</w:t>
      </w:r>
    </w:p>
    <w:p w14:paraId="3EBD1B0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此项目研究</w:t>
      </w:r>
      <w:r>
        <w:rPr>
          <w:rFonts w:hint="eastAsia" w:asciiTheme="minorEastAsia" w:hAnsiTheme="minorEastAsia" w:eastAsiaTheme="minorEastAsia" w:cstheme="minorEastAsia"/>
        </w:rPr>
        <w:t>方法</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rPr>
        <w:t>把输入图像转成一组包含起止点、宽度、颜色及遍次信息的笔触，由画布模块按顺序显示和绘制。</w:t>
      </w:r>
      <w:r>
        <w:rPr>
          <w:rFonts w:hint="eastAsia" w:asciiTheme="minorEastAsia" w:hAnsiTheme="minorEastAsia" w:eastAsiaTheme="minorEastAsia" w:cstheme="minorEastAsia"/>
          <w:lang w:val="en-US" w:eastAsia="zh-CN"/>
        </w:rPr>
        <w:t>其中，</w:t>
      </w:r>
      <w:r>
        <w:rPr>
          <w:rFonts w:hint="eastAsia" w:asciiTheme="minorEastAsia" w:hAnsiTheme="minorEastAsia" w:eastAsiaTheme="minorEastAsia" w:cstheme="minorEastAsia"/>
        </w:rPr>
        <w:t xml:space="preserve">计算过程放在Web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后台线程中，避免主要交互长时间被计算阻塞；研究模块则保存经过审核的参考图和计划，使同一批次的参与者使用一致材料。图1展示了从</w:t>
      </w:r>
      <w:r>
        <w:rPr>
          <w:rFonts w:hint="eastAsia" w:asciiTheme="minorEastAsia" w:hAnsiTheme="minorEastAsia" w:eastAsiaTheme="minorEastAsia" w:cstheme="minorEastAsia"/>
          <w:lang w:val="en-US" w:eastAsia="zh-CN"/>
        </w:rPr>
        <w:t>参考图像</w:t>
      </w:r>
      <w:r>
        <w:rPr>
          <w:rFonts w:hint="eastAsia" w:asciiTheme="minorEastAsia" w:hAnsiTheme="minorEastAsia" w:eastAsiaTheme="minorEastAsia" w:cstheme="minorEastAsia"/>
        </w:rPr>
        <w:t>输入到绘画指导、再到研究记录的结构。</w:t>
      </w:r>
    </w:p>
    <w:p w14:paraId="1BC08927">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  图像输入、笔触规划、绘画交互与研究记录的系统结构</w:t>
      </w:r>
    </w:p>
    <w:p w14:paraId="448D8CFA">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三、</w:t>
      </w:r>
      <w:r>
        <w:rPr>
          <w:rFonts w:hint="eastAsia" w:asciiTheme="minorEastAsia" w:hAnsiTheme="minorEastAsia" w:eastAsiaTheme="minorEastAsia" w:cstheme="minorEastAsia"/>
          <w:lang w:val="en-US" w:eastAsia="zh-CN"/>
        </w:rPr>
        <w:t>笔触拆解序列</w:t>
      </w:r>
      <w:r>
        <w:rPr>
          <w:rFonts w:hint="eastAsia" w:asciiTheme="minorEastAsia" w:hAnsiTheme="minorEastAsia" w:eastAsiaTheme="minorEastAsia" w:cstheme="minorEastAsia"/>
        </w:rPr>
        <w:t>有序规划算法实现</w:t>
      </w:r>
    </w:p>
    <w:p w14:paraId="5CF04C9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w:t>
      </w:r>
      <w:r>
        <w:rPr>
          <w:rFonts w:hint="eastAsia" w:asciiTheme="minorEastAsia" w:hAnsiTheme="minorEastAsia" w:eastAsiaTheme="minorEastAsia" w:cstheme="minorEastAsia"/>
          <w:lang w:val="en-US" w:eastAsia="zh-CN"/>
        </w:rPr>
        <w:t>程序项目设计，是先</w:t>
      </w:r>
      <w:r>
        <w:rPr>
          <w:rFonts w:hint="eastAsia" w:asciiTheme="minorEastAsia" w:hAnsiTheme="minorEastAsia" w:eastAsiaTheme="minorEastAsia" w:cstheme="minorEastAsia"/>
        </w:rPr>
        <w:t>从白色画布开始重新组织整幅图像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系统每次只接受能够改善目标误差且路径有效的笔触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asciiTheme="minorEastAsia" w:hAnsiTheme="minorEastAsia" w:eastAsiaTheme="minorEastAsia" w:cstheme="minorEastAsia"/>
          <w:lang w:val="en-US" w:eastAsia="zh-CN"/>
        </w:rPr>
        <w:t>尽量</w:t>
      </w:r>
      <w:r>
        <w:rPr>
          <w:rFonts w:hint="eastAsia" w:asciiTheme="minorEastAsia" w:hAnsiTheme="minorEastAsia" w:eastAsiaTheme="minorEastAsia" w:cstheme="minorEastAsia"/>
        </w:rPr>
        <w:t>沿一条对角线排列。笔触可以跨越网格边界，其颜色拟合与误差评价始终基于同一张共享画布，</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避免把各块分别绘制后再硬性拼接。</w:t>
      </w:r>
    </w:p>
    <w:p w14:paraId="6B5A85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755AC699">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表1  五遍规划的尺度与预算设置</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14:paraId="506D368F">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遍次 / 用途</w:t>
            </w:r>
          </w:p>
        </w:tc>
        <w:tc>
          <w:tcPr>
            <w:tcW w:w="1871" w:type="dxa"/>
            <w:shd w:val="clear" w:color="auto" w:fill="ECEAFE"/>
          </w:tcPr>
          <w:p w14:paraId="3754CD2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基准宽度</w:t>
            </w:r>
          </w:p>
        </w:tc>
        <w:tc>
          <w:tcPr>
            <w:tcW w:w="1871" w:type="dxa"/>
            <w:shd w:val="clear" w:color="auto" w:fill="ECEAFE"/>
          </w:tcPr>
          <w:p w14:paraId="7FE2455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网格</w:t>
            </w:r>
          </w:p>
        </w:tc>
        <w:tc>
          <w:tcPr>
            <w:tcW w:w="2891" w:type="dxa"/>
            <w:shd w:val="clear" w:color="auto" w:fill="ECEAFE"/>
          </w:tcPr>
          <w:p w14:paraId="5D95464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1000预算下尝试次数</w:t>
            </w:r>
          </w:p>
        </w:tc>
      </w:tr>
      <w:tr w14:paraId="4A2FA376">
        <w:trPr>
          <w:cantSplit/>
          <w:jc w:val="center"/>
        </w:trPr>
        <w:tc>
          <w:tcPr>
            <w:tcW w:w="2721" w:type="dxa"/>
          </w:tcPr>
          <w:p w14:paraId="71BDA4A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大色块</w:t>
            </w:r>
          </w:p>
        </w:tc>
        <w:tc>
          <w:tcPr>
            <w:tcW w:w="1871" w:type="dxa"/>
          </w:tcPr>
          <w:p w14:paraId="312A473E">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30</w:t>
            </w:r>
          </w:p>
        </w:tc>
        <w:tc>
          <w:tcPr>
            <w:tcW w:w="1871" w:type="dxa"/>
          </w:tcPr>
          <w:p w14:paraId="5FA5271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3</w:t>
            </w:r>
          </w:p>
        </w:tc>
        <w:tc>
          <w:tcPr>
            <w:tcW w:w="2891" w:type="dxa"/>
          </w:tcPr>
          <w:p w14:paraId="27289B3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60</w:t>
            </w:r>
          </w:p>
        </w:tc>
      </w:tr>
      <w:tr w14:paraId="16ED3115">
        <w:trPr>
          <w:cantSplit/>
          <w:jc w:val="center"/>
        </w:trPr>
        <w:tc>
          <w:tcPr>
            <w:tcW w:w="2721" w:type="dxa"/>
          </w:tcPr>
          <w:p w14:paraId="0FD0269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中色块</w:t>
            </w:r>
          </w:p>
        </w:tc>
        <w:tc>
          <w:tcPr>
            <w:tcW w:w="1871" w:type="dxa"/>
          </w:tcPr>
          <w:p w14:paraId="65F250B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16</w:t>
            </w:r>
          </w:p>
        </w:tc>
        <w:tc>
          <w:tcPr>
            <w:tcW w:w="1871" w:type="dxa"/>
          </w:tcPr>
          <w:p w14:paraId="6EEF1D8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4</w:t>
            </w:r>
          </w:p>
        </w:tc>
        <w:tc>
          <w:tcPr>
            <w:tcW w:w="2891" w:type="dxa"/>
          </w:tcPr>
          <w:p w14:paraId="6D13F771">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120</w:t>
            </w:r>
          </w:p>
        </w:tc>
      </w:tr>
      <w:tr w14:paraId="5FC7D6EA">
        <w:trPr>
          <w:cantSplit/>
          <w:jc w:val="center"/>
        </w:trPr>
        <w:tc>
          <w:tcPr>
            <w:tcW w:w="2721" w:type="dxa"/>
          </w:tcPr>
          <w:p w14:paraId="45AEC61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形体</w:t>
            </w:r>
          </w:p>
        </w:tc>
        <w:tc>
          <w:tcPr>
            <w:tcW w:w="1871" w:type="dxa"/>
          </w:tcPr>
          <w:p w14:paraId="5B2A328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8</w:t>
            </w:r>
          </w:p>
        </w:tc>
        <w:tc>
          <w:tcPr>
            <w:tcW w:w="1871" w:type="dxa"/>
          </w:tcPr>
          <w:p w14:paraId="302E2C4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5</w:t>
            </w:r>
          </w:p>
        </w:tc>
        <w:tc>
          <w:tcPr>
            <w:tcW w:w="2891" w:type="dxa"/>
          </w:tcPr>
          <w:p w14:paraId="2DF6BD0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220</w:t>
            </w:r>
          </w:p>
        </w:tc>
      </w:tr>
      <w:tr w14:paraId="450A0326">
        <w:trPr>
          <w:cantSplit/>
          <w:jc w:val="center"/>
        </w:trPr>
        <w:tc>
          <w:tcPr>
            <w:tcW w:w="2721" w:type="dxa"/>
          </w:tcPr>
          <w:p w14:paraId="6AE430A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小笔触</w:t>
            </w:r>
          </w:p>
        </w:tc>
        <w:tc>
          <w:tcPr>
            <w:tcW w:w="1871" w:type="dxa"/>
          </w:tcPr>
          <w:p w14:paraId="066FEE3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w:t>
            </w:r>
          </w:p>
        </w:tc>
        <w:tc>
          <w:tcPr>
            <w:tcW w:w="1871" w:type="dxa"/>
          </w:tcPr>
          <w:p w14:paraId="6FDA934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5452BBBA">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280</w:t>
            </w:r>
          </w:p>
        </w:tc>
      </w:tr>
      <w:tr w14:paraId="111DC1B3">
        <w:trPr>
          <w:cantSplit/>
          <w:jc w:val="center"/>
        </w:trPr>
        <w:tc>
          <w:tcPr>
            <w:tcW w:w="2721" w:type="dxa"/>
          </w:tcPr>
          <w:p w14:paraId="04006E9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细节</w:t>
            </w:r>
          </w:p>
        </w:tc>
        <w:tc>
          <w:tcPr>
            <w:tcW w:w="1871" w:type="dxa"/>
          </w:tcPr>
          <w:p w14:paraId="39CB142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w:t>
            </w:r>
          </w:p>
        </w:tc>
        <w:tc>
          <w:tcPr>
            <w:tcW w:w="1871" w:type="dxa"/>
          </w:tcPr>
          <w:p w14:paraId="01E55E8D">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07D38AF5">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320</w:t>
            </w:r>
          </w:p>
        </w:tc>
      </w:tr>
    </w:tbl>
    <w:p w14:paraId="32C6C101">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注：宽度按分析图短边200像素换算；无收益候选跳过，尝试次数不等于最终接受笔数。</w:t>
      </w:r>
    </w:p>
    <w:p w14:paraId="1D26A7FD">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表1的宽度以分析</w:t>
      </w:r>
      <w:r>
        <w:rPr>
          <w:rFonts w:hint="eastAsia" w:asciiTheme="minorEastAsia" w:hAnsiTheme="minorEastAsia" w:eastAsiaTheme="minorEastAsia" w:cstheme="minorEastAsia"/>
          <w:lang w:val="en-US" w:eastAsia="zh-CN"/>
        </w:rPr>
        <w:t>输入图片的</w:t>
      </w:r>
      <w:r>
        <w:rPr>
          <w:rFonts w:hint="eastAsia" w:asciiTheme="minorEastAsia" w:hAnsiTheme="minorEastAsia" w:eastAsiaTheme="minorEastAsia" w:cstheme="minorEastAsia"/>
        </w:rPr>
        <w:t>短边200像素为基准，再按实际尺寸换算。每遍的尝试次数按预算比例分配，区域内部则按当前加权残差分配数量：尚图2用莫奈《日出·印象》</w:t>
      </w:r>
      <w:r>
        <w:rPr>
          <w:rFonts w:hint="eastAsia" w:asciiTheme="minorEastAsia" w:hAnsiTheme="minorEastAsia" w:eastAsiaTheme="minorEastAsia" w:cstheme="minorEastAsia"/>
          <w:lang w:val="en-US" w:eastAsia="zh-CN"/>
        </w:rPr>
        <w:t>图片作为案例，算法将</w:t>
      </w:r>
      <w:r>
        <w:rPr>
          <w:rFonts w:hint="eastAsia" w:asciiTheme="minorEastAsia" w:hAnsiTheme="minorEastAsia" w:eastAsiaTheme="minorEastAsia" w:cstheme="minorEastAsia"/>
        </w:rPr>
        <w:t>同一份规划结果</w:t>
      </w:r>
      <w:r>
        <w:rPr>
          <w:rFonts w:hint="eastAsia" w:asciiTheme="minorEastAsia" w:hAnsiTheme="minorEastAsia" w:eastAsiaTheme="minorEastAsia" w:cstheme="minorEastAsia"/>
          <w:lang w:val="en-US" w:eastAsia="zh-CN"/>
        </w:rPr>
        <w:t>进行了</w:t>
      </w:r>
      <w:r>
        <w:rPr>
          <w:rFonts w:hint="eastAsia" w:asciiTheme="minorEastAsia" w:hAnsiTheme="minorEastAsia" w:eastAsiaTheme="minorEastAsia" w:cstheme="minorEastAsia"/>
        </w:rPr>
        <w:t>五遍的累积重建。</w:t>
      </w:r>
    </w:p>
    <w:p w14:paraId="7AA4DD5F">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05375" cy="4053205"/>
            <wp:effectExtent l="0" t="0" r="22225" b="10795"/>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4905375" cy="4053205"/>
                    </a:xfrm>
                    <a:prstGeom prst="rect">
                      <a:avLst/>
                    </a:prstGeom>
                  </pic:spPr>
                </pic:pic>
              </a:graphicData>
            </a:graphic>
          </wp:inline>
        </w:drawing>
      </w:r>
    </w:p>
    <w:p w14:paraId="52AE4DFB">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图2  莫奈《日出·印象》的五遍累积重建效果</w:t>
      </w:r>
    </w:p>
    <w:p w14:paraId="51F6762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四、交互流程与UI设计建设</w:t>
      </w:r>
    </w:p>
    <w:p w14:paraId="1BB71529">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4.1 信息架构与创作入口</w:t>
      </w:r>
    </w:p>
    <w:p w14:paraId="590D47C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绘画程序</w:t>
      </w:r>
      <w:r>
        <w:rPr>
          <w:rFonts w:hint="eastAsia" w:asciiTheme="minorEastAsia" w:hAnsiTheme="minorEastAsia" w:eastAsiaTheme="minorEastAsia" w:cstheme="minorEastAsia"/>
        </w:rPr>
        <w:t>已经建立首页、选图、绘画、作品查看、产品介绍及研究测试等主要</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页面。体验路径围绕“选择想画的图—获得有序笔触—亲手绘画—保存作品”组织；用户测试通过独立入口进入统一任务。首页突出“开始我的第一幅画”的主操作。产品介绍页面则承担完整功能说明、算法原理和文献来源展示。</w:t>
      </w:r>
    </w:p>
    <w:p w14:paraId="247E5C85">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图3  星迹智绘首页与主要创作入口</w:t>
      </w:r>
    </w:p>
    <w:p w14:paraId="32D8287C">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注：当前程序截图；首页的长介绍默认收起。</w:t>
      </w:r>
    </w:p>
    <w:p w14:paraId="35D44C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图既可以来自作品库，也可以由用户本地选择或拖拽上传。当前支持20MB以下的JPG、PNG等浏览器可解码图像，并提供文件检查、预览和加载反馈。用户可以先检查拆解后的预期效果，再决定是否进入绘画。自由画布</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允许</w:t>
      </w:r>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rPr>
        <w:t>直接</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绘画，不要求先挑选主题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为不想跟随固定参考图的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使用者保留</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自主表达</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空间。</w:t>
      </w:r>
    </w:p>
    <w:p w14:paraId="05A64562">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图4  图片上传</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精选临摹、自由画布</w:t>
      </w:r>
      <w:r>
        <w:rPr>
          <w:rFonts w:hint="eastAsia" w:asciiTheme="minorEastAsia" w:hAnsiTheme="minorEastAsia" w:eastAsiaTheme="minorEastAsia" w:cstheme="minorEastAsia"/>
        </w:rPr>
        <w:t>选择界面</w:t>
      </w:r>
    </w:p>
    <w:p w14:paraId="7C366F43">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注：当前程序截图；支持点击选图、拖拽上传和进入自由画布。</w:t>
      </w:r>
    </w:p>
    <w:p w14:paraId="6D65378A">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4.2 绘画中的提示、控制与反馈</w:t>
      </w:r>
    </w:p>
    <w:p w14:paraId="5A24367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w:t>
      </w:r>
      <w:r>
        <w:rPr>
          <w:rFonts w:hint="eastAsia" w:asciiTheme="minorEastAsia" w:hAnsiTheme="minorEastAsia" w:eastAsiaTheme="minorEastAsia" w:cstheme="minorEastAsia"/>
          <w:lang w:val="en-US" w:eastAsia="zh-CN"/>
        </w:rPr>
        <w:t>引导</w:t>
      </w:r>
      <w:r>
        <w:rPr>
          <w:rFonts w:hint="eastAsia" w:asciiTheme="minorEastAsia" w:hAnsiTheme="minorEastAsia" w:eastAsiaTheme="minorEastAsia" w:cstheme="minorEastAsia"/>
        </w:rPr>
        <w:t>与整幅画的形成过程建立联系。</w:t>
      </w:r>
    </w:p>
    <w:p w14:paraId="7B6EC9E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参考原图置于</w:t>
      </w:r>
      <w:r>
        <w:rPr>
          <w:rFonts w:hint="eastAsia" w:asciiTheme="minorEastAsia" w:hAnsiTheme="minorEastAsia" w:eastAsiaTheme="minorEastAsia" w:cstheme="minorEastAsia"/>
          <w:lang w:val="en-US" w:eastAsia="zh-CN"/>
        </w:rPr>
        <w:t>提示</w:t>
      </w:r>
      <w:r>
        <w:rPr>
          <w:rFonts w:hint="eastAsia" w:asciiTheme="minorEastAsia" w:hAnsiTheme="minorEastAsia" w:eastAsiaTheme="minorEastAsia" w:cstheme="minorEastAsia"/>
        </w:rPr>
        <w:t>面板中，按</w:t>
      </w:r>
      <w:r>
        <w:rPr>
          <w:rFonts w:hint="eastAsia" w:asciiTheme="minorEastAsia" w:hAnsiTheme="minorEastAsia" w:eastAsiaTheme="minorEastAsia" w:cstheme="minorEastAsia"/>
          <w:lang w:val="en-US" w:eastAsia="zh-CN"/>
        </w:rPr>
        <w:t>使用设备的</w:t>
      </w:r>
      <w:r>
        <w:rPr>
          <w:rFonts w:hint="eastAsia" w:asciiTheme="minorEastAsia" w:hAnsiTheme="minorEastAsia" w:eastAsiaTheme="minorEastAsia" w:cstheme="minorEastAsia"/>
        </w:rPr>
        <w:t>适配</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图5  沿星迹绘画、参考原图与可移动提示面板</w:t>
      </w:r>
    </w:p>
    <w:p w14:paraId="7D0AE18A">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注：当前程序截图；图中画布为绘画起始状态，紫色区域表示待执行笔触。</w:t>
      </w:r>
    </w:p>
    <w:p w14:paraId="5560224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6"/>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五、</w:t>
      </w:r>
      <w:r>
        <w:rPr>
          <w:rFonts w:hint="eastAsia" w:asciiTheme="minorEastAsia" w:hAnsiTheme="minorEastAsia" w:eastAsiaTheme="minorEastAsia" w:cstheme="minorEastAsia"/>
          <w:lang w:val="en-US" w:eastAsia="zh-CN"/>
        </w:rPr>
        <w:t>用户研究与用户测试</w:t>
      </w:r>
    </w:p>
    <w:p w14:paraId="6FFC6E95">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5.1 前后端与数据流程</w:t>
      </w:r>
    </w:p>
    <w:p w14:paraId="24A813E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程序以Next.js、React和TypeScript搭建页面与状态管理，浏览器Canvas承载参考图、引导和实际笔迹，Web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普通体验与研究任务采用</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不同的使用边界。普通体验允许自行选图、切换风格与观察自动续画；研究任务由研究者统一设置材料、工具能力和时限。研究者工作台集中查看测试记录、材料状态和配对结果。</w:t>
      </w:r>
    </w:p>
    <w:p w14:paraId="5B2A5538">
      <w:pPr>
        <w:pStyle w:val="18"/>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5.2 用户</w:t>
      </w:r>
      <w:r>
        <w:rPr>
          <w:rFonts w:hint="eastAsia" w:asciiTheme="minorEastAsia" w:hAnsiTheme="minorEastAsia" w:eastAsiaTheme="minorEastAsia" w:cstheme="minorEastAsia"/>
          <w:lang w:val="en-US" w:eastAsia="zh-CN"/>
        </w:rPr>
        <w:t>研究</w:t>
      </w:r>
    </w:p>
    <w:p w14:paraId="70CBF059">
      <w:pPr>
        <w:pStyle w:val="23"/>
      </w:pPr>
      <w:r>
        <w:t>拟先开展6—8名成年绘画初学者的情境访谈与任务观察，并邀请2名具有基础绘画教学经验的教师讨论任务设计。初学者应未接受持续系统绘画训练，近三个月没有每周固定绘画练习。</w:t>
      </w:r>
    </w:p>
    <w:p w14:paraId="5DD22A49">
      <w:pPr>
        <w:pStyle w:val="23"/>
      </w:pPr>
      <w:r>
        <w:t>每位初学者先谈最近一次想画画、实际动笔或中途放弃的经历，再在普通数字画布上完成一项简短的看图绘画。研究者先观察其选择起点、概括形状、安排颜色和修改画面的过程，再体验现有引导并追问差异。为避免产品先入为主，访谈开头不宣传笔触拆解的优势。</w:t>
      </w:r>
    </w:p>
    <w:p w14:paraId="15E027CB">
      <w:pPr>
        <w:pStyle w:val="23"/>
      </w:pPr>
      <w:r>
        <w:t>观察记录区分三层信息：实际发生的动作、参与者给出的解释，以及研究者的推测。例如，“连续撤销三次”是行为，“我不知道花盆应画多大”是参与者解释，“缺少构图支架”才是待核对的研究者判断。停顿不能直接编码为困难；参与者也可能正在观察、比较或决定。录音、屏幕记录和作品使用分别征得同意，仅使用匿名编号整理材料。</w:t>
      </w:r>
    </w:p>
    <w:p w14:paraId="3DB534B8">
      <w:pPr>
        <w:pStyle w:val="23"/>
      </w:pPr>
    </w:p>
    <w:p w14:paraId="57CD7B3B">
      <w:pPr>
        <w:pStyle w:val="18"/>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5.2 用户</w:t>
      </w:r>
      <w:r>
        <w:rPr>
          <w:rFonts w:hint="eastAsia" w:asciiTheme="minorEastAsia" w:hAnsiTheme="minorEastAsia" w:eastAsiaTheme="minorEastAsia" w:cstheme="minorEastAsia"/>
          <w:lang w:val="en-US" w:eastAsia="zh-CN"/>
        </w:rPr>
        <w:t>测试计划</w:t>
      </w:r>
    </w:p>
    <w:p w14:paraId="43369332">
      <w:pPr>
        <w:pStyle w:val="5"/>
        <w:keepNext w:val="0"/>
        <w:keepLines w:val="0"/>
        <w:widowControl/>
        <w:suppressLineNumbers w:val="0"/>
        <w:ind w:firstLine="425" w:firstLineChars="0"/>
      </w:pPr>
      <w:r>
        <w:t>本研究拟招募24名未接受系统绘画训练、无规律绘画习惯的成年参与者，采用“绘画工具×图片难度”的2×2受试者内实验设计，考察星迹智绘对绘画效率、作品完成度和使用体验的影响。</w:t>
      </w:r>
    </w:p>
    <w:p w14:paraId="3BFE3C38">
      <w:pPr>
        <w:pStyle w:val="5"/>
        <w:keepNext w:val="0"/>
        <w:keepLines w:val="0"/>
        <w:widowControl/>
        <w:suppressLineNumbers w:val="0"/>
        <w:ind w:firstLine="425" w:firstLineChars="0"/>
      </w:pPr>
      <w:r>
        <w:t>实验设置普通数字画布与星迹智绘两种绘画方式，以及简单、较难两档图片。每位参与者完成4次绘画，每次最多10分钟。两种方式使用相同设备和基础工具，均不允许自动代画，主要区别为是否提供绘画引导。</w:t>
      </w:r>
    </w:p>
    <w:p w14:paraId="4B3C4658">
      <w:pPr>
        <w:pStyle w:val="5"/>
        <w:keepNext w:val="0"/>
        <w:keepLines w:val="0"/>
        <w:widowControl/>
        <w:suppressLineNumbers w:val="0"/>
        <w:ind w:firstLine="425" w:firstLineChars="0"/>
      </w:pPr>
      <w:r>
        <w:t>参考图片覆盖生活用品、植物和食物三类，每类安排8名参与者。每类准备两档难度的平行图片，同一参与者不重复绘制同一张图片。通过平衡任务顺序及图片与工具的对应关系，减少练习、疲劳和材料差异的影响。</w:t>
      </w:r>
    </w:p>
    <w:p w14:paraId="0BF86E8B">
      <w:pPr>
        <w:pStyle w:val="5"/>
        <w:keepNext w:val="0"/>
        <w:keepLines w:val="0"/>
        <w:widowControl/>
        <w:suppressLineNumbers w:val="0"/>
        <w:ind w:firstLine="425" w:firstLineChars="0"/>
      </w:pPr>
      <w:r>
        <w:t>主要指标为作品完成度和达到基本完成标准所需时间。两名评分者依据主体辨识、结构完整、形体关系及色块呈现等统一细则独立盲评。通过定时保存的画面判断首次达标时间；超时未达标者单独记录，不能视为已完成或从分析中删除。</w:t>
      </w:r>
    </w:p>
    <w:p w14:paraId="0EAE4BF0">
      <w:pPr>
        <w:pStyle w:val="5"/>
        <w:keepNext w:val="0"/>
        <w:keepLines w:val="0"/>
        <w:widowControl/>
        <w:suppressLineNumbers w:val="0"/>
        <w:ind w:firstLine="425" w:firstLineChars="0"/>
      </w:pPr>
      <w:r>
        <w:t>每轮绘画后填写IMI量表，评价兴趣、胜任感、自主选择和压力；全部任务结束后，分别填写两种工具的SUS量表，并进行简短访谈，了解操作负担及使用工具记录日常物体的意愿。</w:t>
      </w:r>
    </w:p>
    <w:p w14:paraId="322D45F2">
      <w:pPr>
        <w:pStyle w:val="5"/>
        <w:keepNext w:val="0"/>
        <w:keepLines w:val="0"/>
        <w:widowControl/>
        <w:suppressLineNumbers w:val="0"/>
        <w:ind w:firstLine="425" w:firstLineChars="0"/>
      </w:pPr>
      <w:r>
        <w:t>正式实验前</w:t>
      </w:r>
      <w:r>
        <w:rPr>
          <w:rFonts w:hint="eastAsia"/>
          <w:lang w:val="en-US" w:eastAsia="zh-CN"/>
        </w:rPr>
        <w:t>计划</w:t>
      </w:r>
      <w:r>
        <w:t>另招募4—6人预试，检查图片难度、任务时限、问卷负担和评分细则。研究开始前完成知情同意及适用的伦理程序，参与者可随时退出，作品与数据匿名保存。</w:t>
      </w:r>
    </w:p>
    <w:p w14:paraId="5D94348A">
      <w:pPr>
        <w:pStyle w:val="5"/>
        <w:keepNext w:val="0"/>
        <w:keepLines w:val="0"/>
        <w:widowControl/>
        <w:suppressLineNumbers w:val="0"/>
        <w:ind w:firstLine="425" w:firstLineChars="0"/>
      </w:pPr>
      <w:r>
        <w:t>正式实验预计获得96幅作品，统计样本仍为24名参与者。采用重复测量分析比较工具、难度及其交互作用，报告效应量和置信区间。考虑样本规模，本研究定位为探索性评价，结论限定于所测试的题材与难度，不预先保证显著效果，也不据此推断适用于所有绘画场景。</w:t>
      </w:r>
    </w:p>
    <w:p w14:paraId="5D76A455">
      <w:pPr>
        <w:rPr>
          <w:rFonts w:hint="eastAsia" w:asciiTheme="minorEastAsia" w:hAnsiTheme="minorEastAsia" w:eastAsiaTheme="minorEastAsia" w:cstheme="minorEastAsia"/>
        </w:rPr>
      </w:pPr>
    </w:p>
    <w:p w14:paraId="4FD58A41">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六、阶段性成果与待验证问题</w:t>
      </w:r>
    </w:p>
    <w:p w14:paraId="7C6EC4E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研究解释同样需要明确边界。同图重复绘画会产生记忆和熟悉效应，AB与BA平衡只能缓解，不能完全消除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所以计划采用同等难度与同类型的近似图片进行</w:t>
      </w:r>
      <w:r>
        <w:rPr>
          <w:rFonts w:hint="eastAsia" w:asciiTheme="minorEastAsia" w:hAnsiTheme="minorEastAsia" w:eastAsiaTheme="minorEastAsia" w:cstheme="minorEastAsia"/>
        </w:rPr>
        <w:t>；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七、下一阶段</w:t>
      </w:r>
      <w:r>
        <w:rPr>
          <w:rFonts w:hint="eastAsia" w:asciiTheme="minorEastAsia" w:hAnsiTheme="minorEastAsia" w:eastAsiaTheme="minorEastAsia" w:cstheme="minorEastAsia"/>
          <w:lang w:val="en-US" w:eastAsia="zh-CN"/>
        </w:rPr>
        <w:t>计划</w:t>
      </w:r>
    </w:p>
    <w:p w14:paraId="49F593A1">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下一阶段执行安排与阶段交付</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14:paraId="614F03B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顺序</w:t>
            </w:r>
          </w:p>
        </w:tc>
        <w:tc>
          <w:tcPr>
            <w:tcW w:w="2948" w:type="dxa"/>
            <w:shd w:val="clear" w:color="auto" w:fill="ECEAFE"/>
          </w:tcPr>
          <w:p w14:paraId="02F97A6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主要工作</w:t>
            </w:r>
          </w:p>
        </w:tc>
        <w:tc>
          <w:tcPr>
            <w:tcW w:w="4649" w:type="dxa"/>
            <w:shd w:val="clear" w:color="auto" w:fill="ECEAFE"/>
          </w:tcPr>
          <w:p w14:paraId="7AB7408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完成标志</w:t>
            </w:r>
          </w:p>
        </w:tc>
      </w:tr>
      <w:tr w14:paraId="304F4E81">
        <w:trPr>
          <w:cantSplit/>
          <w:jc w:val="center"/>
        </w:trPr>
        <w:tc>
          <w:tcPr>
            <w:tcW w:w="1757" w:type="dxa"/>
          </w:tcPr>
          <w:p w14:paraId="3CAAAFA3">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预试准备</w:t>
            </w:r>
          </w:p>
        </w:tc>
        <w:tc>
          <w:tcPr>
            <w:tcW w:w="2948" w:type="dxa"/>
          </w:tcPr>
          <w:p w14:paraId="6FA6473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核对研究说明、候选材料、设备与评分清单</w:t>
            </w:r>
          </w:p>
        </w:tc>
        <w:tc>
          <w:tcPr>
            <w:tcW w:w="4649" w:type="dxa"/>
          </w:tcPr>
          <w:p w14:paraId="386F55DE">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形成可执行的统一说明与材料包。</w:t>
            </w:r>
          </w:p>
        </w:tc>
      </w:tr>
      <w:tr w14:paraId="329A978B">
        <w:trPr>
          <w:cantSplit/>
          <w:jc w:val="center"/>
        </w:trPr>
        <w:tc>
          <w:tcPr>
            <w:tcW w:w="1757" w:type="dxa"/>
          </w:tcPr>
          <w:p w14:paraId="31DDE0B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六人预试</w:t>
            </w:r>
          </w:p>
        </w:tc>
        <w:tc>
          <w:tcPr>
            <w:tcW w:w="2948" w:type="dxa"/>
          </w:tcPr>
          <w:p w14:paraId="3657E88B">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观察五步流程、任务负担与数据完整性</w:t>
            </w:r>
          </w:p>
        </w:tc>
        <w:tc>
          <w:tcPr>
            <w:tcW w:w="4649" w:type="dxa"/>
          </w:tcPr>
          <w:p w14:paraId="7178B7E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记录问题、访谈及每项修正依据。</w:t>
            </w:r>
          </w:p>
        </w:tc>
      </w:tr>
      <w:tr w14:paraId="0977C2EB">
        <w:trPr>
          <w:cantSplit/>
          <w:jc w:val="center"/>
        </w:trPr>
        <w:tc>
          <w:tcPr>
            <w:tcW w:w="1757" w:type="dxa"/>
          </w:tcPr>
          <w:p w14:paraId="7FE055B1">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交互优化与复验</w:t>
            </w:r>
          </w:p>
        </w:tc>
        <w:tc>
          <w:tcPr>
            <w:tcW w:w="2948" w:type="dxa"/>
          </w:tcPr>
          <w:p w14:paraId="58F941C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优化提示、遮挡、按钮语义与任务节奏</w:t>
            </w:r>
          </w:p>
        </w:tc>
        <w:tc>
          <w:tcPr>
            <w:tcW w:w="4649" w:type="dxa"/>
          </w:tcPr>
          <w:p w14:paraId="0EC3262B">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复验通过，固定正式版本与协议。</w:t>
            </w:r>
          </w:p>
        </w:tc>
      </w:tr>
      <w:tr w14:paraId="707C5A99">
        <w:trPr>
          <w:cantSplit/>
          <w:jc w:val="center"/>
        </w:trPr>
        <w:tc>
          <w:tcPr>
            <w:tcW w:w="1757" w:type="dxa"/>
          </w:tcPr>
          <w:p w14:paraId="5603D341">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正式对比实验</w:t>
            </w:r>
          </w:p>
        </w:tc>
        <w:tc>
          <w:tcPr>
            <w:tcW w:w="2948" w:type="dxa"/>
          </w:tcPr>
          <w:p w14:paraId="5F4C83F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获取拟定24份有效配对记录</w:t>
            </w:r>
          </w:p>
        </w:tc>
        <w:tc>
          <w:tcPr>
            <w:tcW w:w="4649" w:type="dxa"/>
          </w:tcPr>
          <w:p w14:paraId="4021468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完成两轮作品、问卷与双人评分核对。</w:t>
            </w:r>
          </w:p>
        </w:tc>
      </w:tr>
      <w:tr w14:paraId="7F48B69A">
        <w:trPr>
          <w:cantSplit/>
          <w:jc w:val="center"/>
        </w:trPr>
        <w:tc>
          <w:tcPr>
            <w:tcW w:w="1757" w:type="dxa"/>
          </w:tcPr>
          <w:p w14:paraId="44220A94">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分析和论文完善</w:t>
            </w:r>
          </w:p>
        </w:tc>
        <w:tc>
          <w:tcPr>
            <w:tcW w:w="2948" w:type="dxa"/>
          </w:tcPr>
          <w:p w14:paraId="4A6CB505">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配对分析、访谈解释、设计总结</w:t>
            </w:r>
          </w:p>
        </w:tc>
        <w:tc>
          <w:tcPr>
            <w:tcW w:w="4649" w:type="dxa"/>
          </w:tcPr>
          <w:p w14:paraId="7E68D95A">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完成结果与讨论，报告局限和适用范围。</w:t>
            </w:r>
          </w:p>
        </w:tc>
      </w:tr>
    </w:tbl>
    <w:p w14:paraId="175CA99E">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注：采用相对阶段安排；具体日程在预试组织与导师确认后确定。</w:t>
      </w:r>
    </w:p>
    <w:p w14:paraId="2A17A236">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7.1 开展预试并优化交互</w:t>
      </w:r>
    </w:p>
    <w:p w14:paraId="277BEA6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下一阶段首先执行6名</w:t>
      </w:r>
      <w:r>
        <w:rPr>
          <w:rFonts w:hint="eastAsia" w:asciiTheme="minorEastAsia" w:hAnsiTheme="minorEastAsia" w:eastAsiaTheme="minorEastAsia" w:cstheme="minorEastAsia"/>
          <w:lang w:val="en-US" w:eastAsia="zh-CN"/>
        </w:rPr>
        <w:t>绘画初学者的</w:t>
      </w:r>
      <w:r>
        <w:rPr>
          <w:rFonts w:hint="eastAsia" w:asciiTheme="minorEastAsia" w:hAnsiTheme="minorEastAsia" w:eastAsiaTheme="minorEastAsia" w:cstheme="minorEastAsia"/>
        </w:rPr>
        <w:t>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量问题，不与正式数据直接混合用于证明假设。</w:t>
      </w:r>
    </w:p>
    <w:p w14:paraId="1341A62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优化后进行复验，再冻结正式材料、算法计划、界面、问卷和评分规则，使条件之间保持可比。</w:t>
      </w:r>
    </w:p>
    <w:p w14:paraId="17DDF58B">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7.2 执行正式对比实验与结果分析</w:t>
      </w:r>
    </w:p>
    <w:p w14:paraId="4343FB5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正式研究拟取得24名参与者的有效配对记录，参与者使用统一设备和输入方式，</w:t>
      </w:r>
      <w:r>
        <w:rPr>
          <w:rFonts w:hint="eastAsia" w:asciiTheme="minorEastAsia" w:hAnsiTheme="minorEastAsia" w:eastAsiaTheme="minorEastAsia" w:cstheme="minorEastAsia"/>
          <w:lang w:val="en-US" w:eastAsia="zh-CN"/>
        </w:rPr>
        <w:t>采用类似难度和类型类型的图片进行测试，</w:t>
      </w:r>
      <w:r>
        <w:rPr>
          <w:rFonts w:hint="eastAsia" w:asciiTheme="minorEastAsia" w:hAnsiTheme="minorEastAsia" w:eastAsiaTheme="minorEastAsia" w:cstheme="minorEastAsia"/>
        </w:rPr>
        <w:t>遵循平衡顺序与一致时限。研究者按照统一说明执行，不在某一条件额外提供绘画帮助；口头访谈重点询问哪种方式更容易开始、何时最想停止，以及哪幅作品更有“自己画出来”的感受。</w:t>
      </w:r>
    </w:p>
    <w:p w14:paraId="63E0329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7.3 完成论文写作与设计总结</w:t>
      </w:r>
    </w:p>
    <w:p w14:paraId="4ED07AE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论文写作与实验执行并行推进。现阶段可以完成研究背景、相关方法、算法</w:t>
      </w:r>
      <w:r>
        <w:rPr>
          <w:rFonts w:hint="eastAsia" w:asciiTheme="minorEastAsia" w:hAnsiTheme="minorEastAsia" w:eastAsiaTheme="minorEastAsia" w:cstheme="minorEastAsia"/>
          <w:lang w:val="en-US" w:eastAsia="zh-CN"/>
        </w:rPr>
        <w:t>应用</w:t>
      </w:r>
      <w:r>
        <w:rPr>
          <w:rFonts w:hint="eastAsia" w:asciiTheme="minorEastAsia" w:hAnsiTheme="minorEastAsia" w:eastAsiaTheme="minorEastAsia" w:cstheme="minorEastAsia"/>
        </w:rPr>
        <w:t>、交互设计与系统建设章节；实验结束后补充用户表现、访谈、讨论和设计建议。最终论证围绕“有序笔触引导怎样帮助</w:t>
      </w:r>
      <w:r>
        <w:rPr>
          <w:rFonts w:hint="eastAsia" w:asciiTheme="minorEastAsia" w:hAnsiTheme="minorEastAsia" w:eastAsiaTheme="minorEastAsia" w:cstheme="minorEastAsia"/>
          <w:lang w:val="en-US" w:eastAsia="zh-CN"/>
        </w:rPr>
        <w:t>绘画初学者用户</w:t>
      </w:r>
      <w:r>
        <w:rPr>
          <w:rFonts w:hint="eastAsia" w:asciiTheme="minorEastAsia" w:hAnsiTheme="minorEastAsia" w:eastAsiaTheme="minorEastAsia" w:cstheme="minorEastAsia"/>
        </w:rPr>
        <w:t>开始并推进绘画”展开，将软件功能、过程证据和主观体验联系起来，研究将据此总结适用情境、局限和后续改进方向。</w:t>
      </w:r>
    </w:p>
    <w:p w14:paraId="2DE2FCDA">
      <w:pPr>
        <w:pStyle w:val="16"/>
        <w:pageBreakBefore/>
      </w:pPr>
      <w:r>
        <w:t>参考文献</w:t>
      </w:r>
    </w:p>
    <w:p w14:paraId="291D4D8A">
      <w:pPr>
        <w:pStyle w:val="21"/>
        <w:keepNext/>
      </w:pPr>
      <w:r>
        <w:t>[1] HERTZMANN A. Painterly Rendering with Curved Brush Strokes of Multiple Sizes[C]//Proceedings of SIGGRAPH 1998. 1998: 453–460. DOI: 10.1145/280814.280951.</w:t>
      </w:r>
    </w:p>
    <w:p w14:paraId="5E9EA052">
      <w:pPr>
        <w:pStyle w:val="20"/>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1"/>
        <w:keepNext/>
      </w:pPr>
      <w:r>
        <w:t>[2] HUANG Z, HENG W, ZHOU S. Learning to Paint With Model-Based Deep Reinforcement Learning[C]//Proceedings of ICCV. 2019: 8709–8718. DOI: 10.1109/ICCV.2019.00880.</w:t>
      </w:r>
    </w:p>
    <w:p w14:paraId="00022CC9">
      <w:pPr>
        <w:pStyle w:val="20"/>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1"/>
        <w:keepNext/>
      </w:pPr>
      <w:r>
        <w:t>[3] ZOU Z, SHI T, QIU S, et al. Stylized Neural Painting[C]//Proceedings of CVPR. 2021: 15689–15698. DOI: 10.1109/CVPR46437.2021.01543.</w:t>
      </w:r>
    </w:p>
    <w:p w14:paraId="69FB4843">
      <w:pPr>
        <w:pStyle w:val="20"/>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1"/>
        <w:keepNext/>
      </w:pPr>
      <w:r>
        <w:t>[4] HU T, YI R, ZHU H, et al. Stroke-based Neural Painting and Stylization with Dynamically Predicted Painting Region[C]//Proceedings of ACM Multimedia. 2023. DOI: 10.1145/3581783.3611766.</w:t>
      </w:r>
    </w:p>
    <w:p w14:paraId="58DF1F52">
      <w:pPr>
        <w:pStyle w:val="20"/>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1"/>
        <w:keepNext/>
      </w:pPr>
      <w:r>
        <w:t>[5] NATIONAL GALLERY. Claude Monet: The Water-Lily Pond[EB/OL]. [2026-09-16].</w:t>
      </w:r>
    </w:p>
    <w:p w14:paraId="5BB419CE">
      <w:pPr>
        <w:pStyle w:val="20"/>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1"/>
        <w:keepNext/>
      </w:pPr>
      <w:r>
        <w:t>[6] VAN GOGH MUSEUM. Unravel Van Gogh: Thick Brushstrokes[EB/OL]. [2026-09-16].</w:t>
      </w:r>
    </w:p>
    <w:p w14:paraId="626EE684">
      <w:pPr>
        <w:pStyle w:val="20"/>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1"/>
        <w:keepNext/>
      </w:pPr>
      <w:r>
        <w:t>[7] NATIONAL GALLERY. Paul Gauguin: Harvest, Le Pouldu[EB/OL]. [2026-09-16].</w:t>
      </w:r>
    </w:p>
    <w:p w14:paraId="55B05B0C">
      <w:pPr>
        <w:pStyle w:val="20"/>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1"/>
        <w:keepNext/>
      </w:pPr>
      <w:r>
        <w:t>[8] NATIONAL GALLERY. Rembrandt: The Late Works—A Resource for Science Teachers, What Is Paint?[EB/OL]. [2026-09-16].</w:t>
      </w:r>
    </w:p>
    <w:p w14:paraId="2914008D">
      <w:pPr>
        <w:pStyle w:val="20"/>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1"/>
        <w:keepNext/>
      </w:pPr>
      <w:r>
        <w:t>[9] THE METROPOLITAN MUSEUM OF ART. Pablo Picasso (1881–1973)[EB/OL]. [2026-09-16].</w:t>
      </w:r>
    </w:p>
    <w:p w14:paraId="545B98BC">
      <w:pPr>
        <w:pStyle w:val="20"/>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1"/>
        <w:keepNext/>
      </w:pPr>
      <w:r>
        <w:t>[10] CENTENO S A, MAHON D. A Technical Study of John Singer Sargent’s Portrait of Madame Pierre Gautreau[J]. Metropolitan Museum Journal, 2005, 40: 121–129.</w:t>
      </w:r>
    </w:p>
    <w:p w14:paraId="08DD1403">
      <w:pPr>
        <w:pStyle w:val="20"/>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67ADC13D">
      <w:pPr>
        <w:pStyle w:val="16"/>
        <w:pageBreakBefore/>
        <w:rPr>
          <w:rFonts w:hint="eastAsia" w:asciiTheme="minorEastAsia" w:hAnsiTheme="minorEastAsia" w:eastAsiaTheme="minorEastAsia" w:cstheme="minorEastAsia"/>
        </w:rPr>
      </w:pPr>
      <w:r>
        <w:rPr>
          <w:rFonts w:ascii="Times New Roman" w:hAnsi="Times New Roman" w:eastAsia="宋体"/>
          <w:lang w:val="en-US"/>
        </w:rPr>
        <w:t>英文版正文 / English Version of the Report</w:t>
      </w:r>
    </w:p>
    <w:p w14:paraId="3372E6CF">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I. Research Objectives and Overview of Mid-term Progress</w:t>
      </w:r>
    </w:p>
    <w:p w14:paraId="16FEE8D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This project addresses the difficulties that drawing beginners encounter when using a digital drawing application to create a complete picture from a reference image, particularly the lack of guidance during drawing. It investigates the design of an AI-assisted drawing interaction system that decomposes existing images into brushstrokes and translates the resulting information into understandable, actionable guidance. The aim is to help users start drawing, sustain their progress, and complete a high-quality artwork that gives them a sense of satisfaction.</w:t>
      </w:r>
    </w:p>
    <w:p w14:paraId="092A33DB">
      <w:pPr>
        <w:pStyle w:val="17"/>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The thesis is entitled “Research on Interaction Design of a Digital Painting Assistance System Based on a Stroke Decomposition Algorithm: A Case Study of Star Trace Paint.” Interviews with several adult drawing beginners identified recurring difficulties and sources of reluctance in digital drawing, including not knowing how to draw, lacking drawing guidance, and being dissatisfied with the quality of their work. These concerns correspond to uncertainty about operational methods, insufficient willingness to act, and uncertainty about outcomes. The proposed guidance system seeks to reduce these barriers through clear interactive cues for the next brushstroke.</w:t>
      </w:r>
    </w:p>
    <w:p w14:paraId="57E7A8C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At the proposal stage, the project had established a preliminary research direction, an awareness of the problem, and a product concept, but had not yet produced a functioning system. Subsequent work focused on four areas: (1) collecting and reviewing algorithms for conventional stroke-based rendering and neural painting; (2) integrating ideas from these algorithms with conventional digital drawing practices and interaction paradigms to implement stroke planning suitable for browser-based interaction; (3) developing the interaction flow and visual interface for image selection, drawing, feedback, and artwork storage; and (4) implementing data collection, research management, and analytical display modules for comparative experiments. A functioning, demonstrable web prototype of the independently developed Star Trace Paint application is now available.</w:t>
      </w:r>
    </w:p>
    <w:p w14:paraId="6C9CB6E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research adapts conventional stroke decomposition algorithms and develops their front-end application, interaction design, and evaluation. The algorithm supplies ordered drawing actions and their parameters. The website interface translates information about position, direction, color, width, and progress into cues that users can readily understand.</w:t>
      </w:r>
    </w:p>
    <w:p w14:paraId="512EDBF3">
      <w:pPr>
        <w:pStyle w:val="17"/>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The project has been deployed to the cloud and can be experienced online at https://startracepaint.com/.</w:t>
      </w:r>
    </w:p>
    <w:p w14:paraId="5875BAC8">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II. Review, Understanding, and Integration of Related Algorithms</w:t>
      </w:r>
    </w:p>
    <w:p w14:paraId="0FF78D7C">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2.1 Foundations of stroke-based rendering</w:t>
      </w:r>
    </w:p>
    <w:p w14:paraId="787EA7B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multiscale curved-brushstroke method proposed by Hertzmann in 1998 is a foundational reference and a source of the stroke-sequence decomposition approach used in this project [1]. The method establishes the picture with large brushes and then uses progressively smaller brushes to refine regions that differ from the corresponding blurred reference image. Stroke curves extend perpendicular to the image gradient to produce painterly marks. The paper organizes brush size, curvature, and color variation into adjustable style parameters, providing a methodological reference for representing an image as an action sequence and producing different stroke appearances through parameters.</w:t>
      </w:r>
    </w:p>
    <w:p w14:paraId="32A8672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In the subsequent interaction design, I distinguished image reconstruction from the human drawing task. Conventional automatic rendering primarily concerns the generated image, whereas step-by-step guidance for users must also consider the number of strokes, the difficulty of locating starting points, spatial jumps, and action order. Building on multiscale representation, the project therefore incorporates a limited drawing-action budget, predictable spatial ordering, and stroke parameters that can be displayed at each step.</w:t>
      </w:r>
    </w:p>
    <w:p w14:paraId="7616C742">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2.2 Relevance of neural painting research</w:t>
      </w:r>
    </w:p>
    <w:p w14:paraId="5C3E332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In 1998, Huang and colleagues described painting as a sequence of stroke decisions and generated stroke sequences using a neural renderer and model-based reinforcement learning [2]. In 2021, Zou and colleagues combined parameterized stroke rendering with image-similarity optimization to investigate neural rendering and parameter search [3]. In 2023, Hu and colleagues further distinguished “where to paint” from “what to paint,” organizing reconstruction through dynamically predicted painting regions [4]. These three lines of research inform this project’s understanding of the relationships among representation with a limited number of strokes, parameter-optimization feedback, and the organization of painting regions.</w:t>
      </w:r>
    </w:p>
    <w:p w14:paraId="146C6FDD">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project focuses on algorithm adaptation and system design for the stroke-guidance interaction needs of drawing beginners. It integrates methodological ideas from the studies above: retaining replayable parameterized actions, evaluating candidate strokes through reconstruction error, explicitly organizing region visitation, and using explicit search and analytical color fitting.</w:t>
      </w:r>
    </w:p>
    <w:p w14:paraId="1A7410B2">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2.3 Method selection and system architecture</w:t>
      </w:r>
    </w:p>
    <w:p w14:paraId="5B4E8F5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method converts an input image into a set of strokes containing start and end points, width, color, and pass information. The canvas module displays and draws these strokes sequentially. Computation runs in a background thread in the web client to prevent prolonged blocking of the main interaction. The research module stores reviewed reference images and plans so that participants in the same batch use consistent materials. Figure 1 shows the architecture from reference-image input through drawing guidance to research records.</w:t>
      </w:r>
    </w:p>
    <w:p w14:paraId="80BBEB5B">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939790" cy="3569970"/>
            <wp:effectExtent l="0" t="0" r="3810" b="11430"/>
            <wp:docPr id="20"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29AC5F48">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Figure 1. System architecture linking image input, stroke planning, drawing interaction, and research records</w:t>
      </w:r>
    </w:p>
    <w:p w14:paraId="5AA920A4">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III. Implementation of Ordered Stroke-Sequence Planning</w:t>
      </w:r>
    </w:p>
    <w:p w14:paraId="4F62B0F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current implementation reorganizes the entire image from a white canvas, accepting a stroke only if its path is valid and it improves the target error. Drawing proceeds in five passes: large color blocks, medium color blocks, forms, small strokes, and details. Each pass uses a fixed width, with widths decreasing across passes. Within each pass, grid regions are visited row by row from the upper left to the lower right, and positions requiring further refinement are selected within the current region. Spatial order refers to the order of region visitation, while the endpoints of each stroke are arranged along a diagonal wherever possible. Strokes may cross grid boundaries. Color fitting and error evaluation always use the same shared canvas, avoiding the rigid assembly of separately painted blocks.</w:t>
      </w:r>
    </w:p>
    <w:p w14:paraId="630ADDA5">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Table 1. Scales and attempt budgets for the five-pass planner</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7C24739B">
        <w:trPr>
          <w:cantSplit/>
          <w:tblHeader/>
          <w:jc w:val="center"/>
        </w:trPr>
        <w:tc>
          <w:tcPr>
            <w:tcW w:w="2721" w:type="dxa"/>
            <w:shd w:val="clear" w:color="auto" w:fill="ECEAFE"/>
          </w:tcPr>
          <w:p w14:paraId="232361D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Pass / Purpose</w:t>
            </w:r>
          </w:p>
        </w:tc>
        <w:tc>
          <w:tcPr>
            <w:tcW w:w="1871" w:type="dxa"/>
            <w:shd w:val="clear" w:color="auto" w:fill="ECEAFE"/>
          </w:tcPr>
          <w:p w14:paraId="160B8A3E">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Reference width</w:t>
            </w:r>
          </w:p>
        </w:tc>
        <w:tc>
          <w:tcPr>
            <w:tcW w:w="1871" w:type="dxa"/>
            <w:shd w:val="clear" w:color="auto" w:fill="ECEAFE"/>
          </w:tcPr>
          <w:p w14:paraId="2E60BD2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Grid</w:t>
            </w:r>
          </w:p>
        </w:tc>
        <w:tc>
          <w:tcPr>
            <w:tcW w:w="2891" w:type="dxa"/>
            <w:shd w:val="clear" w:color="auto" w:fill="ECEAFE"/>
          </w:tcPr>
          <w:p w14:paraId="5222A73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Attempts with a budget of 1,000</w:t>
            </w:r>
          </w:p>
        </w:tc>
      </w:tr>
      <w:tr w14:paraId="221BDFB9">
        <w:trPr>
          <w:cantSplit/>
          <w:jc w:val="center"/>
        </w:trPr>
        <w:tc>
          <w:tcPr>
            <w:tcW w:w="2721" w:type="dxa"/>
          </w:tcPr>
          <w:p w14:paraId="2F526AE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1 / Large color blocks</w:t>
            </w:r>
          </w:p>
        </w:tc>
        <w:tc>
          <w:tcPr>
            <w:tcW w:w="1871" w:type="dxa"/>
          </w:tcPr>
          <w:p w14:paraId="0B792891">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30</w:t>
            </w:r>
          </w:p>
        </w:tc>
        <w:tc>
          <w:tcPr>
            <w:tcW w:w="1871" w:type="dxa"/>
          </w:tcPr>
          <w:p w14:paraId="3AC7B8E0">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3 × 3</w:t>
            </w:r>
          </w:p>
        </w:tc>
        <w:tc>
          <w:tcPr>
            <w:tcW w:w="2891" w:type="dxa"/>
          </w:tcPr>
          <w:p w14:paraId="3CDEF08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60</w:t>
            </w:r>
          </w:p>
        </w:tc>
      </w:tr>
      <w:tr w14:paraId="7A38CF5E">
        <w:trPr>
          <w:cantSplit/>
          <w:jc w:val="center"/>
        </w:trPr>
        <w:tc>
          <w:tcPr>
            <w:tcW w:w="2721" w:type="dxa"/>
          </w:tcPr>
          <w:p w14:paraId="65A35E3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2 / Medium color blocks</w:t>
            </w:r>
          </w:p>
        </w:tc>
        <w:tc>
          <w:tcPr>
            <w:tcW w:w="1871" w:type="dxa"/>
          </w:tcPr>
          <w:p w14:paraId="63C29B2E">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16</w:t>
            </w:r>
          </w:p>
        </w:tc>
        <w:tc>
          <w:tcPr>
            <w:tcW w:w="1871" w:type="dxa"/>
          </w:tcPr>
          <w:p w14:paraId="55D72FF8">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4 × 4</w:t>
            </w:r>
          </w:p>
        </w:tc>
        <w:tc>
          <w:tcPr>
            <w:tcW w:w="2891" w:type="dxa"/>
          </w:tcPr>
          <w:p w14:paraId="498FEFE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120</w:t>
            </w:r>
          </w:p>
        </w:tc>
      </w:tr>
      <w:tr w14:paraId="75C0E77A">
        <w:trPr>
          <w:cantSplit/>
          <w:jc w:val="center"/>
        </w:trPr>
        <w:tc>
          <w:tcPr>
            <w:tcW w:w="2721" w:type="dxa"/>
          </w:tcPr>
          <w:p w14:paraId="1F5A393D">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3 / Forms</w:t>
            </w:r>
          </w:p>
        </w:tc>
        <w:tc>
          <w:tcPr>
            <w:tcW w:w="1871" w:type="dxa"/>
          </w:tcPr>
          <w:p w14:paraId="765B5CF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8</w:t>
            </w:r>
          </w:p>
        </w:tc>
        <w:tc>
          <w:tcPr>
            <w:tcW w:w="1871" w:type="dxa"/>
          </w:tcPr>
          <w:p w14:paraId="0C953AA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5 × 5</w:t>
            </w:r>
          </w:p>
        </w:tc>
        <w:tc>
          <w:tcPr>
            <w:tcW w:w="2891" w:type="dxa"/>
          </w:tcPr>
          <w:p w14:paraId="0327B57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220</w:t>
            </w:r>
          </w:p>
        </w:tc>
      </w:tr>
      <w:tr w14:paraId="3A1176EA">
        <w:trPr>
          <w:cantSplit/>
          <w:jc w:val="center"/>
        </w:trPr>
        <w:tc>
          <w:tcPr>
            <w:tcW w:w="2721" w:type="dxa"/>
          </w:tcPr>
          <w:p w14:paraId="523BAF6F">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4 / Small strokes</w:t>
            </w:r>
          </w:p>
        </w:tc>
        <w:tc>
          <w:tcPr>
            <w:tcW w:w="1871" w:type="dxa"/>
          </w:tcPr>
          <w:p w14:paraId="513200C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4</w:t>
            </w:r>
          </w:p>
        </w:tc>
        <w:tc>
          <w:tcPr>
            <w:tcW w:w="1871" w:type="dxa"/>
          </w:tcPr>
          <w:p w14:paraId="61C9F33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6 × 6</w:t>
            </w:r>
          </w:p>
        </w:tc>
        <w:tc>
          <w:tcPr>
            <w:tcW w:w="2891" w:type="dxa"/>
          </w:tcPr>
          <w:p w14:paraId="4FC2228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280</w:t>
            </w:r>
          </w:p>
        </w:tc>
      </w:tr>
      <w:tr w14:paraId="1F9770CC">
        <w:trPr>
          <w:cantSplit/>
          <w:jc w:val="center"/>
        </w:trPr>
        <w:tc>
          <w:tcPr>
            <w:tcW w:w="2721" w:type="dxa"/>
          </w:tcPr>
          <w:p w14:paraId="56C42C7A">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5 / Details</w:t>
            </w:r>
          </w:p>
        </w:tc>
        <w:tc>
          <w:tcPr>
            <w:tcW w:w="1871" w:type="dxa"/>
          </w:tcPr>
          <w:p w14:paraId="28E41A5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2.2</w:t>
            </w:r>
          </w:p>
        </w:tc>
        <w:tc>
          <w:tcPr>
            <w:tcW w:w="1871" w:type="dxa"/>
          </w:tcPr>
          <w:p w14:paraId="1177968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6 × 6</w:t>
            </w:r>
          </w:p>
        </w:tc>
        <w:tc>
          <w:tcPr>
            <w:tcW w:w="2891" w:type="dxa"/>
          </w:tcPr>
          <w:p w14:paraId="67AE881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320</w:t>
            </w:r>
          </w:p>
        </w:tc>
      </w:tr>
    </w:tbl>
    <w:p w14:paraId="336B40F9">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Note. Widths are scaled relative to an analysis image whose shorter side is 200 pixels. Candidates that offer no improvement are skipped; the number of attempts is not the number of accepted strokes.</w:t>
      </w:r>
    </w:p>
    <w:p w14:paraId="49928CF1">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widths in Table 1 are based on an analysis image with a shorter side of 200 pixels and are scaled to the actual dimensions. Attempts are allocated to each pass in proportion to its budget, while allocation within regions follows the current weighted residual. Figure 2 uses Monet’s Impression, Sunrise to illustrate cumulative reconstruction across five passes using the same planning result.</w:t>
      </w:r>
    </w:p>
    <w:p w14:paraId="6076E81E">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05375" cy="4053205"/>
            <wp:effectExtent l="0" t="0" r="22225" b="10795"/>
            <wp:docPr id="21"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4905375" cy="4053205"/>
                    </a:xfrm>
                    <a:prstGeom prst="rect">
                      <a:avLst/>
                    </a:prstGeom>
                  </pic:spPr>
                </pic:pic>
              </a:graphicData>
            </a:graphic>
          </wp:inline>
        </w:drawing>
      </w:r>
    </w:p>
    <w:p w14:paraId="34CFE7AD">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Figure 2. Cumulative reconstruction of Monet’s Impression, Sunrise across five passes</w:t>
      </w:r>
    </w:p>
    <w:p w14:paraId="77568382">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IV. Development of the Interaction Flow and User Interface</w:t>
      </w:r>
    </w:p>
    <w:p w14:paraId="467679DF">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4.1 Information architecture and entry points for creation</w:t>
      </w:r>
    </w:p>
    <w:p w14:paraId="20CE72D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Star Trace Paint now includes the main pages for the home screen, image selection, drawing, artwork viewing, product introduction, and research testing. The experience follows the sequence “choose an image—obtain ordered strokes—draw by hand—save the artwork.” User testing has a separate entry point leading to standardized tasks. The home page emphasizes the primary action “Start My First Drawing.” The product introduction page provides detailed descriptions of functions, algorithmic principles, and literature sources.</w:t>
      </w:r>
    </w:p>
    <w:p w14:paraId="85E6E08F">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879215" cy="2694305"/>
            <wp:effectExtent l="0" t="0" r="6985" b="3175"/>
            <wp:docPr id="22"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859280" cy="2696210"/>
            <wp:effectExtent l="0" t="0" r="0" b="127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29B59750">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Figure 3. Star Trace Paint home page and main entry point for creation</w:t>
      </w:r>
    </w:p>
    <w:p w14:paraId="6F67C84B">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Note. Screenshot of the current application; the extended introduction on the home page is collapsed by default.</w:t>
      </w:r>
    </w:p>
    <w:p w14:paraId="4C645781">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Reference images can come from the artwork library or be selected locally or uploaded by drag and drop. The current application supports browser-decodable images such as JPG and PNG files smaller than 20 MB and provides file validation, previews, and loading feedback. Users can inspect the expected decomposition result before deciding whether to begin drawing. The free canvas allows users to draw directly without first selecting a subject, preserving room for independent expression when they do not wish to follow a fixed reference image.</w:t>
      </w:r>
    </w:p>
    <w:p w14:paraId="C93757C4">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038350" cy="2217420"/>
            <wp:effectExtent l="0" t="0" r="3810"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485900" cy="2216150"/>
            <wp:effectExtent l="0" t="0" r="7620" b="889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2414905" cy="2233930"/>
            <wp:effectExtent l="0" t="0" r="8255" b="635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71BDF303">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Figure 4. Interface for image upload, curated reference selection, and free-canvas access</w:t>
      </w:r>
    </w:p>
    <w:p w14:paraId="69DC833F">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Note. Screenshot of the current application; images can be selected by clicking or uploaded by drag and drop, and users can enter the free canvas.</w:t>
      </w:r>
    </w:p>
    <w:p w14:paraId="44C858A6">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4.2 Guidance, control, and feedback during drawing</w:t>
      </w:r>
    </w:p>
    <w:p w14:paraId="0EF42BBF">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drawing interface centers on the canvas. The current stroke is represented by a translucent region, numbered start and end points, and a directional arrow. Numbers, circles, arrows, and paths scale proportionally with stroke size to reduce obstruction of small strokes by large icons. Full guidance is enabled by default, while users can select moderate guidance or retain only the starting point through the tools. Progress and pass descriptions indicate whether the user is establishing large color blocks or refining details, connecting the “next stroke” cue with the emergence of the overall image.</w:t>
      </w:r>
    </w:p>
    <w:p w14:paraId="70F0A1D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original reference image appears in a guidance panel that adapts to the device and can be enlarged and restored by clicking. The panel can be moved, locked, or collapsed into an icon, allowing users to arrange information according to its position relative to the canvas. The bottom toolbar brings modes, brushes, and common operations together. Buttons display explanatory text on hover, and a tutorial explains the tools. The Follow the Star Trace mode supports undo, making accidental actions recoverable and allowing users to retry the current action.</w:t>
      </w:r>
    </w:p>
    <w:p w14:paraId="0F1C76AA">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1508125" cy="1371600"/>
            <wp:effectExtent l="0" t="0" r="635" b="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964055" cy="1364615"/>
            <wp:effectExtent l="0" t="0" r="1905" b="6985"/>
            <wp:docPr id="28"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464310" cy="1349375"/>
            <wp:effectExtent l="0" t="0" r="13970" b="698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015365" cy="1380490"/>
            <wp:effectExtent l="0" t="0" r="5715" b="635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48CE53CE">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Figure 5. Guided drawing, the original reference image, and the movable guidance panel</w:t>
      </w:r>
    </w:p>
    <w:p w14:paraId="6A3FE70C">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Note. Screenshot of the current application; the canvas is shown at the start of drawing, and the purple region indicates the next stroke.</w:t>
      </w:r>
    </w:p>
    <w:p w14:paraId="1159634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ordinary experience offers three modes: Follow the Star Trace, Automatic Continuation, and Free Star Field. Follow the Star Trace emphasizes drawing in response to the current cue. Automatic Continuation demonstrates how the sequence forms an image; the interval between strokes can be adjusted from 200 milliseconds to one second, with a default of one second. Pausing preserves the current mode and progress. Free Star Field responds directly to the user’s drawing gestures. Brush width, color, and style can be adjusted during drawing, and brush widths are displayed as integers.</w:t>
      </w:r>
    </w:p>
    <w:p w14:paraId="33B8FC86">
      <w:pPr>
        <w:pStyle w:val="16"/>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V. User Research and User Testing</w:t>
      </w:r>
    </w:p>
    <w:p w14:paraId="5534F47D">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5.1 Front-end, back-end, and data flow</w:t>
      </w:r>
    </w:p>
    <w:p w14:paraId="44F3D7D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application uses Next.js, React, and TypeScript for pages and state management. Browser Canvas displays the reference image, guidance, and actual marks, while computationally intensive image planning runs on the web client. The server provides interfaces for study configuration, enrollment, round records, artwork storage, ratings, and exports. A persistent database and file directories manage research materials. The algorithm module is separated from drawing operations, and research materials retain versions and hashes so that the image, stroke plan, and rule version associated with a record can be verified.</w:t>
      </w:r>
    </w:p>
    <w:p w14:paraId="6B78B5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ordinary experience and research tasks have different boundaries. Ordinary use allows users to choose images, switch styles, and observe automatic continuation. Research tasks use materials, tool capabilities, and time limits configured centrally by the researcher. The researcher workspace consolidates test records, material status, and paired results.</w:t>
      </w:r>
    </w:p>
    <w:p w14:paraId="2209E6BF">
      <w:pPr>
        <w:pStyle w:val="18"/>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5.2 User research</w:t>
      </w:r>
    </w:p>
    <w:p w14:paraId="215FE6C7">
      <w:pPr>
        <w:pStyle w:val="23"/>
      </w:pPr>
      <w:r>
        <w:t>The planned initial study consists of contextual interviews and task observations with six to eight adult drawing beginners, together with discussions of task design with two instructors experienced in teaching basic drawing. Beginners should not have received sustained systematic drawing training and should not have maintained a regular weekly drawing practice during the previous three months.</w:t>
      </w:r>
    </w:p>
    <w:p w14:paraId="325825FA">
      <w:pPr>
        <w:pStyle w:val="23"/>
      </w:pPr>
      <w:r>
        <w:t>Each beginner will first describe a recent occasion when they wanted to draw, started drawing, or stopped midway. They will then complete a short reference-based drawing task on an ordinary digital canvas. The researcher will observe how they select a starting point, simplify shapes, arrange colors, and revise the picture, before asking them to try the existing guidance and discuss the differences. To avoid biasing participants toward the product, the interview will not begin by promoting the advantages of stroke decomposition.</w:t>
      </w:r>
    </w:p>
    <w:p w14:paraId="5BBB7516">
      <w:pPr>
        <w:pStyle w:val="23"/>
      </w:pPr>
      <w:r>
        <w:t>Observation records will distinguish three levels of information: actions that actually occur, participants’ explanations, and researchers’ interpretations. For example, “undoing three times in succession” is a behavior; “I do not know how large the pot should be” is a participant explanation; and “insufficient compositional scaffolding” is a researcher interpretation that still requires verification. Pauses cannot automatically be coded as difficulties, since participants may be observing, comparing, or deciding. Separate consent will be obtained for audio recording, screen recording, and artwork use, and materials will be organized using anonymous identifiers only.</w:t>
      </w:r>
    </w:p>
    <w:p w14:paraId="31297919">
      <w:pPr>
        <w:pStyle w:val="18"/>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5.2 User testing plan</w:t>
      </w:r>
    </w:p>
    <w:p w14:paraId="5C75EE60">
      <w:pPr>
        <w:pStyle w:val="5"/>
        <w:keepNext w:val="0"/>
        <w:keepLines w:val="0"/>
        <w:widowControl/>
        <w:suppressLineNumbers w:val="0"/>
        <w:ind w:firstLine="425" w:firstLineChars="0"/>
      </w:pPr>
      <w:r>
        <w:t>The study plans to recruit 24 adult participants who have not received systematic drawing training and do not draw regularly. A 2 × 2 within-subject design crossing drawing tool with image difficulty will examine the effects of Star Trace Paint on drawing efficiency, artwork completeness, and user experience.</w:t>
      </w:r>
    </w:p>
    <w:p w14:paraId="62A62670">
      <w:pPr>
        <w:pStyle w:val="5"/>
        <w:keepNext w:val="0"/>
        <w:keepLines w:val="0"/>
        <w:widowControl/>
        <w:suppressLineNumbers w:val="0"/>
        <w:ind w:firstLine="425" w:firstLineChars="0"/>
      </w:pPr>
      <w:r>
        <w:t>The experiment includes two drawing methods, an ordinary digital canvas and Star Trace Paint, and two levels of image difficulty, simple and more difficult. Each participant will complete four drawing tasks, each lasting no more than ten minutes. Both methods will use the same equipment and basic tools, and neither will permit automatic drawing. The principal difference is whether drawing guidance is provided.</w:t>
      </w:r>
    </w:p>
    <w:p w14:paraId="609499A0">
      <w:pPr>
        <w:pStyle w:val="5"/>
        <w:keepNext w:val="0"/>
        <w:keepLines w:val="0"/>
        <w:widowControl/>
        <w:suppressLineNumbers w:val="0"/>
        <w:ind w:firstLine="425" w:firstLineChars="0"/>
      </w:pPr>
      <w:r>
        <w:t>Reference images cover three categories: everyday objects, plants, and food. Eight participants will be assigned to each category. Each category will contain parallel images at two difficulty levels, and no participant will draw the same image twice. Task order and the correspondence between images and tools will be counterbalanced to reduce the effects of practice, fatigue, and material differences.</w:t>
      </w:r>
    </w:p>
    <w:p w14:paraId="36197242">
      <w:pPr>
        <w:pStyle w:val="5"/>
        <w:keepNext w:val="0"/>
        <w:keepLines w:val="0"/>
        <w:widowControl/>
        <w:suppressLineNumbers w:val="0"/>
        <w:ind w:firstLine="425" w:firstLineChars="0"/>
      </w:pPr>
      <w:r>
        <w:t>The primary outcomes are artwork completeness and the time required to reach a basic completion criterion. Two raters will independently assess the works under blinded conditions using common criteria covering subject recognizability, structural completeness, relationships between forms, and presentation of color blocks. Periodically saved canvas images will identify the first time the criterion is reached. Participants who do not reach it before the time limit will be recorded separately; they will neither be treated as having completed the task nor be removed from the analysis.</w:t>
      </w:r>
    </w:p>
    <w:p w14:paraId="6773ABA9">
      <w:pPr>
        <w:pStyle w:val="5"/>
        <w:keepNext w:val="0"/>
        <w:keepLines w:val="0"/>
        <w:widowControl/>
        <w:suppressLineNumbers w:val="0"/>
        <w:ind w:firstLine="425" w:firstLineChars="0"/>
      </w:pPr>
      <w:r>
        <w:t>After each drawing round, participants will complete the Intrinsic Motivation Inventory (IMI) to assess interest, competence, perceived choice, and pressure. After all tasks, they will complete a System Usability Scale (SUS) questionnaire for each tool and take part in a brief interview about operational burden and willingness to use the tool to record everyday objects through drawing.</w:t>
      </w:r>
    </w:p>
    <w:p w14:paraId="63FEB34B">
      <w:pPr>
        <w:pStyle w:val="5"/>
        <w:keepNext w:val="0"/>
        <w:keepLines w:val="0"/>
        <w:widowControl/>
        <w:suppressLineNumbers w:val="0"/>
        <w:ind w:firstLine="425" w:firstLineChars="0"/>
      </w:pPr>
      <w:r>
        <w:rPr>
          <w:rFonts w:hint="eastAsia"/>
          <w:lang w:val="en-US" w:eastAsia="zh-CN"/>
        </w:rPr>
        <w:t>Before the formal experiment, an additional four to six participants will be recruited for a pilot to examine image difficulty, task duration, questionnaire burden, and rating criteria. Informed consent and applicable ethics procedures will be completed before the research begins. Participants may withdraw at any time, and artworks and data will be stored anonymously.</w:t>
      </w:r>
    </w:p>
    <w:p w14:paraId="6B103339">
      <w:pPr>
        <w:pStyle w:val="5"/>
        <w:keepNext w:val="0"/>
        <w:keepLines w:val="0"/>
        <w:widowControl/>
        <w:suppressLineNumbers w:val="0"/>
        <w:ind w:firstLine="425" w:firstLineChars="0"/>
      </w:pPr>
      <w:r>
        <w:t>The formal experiment is expected to yield 96 artworks, while the statistical sample remains 24 participants. Repeated-measures analysis will compare the effects of tool, difficulty, and their interaction, with effect sizes and confidence intervals reported. Given the sample size, the study is positioned as an exploratory evaluation. Conclusions will be limited to the subjects and difficulty levels tested, without assuming significant effects in advance or generalizing to all drawing contexts.</w:t>
      </w:r>
    </w:p>
    <w:p w14:paraId="68E479F2">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VI. Interim Achievements and Questions Requiring Validation</w:t>
      </w:r>
    </w:p>
    <w:p w14:paraId="614154D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This stage has produced a functioning web prototype, an independent stroke-planning module, a coarse-to-fine five-pass sequence, six freehand brushes, interactive tutorials and product documentation, and front-end and back-end modules covering research execution and record management. Literature review has informed specific methodological choices, implementation descriptions, and source references. The UI design has progressed from page presentation to functioning upload, guidance, undo, mode-switching, and saving processes. These achievements provide the basis for user testing and constitute the main work completed by the mid-term stage.</w:t>
      </w:r>
    </w:p>
    <w:p w14:paraId="04630CC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main issues requiring validation concern task burden and interaction effectiveness. A sequence of 1,000 strokes can improve detail in some images, but extensive stroke-by-stroke operation may increase waiting and repetitive actions. A coarse-to-fine order is easier to explain, but does not guarantee that every user understands the relationship between local strokes and the reference image. The allocation of attention among the reference, canvas, guidance card, and toolbar also requires observation. Subsequent work will focus on where users hesitate, make unintended inputs, repeatedly consult guidance, or stop early, in order to determine whether problems arise from material difficulty, algorithmic actions, or interface organization.</w:t>
      </w:r>
    </w:p>
    <w:p w14:paraId="6D9B7A0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interpretation of the study also requires clear boundaries. Drawing the same image repeatedly introduces memory and familiarity effects. AB/BA counterbalancing can mitigate but cannot fully eliminate these effects, so similar images of the same type and comparable difficulty are planned. A single self-report of willingness cannot demonstrate the formation of a lasting habit, and finishing sooner may reflect early abandonment. Speed must therefore be interpreted together with completeness, reasons for stopping, and artwork content. Satisfaction must be considered in relation to the balance between personal authorship and system assistance. The thesis will discuss these limitations and retain results that do not match expectations.</w:t>
      </w:r>
    </w:p>
    <w:p w14:paraId="6D2B2A0C">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VII. Plans for the Next Stage</w:t>
      </w:r>
    </w:p>
    <w:p w14:paraId="3EC5C1F5">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Table 2. Next-stage activities and deliverables</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43654F5">
        <w:trPr>
          <w:cantSplit/>
          <w:tblHeader/>
          <w:jc w:val="center"/>
        </w:trPr>
        <w:tc>
          <w:tcPr>
            <w:tcW w:w="1757" w:type="dxa"/>
            <w:shd w:val="clear" w:color="auto" w:fill="ECEAFE"/>
          </w:tcPr>
          <w:p w14:paraId="4759A4FA">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Order</w:t>
            </w:r>
          </w:p>
        </w:tc>
        <w:tc>
          <w:tcPr>
            <w:tcW w:w="2948" w:type="dxa"/>
            <w:shd w:val="clear" w:color="auto" w:fill="ECEAFE"/>
          </w:tcPr>
          <w:p w14:paraId="5B6AD870">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Main activities</w:t>
            </w:r>
          </w:p>
        </w:tc>
        <w:tc>
          <w:tcPr>
            <w:tcW w:w="4649" w:type="dxa"/>
            <w:shd w:val="clear" w:color="auto" w:fill="ECEAFE"/>
          </w:tcPr>
          <w:p w14:paraId="16D4566D">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Completion criteria</w:t>
            </w:r>
          </w:p>
        </w:tc>
      </w:tr>
      <w:tr w14:paraId="6599D616">
        <w:trPr>
          <w:cantSplit/>
          <w:jc w:val="center"/>
        </w:trPr>
        <w:tc>
          <w:tcPr>
            <w:tcW w:w="1757" w:type="dxa"/>
          </w:tcPr>
          <w:p w14:paraId="1D5B9CD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1 / Pilot preparation</w:t>
            </w:r>
          </w:p>
        </w:tc>
        <w:tc>
          <w:tcPr>
            <w:tcW w:w="2948" w:type="dxa"/>
          </w:tcPr>
          <w:p w14:paraId="2FC8EE00">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Check study instructions, candidate materials, equipment, and the rating checklist</w:t>
            </w:r>
          </w:p>
        </w:tc>
        <w:tc>
          <w:tcPr>
            <w:tcW w:w="4649" w:type="dxa"/>
          </w:tcPr>
          <w:p w14:paraId="30F5DAFA">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Produce standardized, actionable instructions and a material package.</w:t>
            </w:r>
          </w:p>
        </w:tc>
      </w:tr>
      <w:tr w14:paraId="6ACF7565">
        <w:trPr>
          <w:cantSplit/>
          <w:jc w:val="center"/>
        </w:trPr>
        <w:tc>
          <w:tcPr>
            <w:tcW w:w="1757" w:type="dxa"/>
          </w:tcPr>
          <w:p w14:paraId="0634C90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2 / Six-person pilot</w:t>
            </w:r>
          </w:p>
        </w:tc>
        <w:tc>
          <w:tcPr>
            <w:tcW w:w="2948" w:type="dxa"/>
          </w:tcPr>
          <w:p w14:paraId="787D6E07">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Observe the five-step procedure, task burden, and data completeness</w:t>
            </w:r>
          </w:p>
        </w:tc>
        <w:tc>
          <w:tcPr>
            <w:tcW w:w="4649" w:type="dxa"/>
          </w:tcPr>
          <w:p w14:paraId="40BD7C9F">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Record problems, interviews, and the rationale for each revision.</w:t>
            </w:r>
          </w:p>
        </w:tc>
      </w:tr>
      <w:tr w14:paraId="4F362FBE">
        <w:trPr>
          <w:cantSplit/>
          <w:jc w:val="center"/>
        </w:trPr>
        <w:tc>
          <w:tcPr>
            <w:tcW w:w="1757" w:type="dxa"/>
          </w:tcPr>
          <w:p w14:paraId="40D4421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3 / Interaction refinement and rechecking</w:t>
            </w:r>
          </w:p>
        </w:tc>
        <w:tc>
          <w:tcPr>
            <w:tcW w:w="2948" w:type="dxa"/>
          </w:tcPr>
          <w:p w14:paraId="385290B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Refine guidance, occlusion, button meanings, and task pacing</w:t>
            </w:r>
          </w:p>
        </w:tc>
        <w:tc>
          <w:tcPr>
            <w:tcW w:w="4649" w:type="dxa"/>
          </w:tcPr>
          <w:p w14:paraId="2850199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Pass rechecking and freeze the formal version and protocol.</w:t>
            </w:r>
          </w:p>
        </w:tc>
      </w:tr>
      <w:tr w14:paraId="205CF4D3">
        <w:trPr>
          <w:cantSplit/>
          <w:jc w:val="center"/>
        </w:trPr>
        <w:tc>
          <w:tcPr>
            <w:tcW w:w="1757" w:type="dxa"/>
          </w:tcPr>
          <w:p w14:paraId="7CCC3AC7">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4 / Formal comparative experiment</w:t>
            </w:r>
          </w:p>
        </w:tc>
        <w:tc>
          <w:tcPr>
            <w:tcW w:w="2948" w:type="dxa"/>
          </w:tcPr>
          <w:p w14:paraId="7737D814">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Obtain the planned 24 valid paired records</w:t>
            </w:r>
          </w:p>
        </w:tc>
        <w:tc>
          <w:tcPr>
            <w:tcW w:w="4649" w:type="dxa"/>
          </w:tcPr>
          <w:p w14:paraId="7212147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Complete verification of artworks from two rounds, questionnaires, and ratings from both raters.</w:t>
            </w:r>
          </w:p>
        </w:tc>
      </w:tr>
      <w:tr w14:paraId="1499B2FA">
        <w:trPr>
          <w:cantSplit/>
          <w:jc w:val="center"/>
        </w:trPr>
        <w:tc>
          <w:tcPr>
            <w:tcW w:w="1757" w:type="dxa"/>
          </w:tcPr>
          <w:p w14:paraId="1B9AA20E">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5 / Analysis and thesis completion</w:t>
            </w:r>
          </w:p>
        </w:tc>
        <w:tc>
          <w:tcPr>
            <w:tcW w:w="2948" w:type="dxa"/>
          </w:tcPr>
          <w:p w14:paraId="431ADFE0">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Conduct paired analysis, interpret interviews, and synthesize design findings</w:t>
            </w:r>
          </w:p>
        </w:tc>
        <w:tc>
          <w:tcPr>
            <w:tcW w:w="4649" w:type="dxa"/>
          </w:tcPr>
          <w:p w14:paraId="11F6A34E">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rPr>
              <w:t>Complete the results and discussion, reporting limitations and applicable contexts.</w:t>
            </w:r>
          </w:p>
        </w:tc>
      </w:tr>
    </w:tbl>
    <w:p w14:paraId="54C9E807">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Note. The schedule is organized into relative stages. Specific dates will be determined after pilot arrangements and consultation with the supervisor.</w:t>
      </w:r>
    </w:p>
    <w:p w14:paraId="54CCF41E">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7.1 Conducting the pilot and refining interaction</w:t>
      </w:r>
    </w:p>
    <w:p w14:paraId="2A1A43B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next stage will begin with a pilot involving six drawing beginners. It will establish whether users can understand the instructions, enter practice, start drawing independently, use guidance, and submit their work, and whether the burden of the same material under the two conditions is reasonable. The researcher will observe key points of hesitation, record verbal feedback, and verify that logs, questionnaires, and artworks are completely paired. Pilot data will identify design and measurement problems and will not be pooled directly with formal data to demonstrate the hypotheses.</w:t>
      </w:r>
    </w:p>
    <w:p w14:paraId="13AC40C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Based on the pilot, priority will be given to interactions related to the core task: controlling the amount of guidance, reducing panel occlusion, improving access to tools, clarifying the meaning of starting and finishing, improving the visibility of small strokes, and checking whether undo behaves as users expect. Materials and stroke budgets will be determined jointly from actual operating times and completion. Rechecking will follow optimization, after which the formal materials, algorithmic plans, interface, questionnaires, and rating rules will be frozen to maintain comparability between conditions.</w:t>
      </w:r>
    </w:p>
    <w:p w14:paraId="1DD81418">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7.2 Conducting the formal comparative experiment and analyzing results</w:t>
      </w:r>
    </w:p>
    <w:p w14:paraId="12247B4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formal study aims to obtain valid paired records from 24 participants. Participants will use standardized equipment and input methods and draw images of similar difficulty and type, following counterbalanced orders and consistent time limits. Researchers will follow standardized instructions without providing additional drawing assistance in either condition. Interviews will focus on which method is easier to start, when participants most want to stop, and which artwork feels more like something they created themselves.</w:t>
      </w:r>
    </w:p>
    <w:p w14:paraId="58F6C6E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 analysis will use artwork completeness and willingness to draw again as the primary outcomes, with start-up delay, task duration, pauses, concern, and satisfaction providing supplementary explanations. The current platform provides paired differences, directional statistics, and two-sided exact sign tests, with Holm correction for the two primary outcomes. Before formal analysis, procedures for handling missing records, timeouts, withdrawals, and technical failures will be specified. Differences and uncertainty will be reported to avoid selecting only favorable indicators. Artwork assessment will conceal condition information wherever possible and examine disagreement between the two raters. If visual characteristics still reveal the condition, the limitations of blinding will be reported.</w:t>
      </w:r>
    </w:p>
    <w:p w14:paraId="61E322BD">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7.3 Completing the thesis and design synthesis</w:t>
      </w:r>
    </w:p>
    <w:p w14:paraId="4BBF03A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Thesis writing will proceed alongside the experiment. Chapters on the research background, related methods, algorithmic application, interaction design, and system development can be completed at this stage. User performance, interviews, discussion, and design recommendations will be added after the experiment. The final argument will address how ordered stroke guidance helps drawing beginners start and sustain drawing, linking software functions with process evidence and subjective experience. The research will use these findings to identify applicable contexts, limitations, and directions for further improvement.</w:t>
      </w:r>
    </w:p>
    <w:p w14:paraId="51A05CBC">
      <w:pPr>
        <w:pStyle w:val="16"/>
        <w:pageBreakBefore/>
      </w:pPr>
      <w:r>
        <w:t>References</w:t>
      </w:r>
    </w:p>
    <w:p w14:paraId="29A2AFF3">
      <w:pPr>
        <w:pStyle w:val="21"/>
        <w:keepNext/>
      </w:pPr>
      <w:r>
        <w:t>[1] HERTZMANN A. Painterly Rendering with Curved Brush Strokes of Multiple Sizes [Conference paper]. In Proceedings of SIGGRAPH 1998. 1998: 453–460. DOI: 10.1145/280814.280951.</w:t>
      </w:r>
    </w:p>
    <w:p w14:paraId="718D09A3">
      <w:pPr>
        <w:pStyle w:val="20"/>
      </w:pPr>
      <w:r>
        <w:rPr>
          <w:color w:val="3755A0"/>
          <w:sz w:val="19"/>
        </w:rPr>
        <w:t>Original publication / Source: https://mrl.cs.nyu.edu/publications/painterly98/</w:t>
      </w:r>
    </w:p>
    <w:p w14:paraId="6956EC6E">
      <w:pPr>
        <w:pStyle w:val="21"/>
        <w:keepNext/>
      </w:pPr>
      <w:r>
        <w:t>[2] HUANG Z, HENG W, ZHOU S. Learning to Paint With Model-Based Deep Reinforcement Learning [Conference paper]. In Proceedings of ICCV. 2019: 8709–8718. DOI: 10.1109/ICCV.2019.00880.</w:t>
      </w:r>
    </w:p>
    <w:p w14:paraId="0B00EB52">
      <w:pPr>
        <w:pStyle w:val="20"/>
      </w:pPr>
      <w:r>
        <w:rPr>
          <w:color w:val="3755A0"/>
          <w:sz w:val="19"/>
        </w:rPr>
        <w:t>Original publication / Source: https://arxiv.org/abs/1903.04411</w:t>
      </w:r>
    </w:p>
    <w:p w14:paraId="58F53686">
      <w:pPr>
        <w:pStyle w:val="21"/>
        <w:keepNext/>
      </w:pPr>
      <w:r>
        <w:t>[3] ZOU Z, SHI T, QIU S, et al. Stylized Neural Painting [Conference paper]. In Proceedings of CVPR. 2021: 15689–15698. DOI: 10.1109/CVPR46437.2021.01543.</w:t>
      </w:r>
    </w:p>
    <w:p w14:paraId="4CCBE78C">
      <w:pPr>
        <w:pStyle w:val="20"/>
      </w:pPr>
      <w:r>
        <w:rPr>
          <w:color w:val="3755A0"/>
          <w:sz w:val="19"/>
        </w:rPr>
        <w:t>Original publication / Source: https://openaccess.thecvf.com/content/CVPR2021/html/Zou_Stylized_Neural_Painting_CVPR_2021_paper.html</w:t>
      </w:r>
    </w:p>
    <w:p w14:paraId="2A743ECB">
      <w:pPr>
        <w:pStyle w:val="21"/>
        <w:keepNext/>
      </w:pPr>
      <w:r>
        <w:t>[4] HU T, YI R, ZHU H, et al. Stroke-based Neural Painting and Stylization with Dynamically Predicted Painting Region [Conference paper]. In Proceedings of ACM Multimedia. 2023. DOI: 10.1145/3581783.3611766.</w:t>
      </w:r>
    </w:p>
    <w:p w14:paraId="1A28E49C">
      <w:pPr>
        <w:pStyle w:val="20"/>
      </w:pPr>
      <w:r>
        <w:rPr>
          <w:color w:val="3755A0"/>
          <w:sz w:val="19"/>
        </w:rPr>
        <w:t>Original publication / Source: https://arxiv.org/abs/2309.03504</w:t>
      </w:r>
    </w:p>
    <w:p w14:paraId="043B0958">
      <w:pPr>
        <w:pStyle w:val="21"/>
        <w:keepNext/>
      </w:pPr>
      <w:r>
        <w:t>[5] NATIONAL GALLERY. Claude Monet: The Water-Lily Pond [Online resource]. Accessed September 16, 2026.</w:t>
      </w:r>
    </w:p>
    <w:p w14:paraId="58382520">
      <w:pPr>
        <w:pStyle w:val="20"/>
      </w:pPr>
      <w:r>
        <w:rPr>
          <w:color w:val="3755A0"/>
          <w:sz w:val="19"/>
        </w:rPr>
        <w:t>Original publication / Source: https://www.nationalgallery.org.uk/paintings/claude-monet-the-water-lily-pond</w:t>
      </w:r>
    </w:p>
    <w:p w14:paraId="323DA681">
      <w:pPr>
        <w:pStyle w:val="21"/>
        <w:keepNext/>
      </w:pPr>
      <w:r>
        <w:t>[6] VAN GOGH MUSEUM. Unravel Van Gogh: Thick Brushstrokes [Online resource]. Accessed September 16, 2026.</w:t>
      </w:r>
    </w:p>
    <w:p w14:paraId="7FCF4ABE">
      <w:pPr>
        <w:pStyle w:val="20"/>
      </w:pPr>
      <w:r>
        <w:rPr>
          <w:color w:val="3755A0"/>
          <w:sz w:val="19"/>
        </w:rPr>
        <w:t>Original publication / Source: https://ontrafel.vangogh.nl/en/story/29/thick-brushstrokes/</w:t>
      </w:r>
    </w:p>
    <w:p w14:paraId="44B16053">
      <w:pPr>
        <w:pStyle w:val="21"/>
        <w:keepNext/>
      </w:pPr>
      <w:r>
        <w:t>[7] NATIONAL GALLERY. Paul Gauguin: Harvest, Le Pouldu [Online resource]. Accessed September 16, 2026.</w:t>
      </w:r>
    </w:p>
    <w:p w14:paraId="08AA6E26">
      <w:pPr>
        <w:pStyle w:val="20"/>
      </w:pPr>
      <w:r>
        <w:rPr>
          <w:color w:val="3755A0"/>
          <w:sz w:val="19"/>
        </w:rPr>
        <w:t>Original publication / Source: https://www.nationalgallery.org.uk/paintings/paul-gauguin-harvest-le-pouldu</w:t>
      </w:r>
    </w:p>
    <w:p w14:paraId="559B3471">
      <w:pPr>
        <w:pStyle w:val="21"/>
        <w:keepNext/>
      </w:pPr>
      <w:r>
        <w:t>[8] NATIONAL GALLERY. Rembrandt: The Late Works—A Resource for Science Teachers, What Is Paint? [Online resource]. Accessed September 16, 2026.</w:t>
      </w:r>
    </w:p>
    <w:p w14:paraId="3AB1BA73">
      <w:pPr>
        <w:pStyle w:val="20"/>
      </w:pPr>
      <w:r>
        <w:rPr>
          <w:color w:val="3755A0"/>
          <w:sz w:val="19"/>
        </w:rPr>
        <w:t>Original publication / Source: https://www.nationalgallery.org.uk/learning/teachers-notes/rembrandt-the-late-works-a-resource-for-science-teachers?viewPage=3</w:t>
      </w:r>
    </w:p>
    <w:p w14:paraId="2922637C">
      <w:pPr>
        <w:pStyle w:val="21"/>
        <w:keepNext/>
      </w:pPr>
      <w:r>
        <w:t>[9] THE METROPOLITAN MUSEUM OF ART. Pablo Picasso (1881–1973) [Online resource]. Accessed September 16, 2026.</w:t>
      </w:r>
    </w:p>
    <w:p w14:paraId="3CB53823">
      <w:pPr>
        <w:pStyle w:val="20"/>
      </w:pPr>
      <w:r>
        <w:rPr>
          <w:color w:val="3755A0"/>
          <w:sz w:val="19"/>
        </w:rPr>
        <w:t>Original publication / Source: https://www.metmuseum.org/essays/pablo-picasso-1881-1973</w:t>
      </w:r>
    </w:p>
    <w:p w14:paraId="4170A777">
      <w:pPr>
        <w:pStyle w:val="21"/>
        <w:keepNext/>
      </w:pPr>
      <w:r>
        <w:t>[10] CENTENO S A, MAHON D. A Technical Study of John Singer Sargent’s Portrait of Madame Pierre Gautreau [Journal article]. Metropolitan Museum Journal, 2005, 40: 121–129.</w:t>
      </w:r>
    </w:p>
    <w:p w14:paraId="35651EB0">
      <w:pPr>
        <w:pStyle w:val="20"/>
      </w:pPr>
      <w:r>
        <w:rPr>
          <w:color w:val="3755A0"/>
          <w:sz w:val="19"/>
        </w:rPr>
        <w:t>Original publication / Source: https://www.metmuseum.org/met-publications/technical-study-sargents-madame-pierre-gautreau-the-metropolitan-museum-journal-v-40-2005</w:t>
      </w: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 w14:paraId="551CC058">
      <w:pPr>
        <w:snapToGrid w:val="0"/>
        <w:jc w:val="left"/>
        <w:rPr>
          <w:rFonts w:eastAsia="华文楷体"/>
          <w:sz w:val="24"/>
        </w:rPr>
      </w:pPr>
    </w:p>
    <w:p w14:paraId="47393346">
      <w:pPr>
        <w:snapToGrid w:val="0"/>
        <w:jc w:val="left"/>
        <w:rPr>
          <w:rFonts w:eastAsia="华文楷体"/>
          <w:sz w:val="24"/>
        </w:rPr>
      </w:pPr>
    </w:p>
    <w:p w14:paraId="2B559151">
      <w:pPr>
        <w:snapToGrid w:val="0"/>
        <w:jc w:val="left"/>
        <w:rPr>
          <w:rFonts w:eastAsia="华文楷体"/>
          <w:sz w:val="24"/>
        </w:rPr>
      </w:pPr>
    </w:p>
    <w:p w14:paraId="04ABA769">
      <w:pPr>
        <w:snapToGrid w:val="0"/>
        <w:jc w:val="left"/>
        <w:rPr>
          <w:rFonts w:eastAsia="华文楷体"/>
          <w:sz w:val="24"/>
        </w:rPr>
      </w:pPr>
    </w:p>
    <w:p w14:paraId="5784AE0A">
      <w:pPr>
        <w:pageBreakBefore/>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6CBD119C">
      <w:pPr>
        <w:snapToGrid w:val="0"/>
        <w:ind w:firstLine="480" w:firstLineChars="200"/>
        <w:jc w:val="left"/>
        <w:rPr>
          <w:rFonts w:eastAsia="华文楷体"/>
          <w:sz w:val="24"/>
        </w:rPr>
      </w:pPr>
      <w:permStart w:id="15"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"https://startracepaint.com/" </w:instrText>
      </w:r>
      <w:r>
        <w:rPr>
          <w:rFonts w:hint="eastAsia" w:eastAsia="华文楷体"/>
          <w:sz w:val="24"/>
          <w:lang w:val="en-US" w:eastAsia="zh-CN"/>
        </w:rPr>
        <w:fldChar w:fldCharType="separate"/>
      </w:r>
      <w:r>
        <w:rPr>
          <w:rStyle w:val="11"/>
          <w:rFonts w:hint="eastAsia" w:eastAsia="华文楷体"/>
          <w:sz w:val="24"/>
          <w:lang w:val="en-US" w:eastAsia="zh-CN"/>
        </w:rPr>
        <w:t>https://startracepaint.com/</w:t>
      </w:r>
      <w:r>
        <w:rPr>
          <w:rFonts w:hint="eastAsia" w:eastAsia="华文楷体"/>
          <w:sz w:val="24"/>
          <w:lang w:val="en-US" w:eastAsia="zh-CN"/>
        </w:rPr>
        <w:fldChar w:fldCharType="end"/>
      </w: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5"/>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8"/>
      <w:bookmarkStart w:id="5" w:name="OLE_LINK19"/>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6" w:edGrp="everyone"/>
      <w:r>
        <w:rPr>
          <w:rFonts w:eastAsia="仿宋_GB2312"/>
          <w:b/>
          <w:sz w:val="24"/>
        </w:rPr>
        <w:t xml:space="preserve">      </w:t>
      </w:r>
      <w:r>
        <w:drawing>
          <wp:inline distT="0" distB="0" distL="114300" distR="114300">
            <wp:extent cx="1013460" cy="553085"/>
            <wp:effectExtent l="0" t="0" r="2540"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1013460" cy="553085"/>
                    </a:xfrm>
                    <a:prstGeom prst="rect">
                      <a:avLst/>
                    </a:prstGeom>
                    <a:noFill/>
                    <a:ln>
                      <a:noFill/>
                    </a:ln>
                  </pic:spPr>
                </pic:pic>
              </a:graphicData>
            </a:graphic>
          </wp:inline>
        </w:drawing>
      </w:r>
      <w:r>
        <w:rPr>
          <w:rFonts w:eastAsia="仿宋_GB2312"/>
          <w:b/>
          <w:sz w:val="24"/>
        </w:rPr>
        <w:t xml:space="preserve">       </w:t>
      </w:r>
      <w:permEnd w:id="16"/>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7" w:edGrp="everyone"/>
      <w:r>
        <w:rPr>
          <w:rFonts w:ascii="Times New Roman" w:hAnsi="Times New Roman" w:cs="Times New Roman"/>
          <w:b/>
          <w:sz w:val="24"/>
        </w:rPr>
        <w:t xml:space="preserve">    </w:t>
      </w:r>
      <w:r>
        <w:drawing>
          <wp:inline distT="0" distB="0" distL="114300" distR="114300">
            <wp:extent cx="1112520" cy="604520"/>
            <wp:effectExtent l="0" t="0" r="5080"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7"/>
                    <a:stretch>
                      <a:fillRect/>
                    </a:stretch>
                  </pic:blipFill>
                  <pic:spPr>
                    <a:xfrm>
                      <a:off x="0" y="0"/>
                      <a:ext cx="1112520" cy="604520"/>
                    </a:xfrm>
                    <a:prstGeom prst="rect">
                      <a:avLst/>
                    </a:prstGeom>
                    <a:noFill/>
                    <a:ln>
                      <a:noFill/>
                    </a:ln>
                  </pic:spPr>
                </pic:pic>
              </a:graphicData>
            </a:graphic>
          </wp:inline>
        </w:drawing>
      </w:r>
      <w:r>
        <w:rPr>
          <w:rFonts w:ascii="Times New Roman" w:hAnsi="Times New Roman" w:cs="Times New Roman"/>
          <w:b/>
          <w:sz w:val="24"/>
        </w:rPr>
        <w:t xml:space="preserve">       </w:t>
      </w:r>
      <w:permEnd w:id="17"/>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8"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2026-10-22</w:t>
      </w:r>
      <w:r>
        <w:rPr>
          <w:rFonts w:eastAsia="仿宋_GB2312"/>
          <w:szCs w:val="21"/>
        </w:rPr>
        <w:fldChar w:fldCharType="end"/>
      </w:r>
      <w:permEnd w:id="18"/>
    </w:p>
    <w:sectPr>
      <w:headerReference r:id="rId11" w:type="first"/>
      <w:footerReference r:id="rId12" w:type="first"/>
      <w:pgSz w:w="11907" w:h="16840"/>
      <w:pgMar w:top="1191" w:right="1134" w:bottom="851" w:left="1134" w:header="851" w:footer="567" w:gutter="0"/>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华文楷体">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0FCFECA8"/>
    <w:rsid w:val="138E4DA7"/>
    <w:rsid w:val="21725332"/>
    <w:rsid w:val="2C6216DD"/>
    <w:rsid w:val="2CA3146B"/>
    <w:rsid w:val="2F946722"/>
    <w:rsid w:val="31204797"/>
    <w:rsid w:val="34086670"/>
    <w:rsid w:val="360A0E5E"/>
    <w:rsid w:val="37B37A77"/>
    <w:rsid w:val="38CB11E8"/>
    <w:rsid w:val="39577622"/>
    <w:rsid w:val="3E7EDCA6"/>
    <w:rsid w:val="3EB5E60F"/>
    <w:rsid w:val="3FDF9FFF"/>
    <w:rsid w:val="47760D41"/>
    <w:rsid w:val="4A3A17DC"/>
    <w:rsid w:val="4C1703B2"/>
    <w:rsid w:val="5A6C4CE3"/>
    <w:rsid w:val="5B1660B9"/>
    <w:rsid w:val="5D5E0913"/>
    <w:rsid w:val="66FB2B28"/>
    <w:rsid w:val="68FFDD8F"/>
    <w:rsid w:val="704C78A9"/>
    <w:rsid w:val="77141D8A"/>
    <w:rsid w:val="7BFB9102"/>
    <w:rsid w:val="BEEB342E"/>
    <w:rsid w:val="BF5F0058"/>
    <w:rsid w:val="CE7D3A58"/>
    <w:rsid w:val="E9EF71FA"/>
    <w:rsid w:val="F7DF7AF2"/>
    <w:rsid w:val="F7FF5F26"/>
    <w:rsid w:val="FEFB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2"/>
    <w:qFormat/>
    <w:uiPriority w:val="0"/>
    <w:pPr>
      <w:tabs>
        <w:tab w:val="center" w:pos="4153"/>
        <w:tab w:val="right" w:pos="8306"/>
      </w:tabs>
      <w:snapToGrid w:val="0"/>
      <w:spacing w:line="240" w:lineRule="atLeast"/>
      <w:jc w:val="left"/>
    </w:pPr>
    <w:rPr>
      <w:sz w:val="18"/>
    </w:rPr>
  </w:style>
  <w:style w:type="paragraph" w:styleId="4">
    <w:name w:val="header"/>
    <w:basedOn w:val="1"/>
    <w:link w:val="13"/>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FollowedHyperlink"/>
    <w:basedOn w:val="8"/>
    <w:uiPriority w:val="0"/>
    <w:rPr>
      <w:color w:val="800080"/>
      <w:u w:val="single"/>
    </w:rPr>
  </w:style>
  <w:style w:type="character" w:styleId="11">
    <w:name w:val="Hyperlink"/>
    <w:qFormat/>
    <w:uiPriority w:val="0"/>
    <w:rPr>
      <w:color w:val="0000FF"/>
      <w:u w:val="single"/>
    </w:rPr>
  </w:style>
  <w:style w:type="character" w:customStyle="1" w:styleId="12">
    <w:name w:val="页脚 Char"/>
    <w:link w:val="3"/>
    <w:qFormat/>
    <w:uiPriority w:val="99"/>
    <w:rPr>
      <w:sz w:val="18"/>
    </w:rPr>
  </w:style>
  <w:style w:type="character" w:customStyle="1" w:styleId="13">
    <w:name w:val="页眉 Char"/>
    <w:link w:val="4"/>
    <w:qFormat/>
    <w:uiPriority w:val="0"/>
    <w:rPr>
      <w:sz w:val="18"/>
      <w:szCs w:val="18"/>
    </w:rPr>
  </w:style>
  <w:style w:type="paragraph" w:styleId="14">
    <w:name w:val="List Paragraph"/>
    <w:basedOn w:val="1"/>
    <w:qFormat/>
    <w:uiPriority w:val="34"/>
    <w:pPr>
      <w:adjustRightInd/>
      <w:spacing w:line="240" w:lineRule="auto"/>
      <w:ind w:firstLine="420" w:firstLineChars="200"/>
      <w:textAlignment w:val="auto"/>
    </w:pPr>
    <w:rPr>
      <w:kern w:val="2"/>
      <w:szCs w:val="24"/>
    </w:rPr>
  </w:style>
  <w:style w:type="character" w:styleId="15">
    <w:name w:val="Placeholder Text"/>
    <w:basedOn w:val="8"/>
    <w:semiHidden/>
    <w:qFormat/>
    <w:uiPriority w:val="99"/>
    <w:rPr>
      <w:color w:val="808080"/>
    </w:rPr>
  </w:style>
  <w:style w:type="paragraph" w:customStyle="1" w:styleId="16">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7">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8">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9">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20">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1">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 w:type="paragraph" w:customStyle="1" w:styleId="22">
    <w:name w:val="ReviewSubheading"/>
    <w:basedOn w:val="1"/>
    <w:uiPriority w:val="0"/>
    <w:pPr>
      <w:keepNext/>
      <w:keepLines/>
      <w:widowControl/>
      <w:spacing w:before="160" w:after="120" w:line="300" w:lineRule="auto"/>
      <w:outlineLvl w:val="1"/>
    </w:pPr>
    <w:rPr>
      <w:rFonts w:ascii="Times New Roman" w:hAnsi="Times New Roman" w:eastAsia="黑体"/>
      <w:b/>
      <w:color w:val="000000"/>
      <w:sz w:val="24"/>
    </w:rPr>
  </w:style>
  <w:style w:type="paragraph" w:customStyle="1" w:styleId="23">
    <w:name w:val="ReviewBodyCN"/>
    <w:basedOn w:val="1"/>
    <w:uiPriority w:val="0"/>
    <w:pPr>
      <w:widowControl/>
      <w:spacing w:before="0" w:after="100" w:line="300" w:lineRule="auto"/>
      <w:ind w:firstLine="480"/>
    </w:pPr>
    <w:rPr>
      <w:rFonts w:ascii="Times New Roman" w:hAnsi="Times New Roman" w:eastAsia="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glossaryDocument" Target="glossary/document.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25</Pages>
  <Words>10624</Words>
  <Characters>32819</Characters>
  <Lines>18</Lines>
  <Paragraphs>5</Paragraphs>
  <TotalTime>14</TotalTime>
  <ScaleCrop>false</ScaleCrop>
  <LinksUpToDate>false</LinksUpToDate>
  <CharactersWithSpaces>36903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2019-08-15T00:35:00Z</dcterms:created>
  <dc:creator>朱金霞</dc:creator>
  <cp:lastModifiedBy>haharrychen</cp:lastModifiedBy>
  <cp:lastPrinted>2004-10-28T17:21:00Z</cp:lastPrinted>
  <dcterms:modified xsi:type="dcterms:W3CDTF">2026-10-22T18:23:46Z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BB20C585BBB1BE053F08AD6A84E4F55F_43</vt:lpwstr>
  </property>
</Properties>
</file>