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宋体" w:hAnsi="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p>
    <w:p w14:paraId="4C5FEAAA">
      <w:pPr>
        <w:jc w:val="center"/>
        <w:rPr>
          <w:rFonts w:ascii="宋体" w:hAnsi="宋体"/>
          <w:b/>
          <w:sz w:val="52"/>
          <w:szCs w:val="52"/>
        </w:rPr>
      </w:pPr>
    </w:p>
    <w:p w14:paraId="295CE040">
      <w:pPr>
        <w:jc w:val="center"/>
        <w:rPr>
          <w:rFonts w:ascii="宋体" w:hAnsi="宋体"/>
          <w:b/>
          <w:sz w:val="52"/>
          <w:szCs w:val="52"/>
        </w:rPr>
      </w:pPr>
      <w:r>
        <w:rPr>
          <w:rFonts w:hint="eastAsia" w:ascii="宋体" w:hAnsi="宋体"/>
          <w:b/>
          <w:sz w:val="52"/>
          <w:szCs w:val="52"/>
        </w:rPr>
        <w:t>硕士研究生学位论文中期检查报告</w:t>
      </w:r>
    </w:p>
    <w:p w14:paraId="24434B4E">
      <w:pPr>
        <w:jc w:val="center"/>
        <w:rPr>
          <w:sz w:val="24"/>
        </w:rPr>
      </w:pPr>
      <w:r>
        <w:rPr>
          <w:b/>
          <w:sz w:val="30"/>
          <w:szCs w:val="30"/>
        </w:rPr>
        <w:t>Mid-term Examination Report for SJTU Master Student</w:t>
      </w:r>
    </w:p>
    <w:p w14:paraId="3A96C0E3">
      <w:pPr>
        <w:rPr>
          <w:sz w:val="24"/>
        </w:rPr>
      </w:pPr>
    </w:p>
    <w:p w14:paraId="2281F4A7">
      <w:pPr>
        <w:rPr>
          <w:sz w:val="24"/>
        </w:rPr>
      </w:pPr>
    </w:p>
    <w:tbl>
      <w:tblPr>
        <w:tblStyle w:val="6"/>
        <w:tblW w:w="7147" w:type="dxa"/>
        <w:jc w:val="center"/>
        <w:tblLayout w:type="autofit"/>
        <w:tblCellMar>
          <w:top w:w="0" w:type="dxa"/>
          <w:left w:w="108" w:type="dxa"/>
          <w:bottom w:w="0" w:type="dxa"/>
          <w:right w:w="108" w:type="dxa"/>
        </w:tblCellMar>
      </w:tblPr>
      <w:tblGrid>
        <w:gridCol w:w="2298"/>
        <w:gridCol w:w="4849"/>
      </w:tblGrid>
      <w:tr w14:paraId="548058BD">
        <w:trPr>
          <w:jc w:val="center"/>
        </w:trPr>
        <w:tc>
          <w:tcPr>
            <w:tcW w:w="2298" w:type="dxa"/>
            <w:shd w:val="clear" w:color="auto" w:fill="auto"/>
            <w:vAlign w:val="bottom"/>
          </w:tcPr>
          <w:p w14:paraId="1922F9EC">
            <w:pPr>
              <w:spacing w:before="120" w:beforeLines="50" w:after="120" w:afterLines="50" w:line="240" w:lineRule="auto"/>
              <w:rPr>
                <w:rFonts w:ascii="楷体_GB2312" w:eastAsia="楷体_GB2312"/>
                <w:b/>
                <w:sz w:val="28"/>
                <w:szCs w:val="28"/>
              </w:rPr>
            </w:pPr>
            <w:permStart w:id="0" w:edGrp="everyone" w:colFirst="1" w:colLast="1"/>
            <w:r>
              <w:rPr>
                <w:rFonts w:hint="eastAsia" w:ascii="楷体_GB2312"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4849" w:type="dxa"/>
            <w:tcBorders>
              <w:bottom w:val="single" w:color="auto" w:sz="4" w:space="0"/>
            </w:tcBorders>
            <w:shd w:val="clear" w:color="auto" w:fill="auto"/>
            <w:vAlign w:val="bottom"/>
          </w:tcPr>
          <w:p w14:paraId="0F1B22CA">
            <w:pPr>
              <w:spacing w:line="320" w:lineRule="exact"/>
              <w:rPr>
                <w:rFonts w:ascii="楷体_GB2312" w:eastAsia="楷体_GB2312"/>
                <w:sz w:val="28"/>
                <w:szCs w:val="28"/>
              </w:rPr>
            </w:pPr>
            <w:r>
              <w:rPr>
                <w:rFonts w:hint="eastAsia" w:ascii="楷体_GB2312" w:eastAsia="楷体_GB2312"/>
                <w:sz w:val="28"/>
                <w:szCs w:val="28"/>
              </w:rPr>
              <w:t>124270910044</w:t>
            </w:r>
          </w:p>
        </w:tc>
      </w:tr>
      <w:permEnd w:id="0"/>
      <w:tr w14:paraId="7C126A85">
        <w:trPr>
          <w:jc w:val="center"/>
        </w:trPr>
        <w:tc>
          <w:tcPr>
            <w:tcW w:w="2298" w:type="dxa"/>
            <w:shd w:val="clear" w:color="auto" w:fill="auto"/>
            <w:vAlign w:val="bottom"/>
          </w:tcPr>
          <w:p w14:paraId="3CF3FC2B">
            <w:pPr>
              <w:spacing w:before="120" w:beforeLines="50" w:after="120" w:afterLines="50" w:line="240" w:lineRule="auto"/>
              <w:rPr>
                <w:rFonts w:ascii="楷体_GB2312" w:eastAsia="楷体_GB2312"/>
                <w:b/>
                <w:sz w:val="28"/>
                <w:szCs w:val="28"/>
              </w:rPr>
            </w:pPr>
            <w:permStart w:id="1" w:edGrp="everyone" w:colFirst="1" w:colLast="1"/>
            <w:r>
              <w:rPr>
                <w:rFonts w:hint="eastAsia" w:ascii="楷体_GB2312" w:eastAsia="楷体_GB2312"/>
                <w:b/>
                <w:sz w:val="28"/>
                <w:szCs w:val="28"/>
              </w:rPr>
              <w:t>姓名</w:t>
            </w:r>
            <w:r>
              <w:rPr>
                <w:rFonts w:eastAsia="楷体_GB2312"/>
                <w:b/>
                <w:sz w:val="24"/>
                <w:szCs w:val="24"/>
              </w:rPr>
              <w:t xml:space="preserve"> Name</w:t>
            </w:r>
          </w:p>
        </w:tc>
        <w:tc>
          <w:tcPr>
            <w:tcW w:w="4849" w:type="dxa"/>
            <w:tcBorders>
              <w:top w:val="single" w:color="auto" w:sz="4" w:space="0"/>
              <w:bottom w:val="single" w:color="auto" w:sz="4" w:space="0"/>
            </w:tcBorders>
            <w:shd w:val="clear" w:color="auto" w:fill="auto"/>
            <w:vAlign w:val="bottom"/>
          </w:tcPr>
          <w:p w14:paraId="181BB46B">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陈皓宇</w:t>
            </w:r>
          </w:p>
        </w:tc>
      </w:tr>
      <w:permEnd w:id="1"/>
      <w:tr w14:paraId="2E3D46FB">
        <w:trPr>
          <w:trHeight w:val="654" w:hRule="atLeast"/>
          <w:jc w:val="center"/>
        </w:trPr>
        <w:tc>
          <w:tcPr>
            <w:tcW w:w="2298" w:type="dxa"/>
            <w:shd w:val="clear" w:color="auto" w:fill="auto"/>
            <w:vAlign w:val="center"/>
          </w:tcPr>
          <w:p w14:paraId="24B9D949">
            <w:pPr>
              <w:spacing w:before="120" w:beforeLines="50" w:after="120" w:afterLines="50" w:line="240" w:lineRule="auto"/>
              <w:jc w:val="left"/>
              <w:rPr>
                <w:rFonts w:eastAsia="楷体_GB2312"/>
                <w:b/>
                <w:sz w:val="28"/>
                <w:szCs w:val="28"/>
              </w:rPr>
            </w:pPr>
            <w:r>
              <w:rPr>
                <w:rFonts w:hint="eastAsia" w:eastAsia="楷体_GB2312"/>
                <w:b/>
                <w:sz w:val="28"/>
                <w:szCs w:val="28"/>
              </w:rPr>
              <w:t>学生类别</w:t>
            </w:r>
            <w:r>
              <w:rPr>
                <w:rFonts w:eastAsia="楷体_GB2312"/>
                <w:b/>
                <w:sz w:val="28"/>
                <w:szCs w:val="28"/>
              </w:rPr>
              <w:br w:type="textWrapping"/>
            </w:r>
            <w:r>
              <w:rPr>
                <w:rFonts w:eastAsia="楷体_GB2312"/>
                <w:b/>
                <w:sz w:val="24"/>
                <w:szCs w:val="24"/>
              </w:rPr>
              <w:t>Degree Program</w:t>
            </w:r>
          </w:p>
        </w:tc>
        <w:tc>
          <w:tcPr>
            <w:tcW w:w="4849" w:type="dxa"/>
            <w:tcBorders>
              <w:top w:val="single" w:color="auto" w:sz="4" w:space="0"/>
              <w:bottom w:val="single" w:color="auto" w:sz="4" w:space="0"/>
            </w:tcBorders>
            <w:shd w:val="clear" w:color="auto" w:fill="auto"/>
            <w:vAlign w:val="center"/>
          </w:tcPr>
          <w:p w14:paraId="2C276C17">
            <w:pPr>
              <w:spacing w:before="120" w:after="120"/>
              <w:jc w:val="left"/>
              <w:rPr>
                <w:sz w:val="28"/>
                <w:szCs w:val="28"/>
                <w:u w:val="single"/>
              </w:rPr>
            </w:pPr>
            <w:sdt>
              <w:sdtPr>
                <w:rPr>
                  <w:sz w:val="28"/>
                  <w:szCs w:val="28"/>
                </w:rPr>
                <w:id w:val="-1"/>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EndPr>
                <w:rPr>
                  <w:sz w:val="28"/>
                  <w:szCs w:val="28"/>
                </w:rPr>
              </w:sdtEndPr>
              <w:sdtContent>
                <w:permStart w:id="2" w:edGrp="everyone"/>
                <w:r>
                  <w:rPr>
                    <w:rFonts w:ascii="Times New Roman" w:hAnsi="Times New Roman" w:eastAsia="宋体" w:cs="Times New Roman"/>
                    <w:sz w:val="28"/>
                    <w:szCs w:val="28"/>
                    <w:lang w:val="en-US" w:eastAsia="zh-CN" w:bidi="ar-SA"/>
                  </w:rPr>
                  <w:t>专业型硕士生 Professional Master</w:t>
                </w:r>
                <w:permEnd w:id="2"/>
              </w:sdtContent>
            </w:sdt>
          </w:p>
        </w:tc>
      </w:tr>
      <w:tr w14:paraId="26F65578">
        <w:trPr>
          <w:trHeight w:val="654" w:hRule="atLeast"/>
          <w:jc w:val="center"/>
        </w:trPr>
        <w:tc>
          <w:tcPr>
            <w:tcW w:w="2298" w:type="dxa"/>
            <w:shd w:val="clear" w:color="auto" w:fill="auto"/>
            <w:vAlign w:val="center"/>
          </w:tcPr>
          <w:p w14:paraId="1949027A">
            <w:pPr>
              <w:spacing w:before="120" w:beforeLines="50" w:after="120" w:afterLines="50" w:line="240" w:lineRule="auto"/>
              <w:jc w:val="left"/>
              <w:rPr>
                <w:rFonts w:eastAsia="楷体_GB2312"/>
                <w:b/>
                <w:sz w:val="28"/>
                <w:szCs w:val="28"/>
              </w:rPr>
            </w:pPr>
            <w:r>
              <w:rPr>
                <w:rFonts w:hint="eastAsia" w:eastAsia="楷体_GB2312"/>
                <w:b/>
                <w:sz w:val="28"/>
                <w:szCs w:val="28"/>
              </w:rPr>
              <w:t>学习形式</w:t>
            </w:r>
            <w:r>
              <w:rPr>
                <w:rFonts w:eastAsia="楷体_GB2312"/>
                <w:b/>
                <w:sz w:val="28"/>
                <w:szCs w:val="28"/>
              </w:rPr>
              <w:br w:type="textWrapping"/>
            </w:r>
            <w:r>
              <w:rPr>
                <w:rFonts w:eastAsia="楷体_GB2312"/>
                <w:b/>
                <w:sz w:val="24"/>
                <w:szCs w:val="24"/>
              </w:rPr>
              <w:t>Study Mode</w:t>
            </w:r>
          </w:p>
        </w:tc>
        <w:tc>
          <w:tcPr>
            <w:tcW w:w="4849" w:type="dxa"/>
            <w:tcBorders>
              <w:top w:val="single" w:color="auto" w:sz="4" w:space="0"/>
              <w:bottom w:val="single" w:color="auto" w:sz="4" w:space="0"/>
            </w:tcBorders>
            <w:shd w:val="clear" w:color="auto" w:fill="auto"/>
            <w:vAlign w:val="center"/>
          </w:tcPr>
          <w:p w14:paraId="7A19E6A2">
            <w:pPr>
              <w:spacing w:before="120" w:after="120"/>
              <w:jc w:val="left"/>
              <w:rPr>
                <w:sz w:val="28"/>
                <w:szCs w:val="28"/>
              </w:rPr>
            </w:pPr>
            <w:sdt>
              <w:sdtPr>
                <w:rPr>
                  <w:rFonts w:hint="eastAsia" w:ascii="宋体" w:hAnsi="宋体"/>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EndPr>
                <w:rPr>
                  <w:rFonts w:hint="eastAsia" w:ascii="宋体" w:hAnsi="宋体"/>
                  <w:sz w:val="28"/>
                  <w:szCs w:val="28"/>
                </w:rPr>
              </w:sdtEndPr>
              <w:sdtContent>
                <w:permStart w:id="3" w:edGrp="everyone"/>
                <w:r>
                  <w:rPr>
                    <w:rFonts w:hint="eastAsia" w:ascii="宋体" w:hAnsi="宋体" w:eastAsia="宋体" w:cs="Times New Roman"/>
                    <w:sz w:val="28"/>
                    <w:szCs w:val="28"/>
                    <w:lang w:val="en-US" w:eastAsia="zh-CN" w:bidi="ar-SA"/>
                  </w:rPr>
                  <w:t>全日制 Full-time</w:t>
                </w:r>
                <w:permEnd w:id="3"/>
              </w:sdtContent>
            </w:sdt>
          </w:p>
        </w:tc>
      </w:tr>
      <w:tr w14:paraId="574EF4B2">
        <w:trPr>
          <w:trHeight w:val="536" w:hRule="atLeast"/>
          <w:jc w:val="center"/>
        </w:trPr>
        <w:tc>
          <w:tcPr>
            <w:tcW w:w="2298" w:type="dxa"/>
            <w:shd w:val="clear" w:color="auto" w:fill="auto"/>
            <w:vAlign w:val="bottom"/>
          </w:tcPr>
          <w:p w14:paraId="05C92EDC">
            <w:pPr>
              <w:spacing w:before="120" w:beforeLines="50" w:after="120" w:afterLines="50" w:line="240" w:lineRule="auto"/>
              <w:rPr>
                <w:rFonts w:ascii="楷体_GB2312" w:eastAsia="楷体_GB2312"/>
                <w:b/>
                <w:sz w:val="28"/>
                <w:szCs w:val="28"/>
              </w:rPr>
            </w:pPr>
            <w:permStart w:id="4" w:edGrp="everyone" w:colFirst="1" w:colLast="1"/>
            <w:r>
              <w:rPr>
                <w:rFonts w:hint="eastAsia" w:ascii="楷体_GB2312" w:eastAsia="楷体_GB2312"/>
                <w:b/>
                <w:sz w:val="28"/>
                <w:szCs w:val="28"/>
              </w:rPr>
              <w:t>导师</w:t>
            </w:r>
            <w:r>
              <w:rPr>
                <w:rFonts w:hint="eastAsia" w:eastAsia="楷体_GB2312"/>
                <w:b/>
                <w:sz w:val="28"/>
                <w:szCs w:val="28"/>
              </w:rPr>
              <w:t xml:space="preserve"> </w:t>
            </w:r>
            <w:r>
              <w:rPr>
                <w:rFonts w:eastAsia="楷体_GB2312"/>
                <w:b/>
                <w:sz w:val="24"/>
                <w:szCs w:val="24"/>
              </w:rPr>
              <w:t>Supervisor(s)</w:t>
            </w:r>
          </w:p>
        </w:tc>
        <w:tc>
          <w:tcPr>
            <w:tcW w:w="4849" w:type="dxa"/>
            <w:tcBorders>
              <w:top w:val="single" w:color="auto" w:sz="4" w:space="0"/>
              <w:bottom w:val="single" w:color="auto" w:sz="4" w:space="0"/>
            </w:tcBorders>
            <w:shd w:val="clear" w:color="auto" w:fill="auto"/>
            <w:vAlign w:val="bottom"/>
          </w:tcPr>
          <w:p w14:paraId="33769E51">
            <w:pPr>
              <w:spacing w:line="320" w:lineRule="exact"/>
              <w:rPr>
                <w:rFonts w:ascii="楷体_GB2312" w:eastAsia="楷体_GB2312"/>
                <w:sz w:val="28"/>
                <w:szCs w:val="28"/>
              </w:rPr>
            </w:pPr>
            <w:r>
              <w:rPr>
                <w:rFonts w:hint="eastAsia" w:ascii="楷体_GB2312" w:eastAsia="楷体_GB2312"/>
                <w:sz w:val="28"/>
                <w:szCs w:val="28"/>
              </w:rPr>
              <w:t>倪冰冰</w:t>
            </w:r>
          </w:p>
        </w:tc>
      </w:tr>
      <w:permEnd w:id="4"/>
      <w:tr w14:paraId="6DDC2848">
        <w:trPr>
          <w:jc w:val="center"/>
        </w:trPr>
        <w:tc>
          <w:tcPr>
            <w:tcW w:w="2298" w:type="dxa"/>
            <w:shd w:val="clear" w:color="auto" w:fill="auto"/>
            <w:vAlign w:val="bottom"/>
          </w:tcPr>
          <w:p w14:paraId="15C0E78C">
            <w:pPr>
              <w:spacing w:before="120" w:beforeLines="50" w:after="120" w:afterLines="50" w:line="240" w:lineRule="auto"/>
              <w:rPr>
                <w:rFonts w:ascii="楷体_GB2312" w:eastAsia="楷体_GB2312"/>
                <w:b/>
                <w:sz w:val="28"/>
                <w:szCs w:val="28"/>
              </w:rPr>
            </w:pPr>
            <w:permStart w:id="5" w:edGrp="everyone" w:colFirst="1" w:colLast="1"/>
            <w:r>
              <w:rPr>
                <w:rFonts w:hint="eastAsia" w:eastAsia="楷体_GB2312"/>
                <w:b/>
                <w:sz w:val="28"/>
                <w:szCs w:val="28"/>
              </w:rPr>
              <w:t xml:space="preserve">专业 </w:t>
            </w:r>
            <w:r>
              <w:rPr>
                <w:rFonts w:eastAsia="楷体_GB2312"/>
                <w:b/>
                <w:sz w:val="24"/>
                <w:szCs w:val="24"/>
              </w:rPr>
              <w:t>Major</w:t>
            </w:r>
          </w:p>
        </w:tc>
        <w:tc>
          <w:tcPr>
            <w:tcW w:w="4849" w:type="dxa"/>
            <w:tcBorders>
              <w:top w:val="single" w:color="auto" w:sz="4" w:space="0"/>
              <w:bottom w:val="single" w:color="auto" w:sz="4" w:space="0"/>
            </w:tcBorders>
            <w:shd w:val="clear" w:color="auto" w:fill="auto"/>
            <w:vAlign w:val="bottom"/>
          </w:tcPr>
          <w:p w14:paraId="45861AE1">
            <w:pPr>
              <w:spacing w:line="320" w:lineRule="exact"/>
              <w:rPr>
                <w:rFonts w:hint="eastAsia" w:ascii="楷体_GB2312" w:eastAsia="楷体_GB2312"/>
                <w:sz w:val="28"/>
                <w:szCs w:val="28"/>
                <w:lang w:val="en-US" w:eastAsia="zh-CN"/>
              </w:rPr>
            </w:pPr>
            <w:r>
              <w:rPr>
                <w:rFonts w:hint="eastAsia" w:ascii="楷体_GB2312" w:eastAsia="楷体_GB2312"/>
                <w:sz w:val="28"/>
                <w:szCs w:val="28"/>
                <w:lang w:val="en-US" w:eastAsia="zh-CN"/>
              </w:rPr>
              <w:t>数字文创与管理</w:t>
            </w:r>
          </w:p>
        </w:tc>
      </w:tr>
      <w:permEnd w:id="5"/>
      <w:tr w14:paraId="53948466">
        <w:trPr>
          <w:jc w:val="center"/>
        </w:trPr>
        <w:tc>
          <w:tcPr>
            <w:tcW w:w="2298" w:type="dxa"/>
            <w:shd w:val="clear" w:color="auto" w:fill="auto"/>
            <w:vAlign w:val="bottom"/>
          </w:tcPr>
          <w:p w14:paraId="32643F0C">
            <w:pPr>
              <w:spacing w:before="120" w:beforeLines="50" w:after="120" w:afterLines="50" w:line="240" w:lineRule="auto"/>
              <w:rPr>
                <w:rFonts w:ascii="楷体_GB2312"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4849" w:type="dxa"/>
            <w:tcBorders>
              <w:top w:val="single" w:color="auto" w:sz="4" w:space="0"/>
              <w:bottom w:val="single" w:color="auto" w:sz="4" w:space="0"/>
            </w:tcBorders>
            <w:shd w:val="clear" w:color="auto" w:fill="auto"/>
            <w:vAlign w:val="bottom"/>
          </w:tcPr>
          <w:p w14:paraId="135DA2D2">
            <w:pPr>
              <w:spacing w:line="320" w:lineRule="exact"/>
              <w:rPr>
                <w:rFonts w:ascii="楷体_GB2312" w:eastAsia="楷体_GB2312"/>
                <w:sz w:val="28"/>
                <w:szCs w:val="28"/>
              </w:rPr>
            </w:pPr>
            <w:r>
              <w:rPr>
                <w:rFonts w:hint="eastAsia" w:ascii="楷体_GB2312" w:eastAsia="楷体_GB2312"/>
                <w:sz w:val="28"/>
                <w:szCs w:val="28"/>
              </w:rPr>
              <w:t>上海交大-南加州大学文化创意产业学院</w:t>
            </w:r>
          </w:p>
        </w:tc>
      </w:tr>
      <w:permEnd w:id="6"/>
      <w:tr w14:paraId="58ACB3D8">
        <w:trPr>
          <w:jc w:val="center"/>
        </w:trPr>
        <w:tc>
          <w:tcPr>
            <w:tcW w:w="2298" w:type="dxa"/>
            <w:shd w:val="clear" w:color="auto" w:fill="auto"/>
            <w:vAlign w:val="bottom"/>
          </w:tcPr>
          <w:p w14:paraId="657DD1D4">
            <w:pPr>
              <w:spacing w:before="120" w:beforeLines="50" w:after="120" w:afterLines="50" w:line="240" w:lineRule="auto"/>
              <w:rPr>
                <w:rFonts w:ascii="楷体_GB2312" w:eastAsia="楷体_GB2312"/>
                <w:b/>
                <w:sz w:val="28"/>
                <w:szCs w:val="28"/>
              </w:rPr>
            </w:pPr>
            <w:permStart w:id="7" w:edGrp="everyone" w:colFirst="1" w:colLast="1"/>
            <w:r>
              <w:rPr>
                <w:rFonts w:hint="eastAsia" w:ascii="楷体_GB2312" w:eastAsia="楷体_GB2312"/>
                <w:b/>
                <w:sz w:val="28"/>
                <w:szCs w:val="28"/>
              </w:rPr>
              <w:t>考核日期</w:t>
            </w:r>
            <w:r>
              <w:rPr>
                <w:rFonts w:eastAsia="楷体_GB2312"/>
                <w:b/>
                <w:sz w:val="28"/>
                <w:szCs w:val="28"/>
              </w:rPr>
              <w:t xml:space="preserve"> </w:t>
            </w:r>
            <w:r>
              <w:rPr>
                <w:rFonts w:eastAsia="楷体_GB2312"/>
                <w:b/>
                <w:sz w:val="24"/>
                <w:szCs w:val="24"/>
              </w:rPr>
              <w:t>Date</w:t>
            </w:r>
          </w:p>
        </w:tc>
        <w:tc>
          <w:tcPr>
            <w:tcW w:w="4849" w:type="dxa"/>
            <w:tcBorders>
              <w:top w:val="single" w:color="auto" w:sz="4" w:space="0"/>
              <w:bottom w:val="single" w:color="auto" w:sz="4" w:space="0"/>
            </w:tcBorders>
            <w:shd w:val="clear" w:color="auto" w:fill="auto"/>
            <w:vAlign w:val="bottom"/>
          </w:tcPr>
          <w:p w14:paraId="696DC991">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2026年9月23日</w:t>
            </w:r>
          </w:p>
        </w:tc>
      </w:tr>
      <w:permEnd w:id="7"/>
    </w:tbl>
    <w:p w14:paraId="62CA0984">
      <w:pPr>
        <w:rPr>
          <w:sz w:val="24"/>
        </w:rPr>
        <w:sectPr>
          <w:headerReference r:id="rId5" w:type="default"/>
          <w:footerReference r:id="rId6" w:type="default"/>
          <w:footerReference r:id="rId7" w:type="even"/>
          <w:pgSz w:w="11907" w:h="16840"/>
          <w:pgMar w:top="1191" w:right="1134" w:bottom="851" w:left="1134" w:header="851" w:footer="992" w:gutter="0"/>
          <w:cols w:space="425" w:num="1"/>
          <w:titlePg/>
          <w:docGrid w:linePitch="286" w:charSpace="0"/>
        </w:sectPr>
      </w:pPr>
    </w:p>
    <w:p w14:paraId="04B97241">
      <w:pPr>
        <w:jc w:val="center"/>
        <w:rPr>
          <w:rFonts w:eastAsia="黑体"/>
          <w:sz w:val="30"/>
        </w:rPr>
      </w:pPr>
      <w:r>
        <w:rPr>
          <w:rFonts w:hint="eastAsia" w:eastAsia="黑体"/>
          <w:sz w:val="30"/>
        </w:rPr>
        <w:t xml:space="preserve">填报说明 </w:t>
      </w:r>
      <w:r>
        <w:rPr>
          <w:rFonts w:eastAsia="黑体"/>
          <w:b/>
          <w:sz w:val="30"/>
        </w:rPr>
        <w:t>Instruction</w:t>
      </w:r>
    </w:p>
    <w:p w14:paraId="0CFB37F2">
      <w:pPr>
        <w:pStyle w:val="14"/>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硕士</w:t>
      </w:r>
      <w:r>
        <w:rPr>
          <w:rFonts w:eastAsia="仿宋_GB2312"/>
          <w:color w:val="000000" w:themeColor="text1"/>
          <w:sz w:val="24"/>
          <w14:textFill>
            <w14:solidFill>
              <w14:schemeClr w14:val="tx1"/>
            </w14:solidFill>
          </w14:textFill>
        </w:rPr>
        <w:t>研究生学位论文中期检查应通过</w:t>
      </w:r>
      <w:r>
        <w:fldChar w:fldCharType="begin"/>
      </w:r>
      <w:r>
        <w:instrText xml:space="preserve"> HYPERLINK "http://my.sjtu.edu.cn/" </w:instrText>
      </w:r>
      <w:r>
        <w:fldChar w:fldCharType="separate"/>
      </w:r>
      <w:r>
        <w:rPr>
          <w:rStyle w:val="10"/>
          <w:rFonts w:eastAsia="仿宋_GB2312"/>
          <w:sz w:val="24"/>
        </w:rPr>
        <w:t>数字交大</w:t>
      </w:r>
      <w:r>
        <w:rPr>
          <w:rStyle w:val="11"/>
          <w:rFonts w:eastAsia="仿宋_GB2312"/>
          <w:sz w:val="24"/>
        </w:rPr>
        <w:fldChar w:fldCharType="end"/>
      </w:r>
      <w:r>
        <w:rPr>
          <w:rFonts w:eastAsia="仿宋_GB2312"/>
          <w:color w:val="000000" w:themeColor="text1"/>
          <w:sz w:val="24"/>
          <w14:textFill>
            <w14:solidFill>
              <w14:schemeClr w14:val="tx1"/>
            </w14:solidFill>
          </w14:textFill>
        </w:rPr>
        <w:t>在线提交申请</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填写本表并上传系统。特殊情况下经研究生院事先同意</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可不上传系统</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并使用</w:t>
      </w:r>
      <w:r>
        <w:rPr>
          <w:rFonts w:hint="eastAsia" w:eastAsia="仿宋_GB2312"/>
          <w:color w:val="000000" w:themeColor="text1"/>
          <w:sz w:val="24"/>
          <w14:textFill>
            <w14:solidFill>
              <w14:schemeClr w14:val="tx1"/>
            </w14:solidFill>
          </w14:textFill>
        </w:rPr>
        <w:t>《上海交通大学硕士论文中期检查评审表》完成</w:t>
      </w:r>
      <w:r>
        <w:rPr>
          <w:rFonts w:eastAsia="仿宋_GB2312"/>
          <w:color w:val="000000" w:themeColor="text1"/>
          <w:sz w:val="24"/>
          <w14:textFill>
            <w14:solidFill>
              <w14:schemeClr w14:val="tx1"/>
            </w14:solidFill>
          </w14:textFill>
        </w:rPr>
        <w:t>评审</w:t>
      </w:r>
      <w:r>
        <w:rPr>
          <w:rFonts w:hint="eastAsia" w:eastAsia="仿宋_GB2312"/>
          <w:color w:val="000000" w:themeColor="text1"/>
          <w:sz w:val="24"/>
          <w14:textFill>
            <w14:solidFill>
              <w14:schemeClr w14:val="tx1"/>
            </w14:solidFill>
          </w14:textFill>
        </w:rPr>
        <w:t>。</w:t>
      </w:r>
    </w:p>
    <w:p w14:paraId="3E05E823">
      <w:pPr>
        <w:pStyle w:val="14"/>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仿宋_GB2312"/>
          <w:color w:val="000000" w:themeColor="text1"/>
          <w:sz w:val="24"/>
          <w14:textFill>
            <w14:solidFill>
              <w14:schemeClr w14:val="tx1"/>
            </w14:solidFill>
          </w14:textFill>
        </w:rPr>
        <w:t xml:space="preserve">The application for thesis mid-term examination should be submitted online through </w:t>
      </w:r>
      <w:r>
        <w:fldChar w:fldCharType="begin"/>
      </w:r>
      <w:r>
        <w:instrText xml:space="preserve"> HYPERLINK "http://my.sjtu.edu.cn/" </w:instrText>
      </w:r>
      <w:r>
        <w:fldChar w:fldCharType="separate"/>
      </w:r>
      <w:r>
        <w:rPr>
          <w:rStyle w:val="11"/>
          <w:rFonts w:eastAsia="仿宋_GB2312"/>
          <w:sz w:val="24"/>
        </w:rPr>
        <w:t>My SJTU</w:t>
      </w:r>
      <w:r>
        <w:rPr>
          <w:rStyle w:val="11"/>
          <w:rFonts w:eastAsia="仿宋_GB2312"/>
          <w:sz w:val="24"/>
        </w:rPr>
        <w:fldChar w:fldCharType="end"/>
      </w:r>
      <w:r>
        <w:rPr>
          <w:rFonts w:eastAsia="仿宋_GB2312"/>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4"/>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仿宋_GB2312" w:eastAsia="仿宋_GB2312"/>
          <w:sz w:val="24"/>
        </w:rPr>
        <w:t>本报告请用</w:t>
      </w:r>
      <w:r>
        <w:rPr>
          <w:rFonts w:ascii="仿宋_GB2312" w:eastAsia="仿宋_GB2312"/>
          <w:sz w:val="24"/>
        </w:rPr>
        <w:t>A4纸双面打印</w:t>
      </w:r>
      <w:r>
        <w:rPr>
          <w:rFonts w:hint="eastAsia" w:ascii="仿宋_GB2312" w:eastAsia="仿宋_GB2312"/>
          <w:sz w:val="24"/>
        </w:rPr>
        <w:t>，</w:t>
      </w:r>
      <w:bookmarkStart w:id="0" w:name="OLE_LINK2"/>
      <w:bookmarkStart w:id="1" w:name="OLE_LINK1"/>
      <w:r>
        <w:rPr>
          <w:rFonts w:hint="eastAsia" w:ascii="仿宋_GB2312" w:eastAsia="仿宋_GB2312"/>
          <w:sz w:val="24"/>
        </w:rPr>
        <w:t>于左侧订在一起</w:t>
      </w:r>
      <w:bookmarkEnd w:id="0"/>
      <w:bookmarkEnd w:id="1"/>
      <w:r>
        <w:rPr>
          <w:rFonts w:hint="eastAsia" w:ascii="仿宋_GB2312" w:eastAsia="仿宋_GB2312"/>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仿宋_GB2312"/>
          <w:sz w:val="24"/>
        </w:rPr>
        <w:t>This report should be printed with A4 paper</w:t>
      </w:r>
      <w:r>
        <w:rPr>
          <w:rFonts w:hint="eastAsia" w:eastAsia="仿宋_GB2312"/>
          <w:sz w:val="24"/>
        </w:rPr>
        <w:t>s</w:t>
      </w:r>
      <w:r>
        <w:rPr>
          <w:rFonts w:eastAsia="仿宋_GB2312"/>
          <w:sz w:val="24"/>
        </w:rPr>
        <w:t xml:space="preserve"> and bound </w:t>
      </w:r>
      <w:r>
        <w:rPr>
          <w:rFonts w:hint="eastAsia" w:eastAsia="仿宋_GB2312"/>
          <w:sz w:val="24"/>
        </w:rPr>
        <w:t xml:space="preserve">together </w:t>
      </w:r>
      <w:r>
        <w:rPr>
          <w:rFonts w:eastAsia="仿宋_GB2312"/>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仿宋_GB2312" w:eastAsia="仿宋_GB2312"/>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仿宋_GB2312"/>
          <w:sz w:val="24"/>
        </w:rPr>
        <w:t>U</w:t>
      </w:r>
      <w:r>
        <w:rPr>
          <w:rFonts w:eastAsia="仿宋_GB2312"/>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docGrid w:type="lines" w:linePitch="312" w:charSpace="0"/>
        </w:sectPr>
      </w:pPr>
    </w:p>
    <w:p w14:paraId="43FAAC7F">
      <w:pPr>
        <w:adjustRightInd/>
        <w:spacing w:line="360" w:lineRule="auto"/>
        <w:ind w:left="510"/>
        <w:jc w:val="center"/>
        <w:textAlignment w:val="auto"/>
        <w:rPr>
          <w:rFonts w:eastAsia="仿宋_GB2312"/>
          <w:b/>
          <w:sz w:val="28"/>
          <w:szCs w:val="28"/>
        </w:rPr>
      </w:pPr>
      <w:r>
        <w:rPr>
          <w:rFonts w:hint="eastAsia" w:eastAsia="仿宋_GB2312"/>
          <w:b/>
          <w:sz w:val="28"/>
          <w:szCs w:val="28"/>
        </w:rPr>
        <w:t>中期检查</w:t>
      </w:r>
      <w:r>
        <w:rPr>
          <w:rFonts w:eastAsia="仿宋_GB2312"/>
          <w:b/>
          <w:sz w:val="28"/>
          <w:szCs w:val="28"/>
        </w:rPr>
        <w:t>报告 Mid-term Examination Report</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rPr>
          <w:jc w:val="center"/>
        </w:trPr>
        <w:tc>
          <w:tcPr>
            <w:tcW w:w="2694" w:type="dxa"/>
            <w:shd w:val="clear" w:color="auto" w:fill="auto"/>
            <w:vAlign w:val="center"/>
          </w:tcPr>
          <w:p w14:paraId="216F7E25">
            <w:pPr>
              <w:spacing w:line="360" w:lineRule="auto"/>
              <w:rPr>
                <w:rFonts w:eastAsia="仿宋_GB2312"/>
                <w:sz w:val="24"/>
              </w:rPr>
            </w:pPr>
            <w:permStart w:id="8" w:edGrp="everyone" w:colFirst="1" w:colLast="1"/>
            <w:r>
              <w:rPr>
                <w:rFonts w:eastAsia="仿宋_GB2312"/>
                <w:sz w:val="24"/>
              </w:rPr>
              <w:t>论文题目</w:t>
            </w:r>
          </w:p>
          <w:p w14:paraId="44A9B916">
            <w:pPr>
              <w:spacing w:line="360" w:lineRule="auto"/>
              <w:rPr>
                <w:rFonts w:eastAsia="仿宋_GB2312"/>
                <w:sz w:val="24"/>
              </w:rPr>
            </w:pPr>
            <w:r>
              <w:rPr>
                <w:rFonts w:eastAsia="仿宋_GB2312"/>
                <w:sz w:val="24"/>
              </w:rPr>
              <w:t>Thesis Title</w:t>
            </w:r>
          </w:p>
        </w:tc>
        <w:tc>
          <w:tcPr>
            <w:tcW w:w="6458" w:type="dxa"/>
            <w:shd w:val="clear" w:color="auto" w:fill="auto"/>
            <w:vAlign w:val="center"/>
          </w:tcPr>
          <w:p w14:paraId="552524EA">
            <w:pPr>
              <w:spacing w:line="360" w:lineRule="auto"/>
              <w:rPr>
                <w:rFonts w:hint="eastAsia" w:eastAsia="仿宋_GB2312"/>
                <w:b/>
                <w:sz w:val="24"/>
              </w:rPr>
            </w:pPr>
            <w:r>
              <w:rPr>
                <w:rFonts w:hint="eastAsia" w:eastAsia="仿宋_GB2312"/>
                <w:b/>
                <w:sz w:val="24"/>
              </w:rPr>
              <w:t>基于笔触拆解计算的数字绘画辅助系统交互设计研究——以“星迹智绘”为例</w:t>
            </w:r>
          </w:p>
          <w:p w14:paraId="7EEC6EE5">
            <w:pPr>
              <w:spacing w:line="360" w:lineRule="auto"/>
              <w:rPr>
                <w:rFonts w:hint="eastAsia" w:eastAsia="仿宋_GB2312"/>
                <w:b/>
                <w:sz w:val="24"/>
              </w:rPr>
            </w:pPr>
            <w:r>
              <w:rPr>
                <w:rFonts w:hint="eastAsia" w:eastAsia="仿宋_GB2312"/>
                <w:b/>
                <w:sz w:val="24"/>
              </w:rPr>
              <w:t>Research on Interaction Design of Digital Painting Assistance System Based on Stroke Decomposition Computation: A Case Study of Star Trace Paint</w:t>
            </w:r>
          </w:p>
        </w:tc>
      </w:tr>
      <w:permEnd w:id="8"/>
      <w:tr w14:paraId="7717257B">
        <w:trPr>
          <w:jc w:val="center"/>
        </w:trPr>
        <w:tc>
          <w:tcPr>
            <w:tcW w:w="2694" w:type="dxa"/>
            <w:shd w:val="clear" w:color="auto" w:fill="auto"/>
            <w:vAlign w:val="center"/>
          </w:tcPr>
          <w:p w14:paraId="0F9EDBD1">
            <w:pPr>
              <w:spacing w:line="360" w:lineRule="auto"/>
              <w:rPr>
                <w:rFonts w:eastAsia="仿宋_GB2312"/>
                <w:sz w:val="24"/>
              </w:rPr>
            </w:pPr>
            <w:r>
              <w:rPr>
                <w:rFonts w:eastAsia="仿宋_GB2312"/>
                <w:sz w:val="24"/>
              </w:rPr>
              <w:t>研究课题来源</w:t>
            </w:r>
          </w:p>
          <w:p w14:paraId="0D8BCA31">
            <w:pPr>
              <w:spacing w:line="360" w:lineRule="auto"/>
              <w:rPr>
                <w:rFonts w:eastAsia="仿宋_GB2312"/>
                <w:sz w:val="24"/>
              </w:rPr>
            </w:pPr>
            <w:r>
              <w:rPr>
                <w:rFonts w:eastAsia="仿宋_GB2312"/>
                <w:sz w:val="24"/>
              </w:rPr>
              <w:t>Source of Research Project</w:t>
            </w:r>
          </w:p>
        </w:tc>
        <w:tc>
          <w:tcPr>
            <w:tcW w:w="6458" w:type="dxa"/>
            <w:shd w:val="clear" w:color="auto" w:fill="auto"/>
          </w:tcPr>
          <w:p w14:paraId="32AC70A7">
            <w:pPr>
              <w:spacing w:line="300" w:lineRule="auto"/>
              <w:jc w:val="left"/>
              <w:rPr>
                <w:rFonts w:ascii="华文仿宋" w:hAnsi="华文仿宋" w:eastAsia="华文仿宋"/>
                <w:szCs w:val="21"/>
              </w:rPr>
            </w:pPr>
            <w:r>
              <w:rPr>
                <w:rFonts w:ascii="华文仿宋" w:hAnsi="华文仿宋" w:eastAsia="华文仿宋"/>
                <w:sz w:val="24"/>
              </w:rPr>
              <w:t>请在合适选项前画</w:t>
            </w:r>
            <w:r>
              <w:rPr>
                <w:rFonts w:hint="eastAsia" w:ascii="华文仿宋" w:hAnsi="华文仿宋" w:eastAsia="华文仿宋"/>
                <w:sz w:val="24"/>
              </w:rPr>
              <w:t xml:space="preserve">√ </w:t>
            </w:r>
            <w:r>
              <w:rPr>
                <w:rFonts w:eastAsia="华文仿宋"/>
                <w:szCs w:val="21"/>
              </w:rPr>
              <w:t xml:space="preserve">Please select the proper options by </w:t>
            </w:r>
            <w:r>
              <w:rPr>
                <w:rFonts w:ascii="华文仿宋" w:hAnsi="华文仿宋" w:eastAsia="华文仿宋"/>
                <w:szCs w:val="21"/>
              </w:rPr>
              <w:t>“</w:t>
            </w:r>
            <w:r>
              <w:rPr>
                <w:rFonts w:hint="eastAsia" w:ascii="华文仿宋" w:hAnsi="华文仿宋" w:eastAsia="华文仿宋"/>
                <w:szCs w:val="21"/>
              </w:rPr>
              <w:t>√</w:t>
            </w:r>
            <w:r>
              <w:rPr>
                <w:rFonts w:ascii="华文仿宋" w:hAnsi="华文仿宋" w:eastAsia="华文仿宋"/>
                <w:szCs w:val="21"/>
              </w:rPr>
              <w:t>”</w:t>
            </w:r>
            <w:r>
              <w:rPr>
                <w:rFonts w:hint="eastAsia" w:ascii="华文仿宋" w:hAnsi="华文仿宋" w:eastAsia="华文仿宋"/>
                <w:szCs w:val="21"/>
              </w:rPr>
              <w:t>.</w:t>
            </w:r>
          </w:p>
          <w:p w14:paraId="61E72F79">
            <w:pPr>
              <w:spacing w:line="300" w:lineRule="auto"/>
              <w:jc w:val="left"/>
              <w:rPr>
                <w:rFonts w:eastAsia="仿宋_GB2312"/>
                <w:sz w:val="24"/>
              </w:rPr>
            </w:pPr>
            <w:r>
              <w:rPr>
                <w:rFonts w:hint="eastAsia"/>
                <w:lang w:eastAsia="zh-CN"/>
              </w:rPr>
              <w:t>☑</w:t>
            </w:r>
            <w:r>
              <w:rPr>
                <w:rFonts w:ascii="Times New Roman" w:hAnsi="Times New Roman" w:eastAsia="宋体"/>
              </w:rPr>
              <w:t xml:space="preserve"> </w:t>
            </w:r>
            <w:r>
              <w:rPr>
                <w:rFonts w:ascii="华文仿宋" w:hAnsi="华文仿宋" w:eastAsia="华文仿宋"/>
                <w:sz w:val="24"/>
              </w:rPr>
              <w:t>国家自然科学基金课题</w:t>
            </w:r>
            <w:r>
              <w:rPr>
                <w:rFonts w:eastAsia="仿宋_GB2312"/>
                <w:sz w:val="24"/>
              </w:rPr>
              <w:t xml:space="preserve"> NSFC Research Grants</w:t>
            </w:r>
          </w:p>
          <w:p w14:paraId="71219B40">
            <w:pPr>
              <w:spacing w:line="300" w:lineRule="auto"/>
              <w:jc w:val="left"/>
              <w:rPr>
                <w:rFonts w:eastAsia="仿宋_GB2312"/>
                <w:sz w:val="24"/>
              </w:rPr>
            </w:pPr>
            <w:sdt>
              <w:sdtPr>
                <w:rPr>
                  <w:rFonts w:ascii="华文仿宋" w:hAnsi="华文仿宋" w:eastAsia="华文仿宋"/>
                  <w:sz w:val="24"/>
                </w:rPr>
                <w:id w:val="328316849"/>
                <w14:checkbox>
                  <w14:checked w14:val="0"/>
                  <w14:checkedState w14:val="221A" w14:font="宋体"/>
                  <w14:uncheckedState w14:val="2610" w14:font="MS Gothic"/>
                </w14:checkbox>
              </w:sdtPr>
              <w:sdtEndPr>
                <w:rPr>
                  <w:rFonts w:ascii="华文仿宋" w:hAnsi="华文仿宋" w:eastAsia="华文仿宋"/>
                  <w:sz w:val="24"/>
                </w:rPr>
              </w:sdtEndPr>
              <w:sdtContent>
                <w:permStart w:id="9" w:edGrp="everyone"/>
                <w:r>
                  <w:rPr>
                    <w:rFonts w:hint="eastAsia" w:ascii="MS Gothic" w:hAnsi="MS Gothic" w:eastAsia="MS Gothic"/>
                    <w:sz w:val="24"/>
                  </w:rPr>
                  <w:t>☐</w:t>
                </w:r>
                <w:permEnd w:id="9"/>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1ED7B81E">
            <w:pPr>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permStart w:id="10" w:edGrp="everyone"/>
                <w:r>
                  <w:rPr>
                    <w:rFonts w:hint="eastAsia" w:ascii="MS Gothic" w:hAnsi="MS Gothic" w:eastAsia="MS Gothic"/>
                    <w:sz w:val="24"/>
                  </w:rPr>
                  <w:t>☐</w:t>
                </w:r>
                <w:permEnd w:id="10"/>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756A6DED">
            <w:pPr>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其它纵向科研课题 </w:t>
            </w:r>
            <w:r>
              <w:rPr>
                <w:rFonts w:eastAsia="仿宋_GB2312"/>
                <w:sz w:val="24"/>
              </w:rPr>
              <w:t>Other Governmental Research Grants</w:t>
            </w:r>
          </w:p>
          <w:p w14:paraId="06699B07">
            <w:pPr>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华文仿宋" w:hAnsi="华文仿宋" w:eastAsia="华文仿宋"/>
                <w:sz w:val="24"/>
              </w:rPr>
              <w:t xml:space="preserve"> 企业横向课题</w:t>
            </w:r>
            <w:r>
              <w:rPr>
                <w:rFonts w:eastAsia="仿宋_GB2312"/>
                <w:sz w:val="24"/>
              </w:rPr>
              <w:t xml:space="preserve"> R&amp;D Projects from Industry</w:t>
            </w:r>
          </w:p>
          <w:p w14:paraId="2678DE47">
            <w:pPr>
              <w:spacing w:line="300" w:lineRule="auto"/>
              <w:jc w:val="left"/>
              <w:rPr>
                <w:rFonts w:eastAsia="华文楷体"/>
                <w:sz w:val="24"/>
              </w:rPr>
            </w:pPr>
            <w:sdt>
              <w:sdtPr>
                <w:rPr>
                  <w:rFonts w:ascii="华文仿宋" w:hAnsi="华文仿宋" w:eastAsia="华文仿宋"/>
                  <w:sz w:val="24"/>
                </w:rPr>
                <w:id w:val="135792000"/>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自拟课题 </w:t>
            </w:r>
            <w:r>
              <w:rPr>
                <w:rFonts w:eastAsia="仿宋_GB2312"/>
                <w:sz w:val="24"/>
              </w:rPr>
              <w:t>Self-proposed Project</w:t>
            </w:r>
          </w:p>
        </w:tc>
      </w:tr>
      <w:tr w14:paraId="7B24C17D">
        <w:trPr>
          <w:jc w:val="center"/>
        </w:trPr>
        <w:tc>
          <w:tcPr>
            <w:tcW w:w="2694" w:type="dxa"/>
            <w:shd w:val="clear" w:color="auto" w:fill="auto"/>
            <w:vAlign w:val="center"/>
          </w:tcPr>
          <w:p w14:paraId="0BF59315">
            <w:pPr>
              <w:spacing w:line="360" w:lineRule="auto"/>
              <w:rPr>
                <w:rFonts w:eastAsia="仿宋_GB2312"/>
                <w:sz w:val="24"/>
              </w:rPr>
            </w:pPr>
            <w:permStart w:id="14" w:edGrp="everyone" w:colFirst="1" w:colLast="1"/>
            <w:r>
              <w:rPr>
                <w:rFonts w:eastAsia="仿宋_GB2312"/>
                <w:sz w:val="24"/>
              </w:rPr>
              <w:t>论文开题日期</w:t>
            </w:r>
          </w:p>
          <w:p w14:paraId="5F761062">
            <w:pPr>
              <w:spacing w:line="360" w:lineRule="auto"/>
              <w:rPr>
                <w:rFonts w:eastAsia="仿宋_GB2312"/>
                <w:sz w:val="24"/>
              </w:rPr>
            </w:pPr>
            <w:r>
              <w:rPr>
                <w:rFonts w:hint="eastAsia" w:eastAsia="仿宋_GB2312"/>
                <w:sz w:val="24"/>
              </w:rPr>
              <w:t>Thesis</w:t>
            </w:r>
            <w:r>
              <w:rPr>
                <w:rFonts w:eastAsia="仿宋_GB2312"/>
                <w:sz w:val="24"/>
              </w:rPr>
              <w:t xml:space="preserve"> </w:t>
            </w:r>
            <w:r>
              <w:rPr>
                <w:rFonts w:hint="eastAsia" w:eastAsia="仿宋_GB2312"/>
                <w:sz w:val="24"/>
              </w:rPr>
              <w:t>Proposal Date</w:t>
            </w:r>
          </w:p>
        </w:tc>
        <w:tc>
          <w:tcPr>
            <w:tcW w:w="6458" w:type="dxa"/>
            <w:shd w:val="clear" w:color="auto" w:fill="auto"/>
            <w:vAlign w:val="center"/>
          </w:tcPr>
          <w:p w14:paraId="093D377E">
            <w:pPr>
              <w:spacing w:line="300" w:lineRule="auto"/>
              <w:rPr>
                <w:rFonts w:ascii="华文仿宋" w:hAnsi="华文仿宋" w:eastAsia="华文仿宋"/>
                <w:sz w:val="24"/>
              </w:rPr>
            </w:pPr>
            <w:r>
              <w:rPr>
                <w:rFonts w:hint="eastAsia" w:ascii="华文仿宋" w:hAnsi="华文仿宋" w:eastAsia="华文仿宋"/>
                <w:sz w:val="24"/>
              </w:rPr>
              <w:t>2025 年 11 月 12 日</w:t>
            </w:r>
          </w:p>
        </w:tc>
      </w:tr>
      <w:permEnd w:id="14"/>
    </w:tbl>
    <w:p w14:paraId="6080FBDC">
      <w:pPr>
        <w:numPr>
          <w:ilvl w:val="0"/>
          <w:numId w:val="2"/>
        </w:numPr>
        <w:adjustRightInd/>
        <w:spacing w:before="240" w:after="240" w:line="240" w:lineRule="auto"/>
        <w:textAlignment w:val="auto"/>
        <w:rPr>
          <w:rFonts w:eastAsia="仿宋_GB2312"/>
          <w:sz w:val="24"/>
        </w:rPr>
      </w:pPr>
      <w:r>
        <w:rPr>
          <w:rFonts w:hint="eastAsia" w:eastAsia="仿宋_GB2312"/>
          <w:b/>
          <w:sz w:val="24"/>
        </w:rPr>
        <w:t>报告正文 R</w:t>
      </w:r>
      <w:r>
        <w:rPr>
          <w:rFonts w:eastAsia="仿宋_GB2312"/>
          <w:b/>
          <w:sz w:val="24"/>
        </w:rPr>
        <w:t>eport</w:t>
      </w:r>
      <w:r>
        <w:rPr>
          <w:rFonts w:hint="eastAsia" w:eastAsia="仿宋_GB2312"/>
          <w:b/>
          <w:sz w:val="24"/>
        </w:rPr>
        <w:t>。</w:t>
      </w:r>
      <w:r>
        <w:rPr>
          <w:rFonts w:hint="eastAsia" w:eastAsia="仿宋_GB2312"/>
          <w:sz w:val="24"/>
        </w:rPr>
        <w:t>请阐述开题报告以来学位论文研究工作的进展情况及所取得的阶段性成果，并简述下一阶段研究计划，不少于</w:t>
      </w:r>
      <w:r>
        <w:rPr>
          <w:rFonts w:eastAsia="仿宋_GB2312"/>
          <w:sz w:val="24"/>
        </w:rPr>
        <w:t>4</w:t>
      </w:r>
      <w:r>
        <w:rPr>
          <w:rFonts w:hint="eastAsia" w:eastAsia="仿宋_GB2312"/>
          <w:sz w:val="24"/>
        </w:rPr>
        <w:t>000汉字。</w:t>
      </w:r>
      <w:r>
        <w:rPr>
          <w:rFonts w:eastAsia="仿宋_GB2312"/>
          <w:sz w:val="24"/>
        </w:rPr>
        <w:t>Please summarize your research progress and achievements since your thesis proposal as well as your plan for next step. No less than 3200 words if written in English.</w:t>
      </w:r>
    </w:p>
    <w:p w14:paraId="43941175">
      <w:pPr>
        <w:snapToGrid w:val="0"/>
        <w:ind w:firstLine="480" w:firstLineChars="200"/>
        <w:jc w:val="left"/>
        <w:rPr>
          <w:rFonts w:eastAsia="华文楷体"/>
          <w:sz w:val="24"/>
        </w:rPr>
      </w:pPr>
      <w:r>
        <w:rPr>
          <w:rFonts w:ascii="Times New Roman" w:hAnsi="Times New Roman" w:eastAsia="宋体"/>
          <w:b/>
          <w:sz w:val="24"/>
          <w:lang w:val="zh-CN"/>
        </w:rPr>
        <w:t>本人承诺，中期检查报告正文中文字数</w:t>
      </w:r>
      <w:r>
        <w:rPr>
          <w:rFonts w:ascii="Times New Roman" w:hAnsi="Times New Roman" w:eastAsia="宋体"/>
          <w:b/>
          <w:sz w:val="24"/>
          <w:u w:val="single"/>
          <w:lang w:val="zh-CN"/>
        </w:rPr>
        <w:t xml:space="preserve"> 5</w:t>
      </w:r>
      <w:r>
        <w:rPr>
          <w:rFonts w:hint="eastAsia"/>
          <w:b/>
          <w:sz w:val="24"/>
          <w:u w:val="single"/>
          <w:lang w:val="en-US" w:eastAsia="zh-CN"/>
        </w:rPr>
        <w:t>671</w:t>
      </w:r>
      <w:r>
        <w:rPr>
          <w:rFonts w:ascii="Times New Roman" w:hAnsi="Times New Roman" w:eastAsia="宋体"/>
          <w:b/>
          <w:sz w:val="24"/>
          <w:lang w:val="zh-CN"/>
        </w:rPr>
        <w:t>，英文字数</w:t>
      </w:r>
      <w:r>
        <w:rPr>
          <w:rFonts w:ascii="Times New Roman" w:hAnsi="Times New Roman" w:eastAsia="宋体"/>
          <w:b/>
          <w:sz w:val="24"/>
          <w:u w:val="single"/>
          <w:lang w:val="zh-CN"/>
        </w:rPr>
        <w:t xml:space="preserve"> </w:t>
      </w:r>
      <w:r>
        <w:rPr>
          <w:rFonts w:ascii="Times New Roman" w:hAnsi="Times New Roman" w:eastAsia="宋体"/>
          <w:b/>
          <w:sz w:val="24"/>
          <w:lang w:val="zh-CN"/>
        </w:rPr>
        <w:t>。若与事实不符，本人愿承担相应后果。</w:t>
      </w:r>
    </w:p>
    <w:p w14:paraId="2EA6B715">
      <w:pPr>
        <w:snapToGrid w:val="0"/>
        <w:ind w:firstLine="480" w:firstLineChars="200"/>
        <w:jc w:val="left"/>
        <w:rPr>
          <w:rFonts w:eastAsia="华文楷体"/>
          <w:sz w:val="24"/>
        </w:rPr>
      </w:pPr>
    </w:p>
    <w:p w14:paraId="1B3F6530">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一、研究目标与中期工作概况</w:t>
      </w:r>
    </w:p>
    <w:p w14:paraId="463FB7B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本课题围绕</w:t>
      </w:r>
      <w:r>
        <w:rPr>
          <w:rFonts w:hint="eastAsia" w:asciiTheme="minorEastAsia" w:hAnsiTheme="minorEastAsia" w:eastAsiaTheme="minorEastAsia" w:cstheme="minorEastAsia"/>
          <w:lang w:val="en-US" w:eastAsia="zh-CN"/>
        </w:rPr>
        <w:t>绘画初学者</w:t>
      </w:r>
      <w:r>
        <w:rPr>
          <w:rFonts w:hint="eastAsia" w:asciiTheme="minorEastAsia" w:hAnsiTheme="minorEastAsia" w:eastAsiaTheme="minorEastAsia" w:cstheme="minorEastAsia"/>
        </w:rPr>
        <w:t>的</w:t>
      </w:r>
      <w:r>
        <w:rPr>
          <w:rFonts w:hint="eastAsia" w:asciiTheme="minorEastAsia" w:hAnsiTheme="minorEastAsia" w:eastAsiaTheme="minorEastAsia" w:cstheme="minorEastAsia"/>
          <w:lang w:val="en-US" w:eastAsia="zh-CN"/>
        </w:rPr>
        <w:t>通过数字绘画应用app参照一张图片，完成一副绘画的完成度问题、绘画缺乏引导问题</w:t>
      </w:r>
      <w:r>
        <w:rPr>
          <w:rFonts w:hint="eastAsia" w:asciiTheme="minorEastAsia" w:hAnsiTheme="minorEastAsia" w:eastAsiaTheme="minorEastAsia" w:cstheme="minorEastAsia"/>
        </w:rPr>
        <w:t>展开，研究如何</w:t>
      </w:r>
      <w:r>
        <w:rPr>
          <w:rFonts w:hint="eastAsia" w:asciiTheme="minorEastAsia" w:hAnsiTheme="minorEastAsia" w:eastAsiaTheme="minorEastAsia" w:cstheme="minorEastAsia"/>
          <w:lang w:val="en-US" w:eastAsia="zh-CN"/>
        </w:rPr>
        <w:t>通过设计一款</w:t>
      </w:r>
      <w:r>
        <w:rPr>
          <w:rFonts w:hint="default" w:asciiTheme="minorEastAsia" w:hAnsiTheme="minorEastAsia" w:eastAsiaTheme="minorEastAsia" w:cstheme="minorEastAsia"/>
          <w:lang w:val="en-US" w:eastAsia="zh-CN"/>
        </w:rPr>
        <w:t>ai</w:t>
      </w:r>
      <w:r>
        <w:rPr>
          <w:rFonts w:hint="eastAsia" w:asciiTheme="minorEastAsia" w:hAnsiTheme="minorEastAsia" w:eastAsiaTheme="minorEastAsia" w:cstheme="minorEastAsia"/>
          <w:lang w:val="en-US" w:eastAsia="zh-CN"/>
        </w:rPr>
        <w:t>辅助绘画交互系统，</w:t>
      </w:r>
      <w:r>
        <w:rPr>
          <w:rFonts w:hint="eastAsia" w:asciiTheme="minorEastAsia" w:hAnsiTheme="minorEastAsia" w:eastAsiaTheme="minorEastAsia" w:cstheme="minorEastAsia"/>
        </w:rPr>
        <w:t>将</w:t>
      </w:r>
      <w:r>
        <w:rPr>
          <w:rFonts w:hint="eastAsia" w:asciiTheme="minorEastAsia" w:hAnsiTheme="minorEastAsia" w:eastAsiaTheme="minorEastAsia" w:cstheme="minorEastAsia"/>
          <w:lang w:val="en-US" w:eastAsia="zh-CN"/>
        </w:rPr>
        <w:t>传统的已有图像进行</w:t>
      </w:r>
      <w:r>
        <w:rPr>
          <w:rFonts w:hint="eastAsia" w:asciiTheme="minorEastAsia" w:hAnsiTheme="minorEastAsia" w:eastAsiaTheme="minorEastAsia" w:cstheme="minorEastAsia"/>
        </w:rPr>
        <w:t>笔触</w:t>
      </w:r>
      <w:r>
        <w:rPr>
          <w:rFonts w:hint="eastAsia" w:asciiTheme="minorEastAsia" w:hAnsiTheme="minorEastAsia" w:eastAsiaTheme="minorEastAsia" w:cstheme="minorEastAsia"/>
          <w:lang w:val="en-US" w:eastAsia="zh-CN"/>
        </w:rPr>
        <w:t>拆解计算，然后</w:t>
      </w:r>
      <w:r>
        <w:rPr>
          <w:rFonts w:hint="eastAsia" w:asciiTheme="minorEastAsia" w:hAnsiTheme="minorEastAsia" w:eastAsiaTheme="minorEastAsia" w:cstheme="minorEastAsia"/>
        </w:rPr>
        <w:t>表达转化为可理解、可执行的操作引导</w:t>
      </w:r>
      <w:r>
        <w:rPr>
          <w:rFonts w:hint="eastAsia" w:asciiTheme="minorEastAsia" w:hAnsiTheme="minorEastAsia" w:eastAsiaTheme="minorEastAsia" w:cstheme="minorEastAsia"/>
          <w:lang w:val="en-US" w:eastAsia="zh-CN"/>
        </w:rPr>
        <w:t>交互提示</w:t>
      </w:r>
      <w:r>
        <w:rPr>
          <w:rFonts w:hint="eastAsia" w:asciiTheme="minorEastAsia" w:hAnsiTheme="minorEastAsia" w:eastAsiaTheme="minorEastAsia" w:cstheme="minorEastAsia"/>
        </w:rPr>
        <w:t>，帮助使用者</w:t>
      </w:r>
      <w:r>
        <w:rPr>
          <w:rFonts w:hint="eastAsia" w:asciiTheme="minorEastAsia" w:hAnsiTheme="minorEastAsia" w:eastAsiaTheme="minorEastAsia" w:cstheme="minorEastAsia"/>
          <w:lang w:val="en-US" w:eastAsia="zh-CN"/>
        </w:rPr>
        <w:t>通过数字绘画app可以顺利地</w:t>
      </w:r>
      <w:r>
        <w:rPr>
          <w:rFonts w:hint="eastAsia" w:asciiTheme="minorEastAsia" w:hAnsiTheme="minorEastAsia" w:eastAsiaTheme="minorEastAsia" w:cstheme="minorEastAsia"/>
        </w:rPr>
        <w:t>开始绘画、</w:t>
      </w:r>
      <w:r>
        <w:rPr>
          <w:rFonts w:hint="eastAsia" w:asciiTheme="minorEastAsia" w:hAnsiTheme="minorEastAsia" w:eastAsiaTheme="minorEastAsia" w:cstheme="minorEastAsia"/>
          <w:lang w:val="en-US" w:eastAsia="zh-CN"/>
        </w:rPr>
        <w:t>完成绘画、</w:t>
      </w:r>
      <w:r>
        <w:rPr>
          <w:rFonts w:hint="eastAsia" w:asciiTheme="minorEastAsia" w:hAnsiTheme="minorEastAsia" w:eastAsiaTheme="minorEastAsia" w:cstheme="minorEastAsia"/>
        </w:rPr>
        <w:t>持续推进并获得</w:t>
      </w:r>
      <w:r>
        <w:rPr>
          <w:rFonts w:hint="eastAsia" w:asciiTheme="minorEastAsia" w:hAnsiTheme="minorEastAsia" w:eastAsiaTheme="minorEastAsia" w:cstheme="minorEastAsia"/>
          <w:lang w:val="en-US" w:eastAsia="zh-CN"/>
        </w:rPr>
        <w:t>一副完成度高且质量好可以给用户带来满足感的画作</w:t>
      </w:r>
      <w:r>
        <w:rPr>
          <w:rFonts w:hint="eastAsia" w:asciiTheme="minorEastAsia" w:hAnsiTheme="minorEastAsia" w:eastAsiaTheme="minorEastAsia" w:cstheme="minorEastAsia"/>
        </w:rPr>
        <w:t>。</w:t>
      </w:r>
    </w:p>
    <w:p w14:paraId="1D6C7057">
      <w:pPr>
        <w:pStyle w:val="17"/>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论文题目为“基于笔触拆解算法的数字绘画辅助系统交互设计研究——以‘星迹智绘’为例”。</w:t>
      </w:r>
      <w:r>
        <w:rPr>
          <w:rFonts w:hint="eastAsia" w:asciiTheme="minorEastAsia" w:hAnsiTheme="minorEastAsia" w:eastAsiaTheme="minorEastAsia" w:cstheme="minorEastAsia"/>
          <w:lang w:val="en-US" w:eastAsia="zh-CN"/>
        </w:rPr>
        <w:t>通过针对多名成年的绘画初学者的访谈，得出部分绘画初学者在进行电子绘画时普遍会存在的</w:t>
      </w:r>
      <w:r>
        <w:rPr>
          <w:rFonts w:hint="eastAsia" w:asciiTheme="minorEastAsia" w:hAnsiTheme="minorEastAsia" w:eastAsiaTheme="minorEastAsia" w:cstheme="minorEastAsia"/>
        </w:rPr>
        <w:t>“不会画、</w:t>
      </w:r>
      <w:r>
        <w:rPr>
          <w:rFonts w:hint="eastAsia" w:asciiTheme="minorEastAsia" w:hAnsiTheme="minorEastAsia" w:eastAsiaTheme="minorEastAsia" w:cstheme="minorEastAsia"/>
          <w:lang w:val="en-US" w:eastAsia="zh-CN"/>
        </w:rPr>
        <w:t>缺乏绘画引导</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绘画作品质量不佳</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多种绘画难点于抵触点</w:t>
      </w:r>
      <w:r>
        <w:rPr>
          <w:rFonts w:hint="eastAsia" w:asciiTheme="minorEastAsia" w:hAnsiTheme="minorEastAsia" w:eastAsiaTheme="minorEastAsia" w:cstheme="minorEastAsia"/>
        </w:rPr>
        <w:t>，分别对应操作方法不明确、行动意愿不足以及对结果的不确定感</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通过设计此引导绘画</w:t>
      </w:r>
      <w:r>
        <w:rPr>
          <w:rFonts w:hint="eastAsia" w:asciiTheme="minorEastAsia" w:hAnsiTheme="minorEastAsia" w:eastAsiaTheme="minorEastAsia" w:cstheme="minorEastAsia"/>
        </w:rPr>
        <w:t>系统</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希望通过清晰的下一</w:t>
      </w:r>
      <w:r>
        <w:rPr>
          <w:rFonts w:hint="eastAsia" w:asciiTheme="minorEastAsia" w:hAnsiTheme="minorEastAsia" w:eastAsiaTheme="minorEastAsia" w:cstheme="minorEastAsia"/>
          <w:lang w:val="en-US" w:eastAsia="zh-CN"/>
        </w:rPr>
        <w:t>笔触交互</w:t>
      </w:r>
      <w:r>
        <w:rPr>
          <w:rFonts w:hint="eastAsia" w:asciiTheme="minorEastAsia" w:hAnsiTheme="minorEastAsia" w:eastAsiaTheme="minorEastAsia" w:cstheme="minorEastAsia"/>
        </w:rPr>
        <w:t>提示</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rPr>
        <w:t>降低</w:t>
      </w:r>
      <w:r>
        <w:rPr>
          <w:rFonts w:hint="eastAsia" w:asciiTheme="minorEastAsia" w:hAnsiTheme="minorEastAsia" w:eastAsiaTheme="minorEastAsia" w:cstheme="minorEastAsia"/>
          <w:lang w:val="en-US" w:eastAsia="zh-CN"/>
        </w:rPr>
        <w:t>绘画初学者的绘画</w:t>
      </w:r>
      <w:r>
        <w:rPr>
          <w:rFonts w:hint="eastAsia" w:asciiTheme="minorEastAsia" w:hAnsiTheme="minorEastAsia" w:eastAsiaTheme="minorEastAsia" w:cstheme="minorEastAsia"/>
        </w:rPr>
        <w:t>障碍</w:t>
      </w:r>
      <w:r>
        <w:rPr>
          <w:rFonts w:hint="eastAsia" w:asciiTheme="minorEastAsia" w:hAnsiTheme="minorEastAsia" w:eastAsiaTheme="minorEastAsia" w:cstheme="minorEastAsia"/>
          <w:lang w:eastAsia="zh-CN"/>
        </w:rPr>
        <w:t>。</w:t>
      </w:r>
    </w:p>
    <w:p w14:paraId="245068BA">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开题阶段</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本项目初步</w:t>
      </w:r>
      <w:r>
        <w:rPr>
          <w:rFonts w:hint="eastAsia" w:asciiTheme="minorEastAsia" w:hAnsiTheme="minorEastAsia" w:eastAsiaTheme="minorEastAsia" w:cstheme="minorEastAsia"/>
        </w:rPr>
        <w:t>确定了</w:t>
      </w:r>
      <w:r>
        <w:rPr>
          <w:rFonts w:hint="eastAsia" w:asciiTheme="minorEastAsia" w:hAnsiTheme="minorEastAsia" w:eastAsiaTheme="minorEastAsia" w:cstheme="minorEastAsia"/>
          <w:lang w:val="en-US" w:eastAsia="zh-CN"/>
        </w:rPr>
        <w:t>大致的</w:t>
      </w:r>
      <w:r>
        <w:rPr>
          <w:rFonts w:hint="eastAsia" w:asciiTheme="minorEastAsia" w:hAnsiTheme="minorEastAsia" w:eastAsiaTheme="minorEastAsia" w:cstheme="minorEastAsia"/>
        </w:rPr>
        <w:t>研究方向、问题意识和产品构想，尚未形成可运行的系统。</w:t>
      </w:r>
      <w:r>
        <w:rPr>
          <w:rFonts w:hint="eastAsia" w:asciiTheme="minorEastAsia" w:hAnsiTheme="minorEastAsia" w:eastAsiaTheme="minorEastAsia" w:cstheme="minorEastAsia"/>
          <w:lang w:val="en-US" w:eastAsia="zh-CN"/>
        </w:rPr>
        <w:t>后续</w:t>
      </w:r>
      <w:r>
        <w:rPr>
          <w:rFonts w:hint="eastAsia" w:asciiTheme="minorEastAsia" w:hAnsiTheme="minorEastAsia" w:eastAsiaTheme="minorEastAsia" w:cstheme="minorEastAsia"/>
        </w:rPr>
        <w:t>阶段工作主要集中于四个方面：</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rPr>
        <w:t>搜集与梳理</w:t>
      </w:r>
      <w:r>
        <w:rPr>
          <w:rFonts w:hint="eastAsia" w:asciiTheme="minorEastAsia" w:hAnsiTheme="minorEastAsia" w:eastAsiaTheme="minorEastAsia" w:cstheme="minorEastAsia"/>
          <w:lang w:val="en-US" w:eastAsia="zh-CN"/>
        </w:rPr>
        <w:t>传统的</w:t>
      </w:r>
      <w:r>
        <w:rPr>
          <w:rFonts w:hint="eastAsia" w:asciiTheme="minorEastAsia" w:hAnsiTheme="minorEastAsia" w:eastAsiaTheme="minorEastAsia" w:cstheme="minorEastAsia"/>
        </w:rPr>
        <w:t>笔触式渲染及神经绘画相关算法；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融合</w:t>
      </w:r>
      <w:r>
        <w:rPr>
          <w:rFonts w:hint="eastAsia" w:asciiTheme="minorEastAsia" w:hAnsiTheme="minorEastAsia" w:eastAsiaTheme="minorEastAsia" w:cstheme="minorEastAsia"/>
          <w:lang w:val="en-US" w:eastAsia="zh-CN"/>
        </w:rPr>
        <w:t>算法的</w:t>
      </w:r>
      <w:r>
        <w:rPr>
          <w:rFonts w:hint="eastAsia" w:asciiTheme="minorEastAsia" w:hAnsiTheme="minorEastAsia" w:eastAsiaTheme="minorEastAsia" w:cstheme="minorEastAsia"/>
        </w:rPr>
        <w:t>方法思想</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结合传统数字绘画形式与交互体验范式，</w:t>
      </w:r>
      <w:r>
        <w:rPr>
          <w:rFonts w:hint="eastAsia" w:asciiTheme="minorEastAsia" w:hAnsiTheme="minorEastAsia" w:eastAsiaTheme="minorEastAsia" w:cstheme="minorEastAsia"/>
        </w:rPr>
        <w:t>完成适合浏览器交互的笔触规划实现；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搭建选图、绘画、反馈和作品保存的交互流程及视觉界面；</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开发支持对比实验的数据采集、研究管理和分析展示模块。目前已形成可操作、可演示的</w:t>
      </w:r>
      <w:r>
        <w:rPr>
          <w:rFonts w:hint="eastAsia" w:asciiTheme="minorEastAsia" w:hAnsiTheme="minorEastAsia" w:eastAsiaTheme="minorEastAsia" w:cstheme="minorEastAsia"/>
          <w:lang w:val="en-US" w:eastAsia="zh-CN"/>
        </w:rPr>
        <w:t>自研</w:t>
      </w:r>
      <w:r>
        <w:rPr>
          <w:rFonts w:hint="eastAsia" w:asciiTheme="minorEastAsia" w:hAnsiTheme="minorEastAsia" w:eastAsiaTheme="minorEastAsia" w:cstheme="minorEastAsia"/>
        </w:rPr>
        <w:t>“星迹智绘”</w:t>
      </w:r>
      <w:r>
        <w:rPr>
          <w:rFonts w:hint="eastAsia" w:asciiTheme="minorEastAsia" w:hAnsiTheme="minorEastAsia" w:eastAsiaTheme="minorEastAsia" w:cstheme="minorEastAsia"/>
          <w:lang w:val="en-US" w:eastAsia="zh-CN"/>
        </w:rPr>
        <w:t>绘画app</w:t>
      </w:r>
      <w:r>
        <w:rPr>
          <w:rFonts w:hint="eastAsia" w:asciiTheme="minorEastAsia" w:hAnsiTheme="minorEastAsia" w:eastAsiaTheme="minorEastAsia" w:cstheme="minorEastAsia"/>
        </w:rPr>
        <w:t>网页原型。</w:t>
      </w:r>
    </w:p>
    <w:p w14:paraId="2E54F99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本研究将</w:t>
      </w:r>
      <w:r>
        <w:rPr>
          <w:rFonts w:hint="eastAsia" w:asciiTheme="minorEastAsia" w:hAnsiTheme="minorEastAsia" w:eastAsiaTheme="minorEastAsia" w:cstheme="minorEastAsia"/>
          <w:lang w:val="en-US" w:eastAsia="zh-CN"/>
        </w:rPr>
        <w:t>传统笔触拆解</w:t>
      </w:r>
      <w:r>
        <w:rPr>
          <w:rFonts w:hint="eastAsia" w:asciiTheme="minorEastAsia" w:hAnsiTheme="minorEastAsia" w:eastAsiaTheme="minorEastAsia" w:cstheme="minorEastAsia"/>
        </w:rPr>
        <w:t>算法</w:t>
      </w:r>
      <w:r>
        <w:rPr>
          <w:rFonts w:hint="eastAsia" w:asciiTheme="minorEastAsia" w:hAnsiTheme="minorEastAsia" w:eastAsiaTheme="minorEastAsia" w:cstheme="minorEastAsia"/>
          <w:lang w:val="en-US" w:eastAsia="zh-CN"/>
        </w:rPr>
        <w:t>进行改造适配，并进行前端应用化设计</w:t>
      </w:r>
      <w:r>
        <w:rPr>
          <w:rFonts w:hint="eastAsia" w:asciiTheme="minorEastAsia" w:hAnsiTheme="minorEastAsia" w:eastAsiaTheme="minorEastAsia" w:cstheme="minorEastAsia"/>
        </w:rPr>
        <w:t>、交互</w:t>
      </w:r>
      <w:r>
        <w:rPr>
          <w:rFonts w:hint="eastAsia" w:asciiTheme="minorEastAsia" w:hAnsiTheme="minorEastAsia" w:eastAsiaTheme="minorEastAsia" w:cstheme="minorEastAsia"/>
          <w:lang w:val="en-US" w:eastAsia="zh-CN"/>
        </w:rPr>
        <w:t>设计</w:t>
      </w:r>
      <w:r>
        <w:rPr>
          <w:rFonts w:hint="eastAsia" w:asciiTheme="minorEastAsia" w:hAnsiTheme="minorEastAsia" w:eastAsiaTheme="minorEastAsia" w:cstheme="minorEastAsia"/>
        </w:rPr>
        <w:t>和评价。</w:t>
      </w:r>
      <w:r>
        <w:rPr>
          <w:rFonts w:hint="eastAsia" w:asciiTheme="minorEastAsia" w:hAnsiTheme="minorEastAsia" w:eastAsiaTheme="minorEastAsia" w:cstheme="minorEastAsia"/>
          <w:lang w:val="en-US" w:eastAsia="zh-CN"/>
        </w:rPr>
        <w:t>其中，笔触拆解</w:t>
      </w:r>
      <w:r>
        <w:rPr>
          <w:rFonts w:hint="eastAsia" w:asciiTheme="minorEastAsia" w:hAnsiTheme="minorEastAsia" w:eastAsiaTheme="minorEastAsia" w:cstheme="minorEastAsia"/>
        </w:rPr>
        <w:t>算法</w:t>
      </w:r>
      <w:r>
        <w:rPr>
          <w:rFonts w:hint="eastAsia" w:asciiTheme="minorEastAsia" w:hAnsiTheme="minorEastAsia" w:eastAsiaTheme="minorEastAsia" w:cstheme="minorEastAsia"/>
          <w:lang w:val="en-US" w:eastAsia="zh-CN"/>
        </w:rPr>
        <w:t>用于</w:t>
      </w:r>
      <w:r>
        <w:rPr>
          <w:rFonts w:hint="eastAsia" w:asciiTheme="minorEastAsia" w:hAnsiTheme="minorEastAsia" w:eastAsiaTheme="minorEastAsia" w:cstheme="minorEastAsia"/>
        </w:rPr>
        <w:t>提供有序的绘画动作</w:t>
      </w:r>
      <w:r>
        <w:rPr>
          <w:rFonts w:hint="eastAsia" w:asciiTheme="minorEastAsia" w:hAnsiTheme="minorEastAsia" w:eastAsiaTheme="minorEastAsia" w:cstheme="minorEastAsia"/>
          <w:lang w:val="en-US" w:eastAsia="zh-CN"/>
        </w:rPr>
        <w:t>规则与参数</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并通过网站</w:t>
      </w:r>
      <w:r>
        <w:rPr>
          <w:rFonts w:hint="eastAsia" w:asciiTheme="minorEastAsia" w:hAnsiTheme="minorEastAsia" w:eastAsiaTheme="minorEastAsia" w:cstheme="minorEastAsia"/>
        </w:rPr>
        <w:t>交互设计</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将位置、方向、颜色、宽度和进度</w:t>
      </w:r>
      <w:r>
        <w:rPr>
          <w:rFonts w:hint="eastAsia" w:asciiTheme="minorEastAsia" w:hAnsiTheme="minorEastAsia" w:eastAsiaTheme="minorEastAsia" w:cstheme="minorEastAsia"/>
          <w:lang w:val="en-US" w:eastAsia="zh-CN"/>
        </w:rPr>
        <w:t>等参数信息，</w:t>
      </w:r>
      <w:r>
        <w:rPr>
          <w:rFonts w:hint="eastAsia" w:asciiTheme="minorEastAsia" w:hAnsiTheme="minorEastAsia" w:eastAsiaTheme="minorEastAsia" w:cstheme="minorEastAsia"/>
        </w:rPr>
        <w:t>转译为易于</w:t>
      </w:r>
      <w:r>
        <w:rPr>
          <w:rFonts w:hint="eastAsia" w:asciiTheme="minorEastAsia" w:hAnsiTheme="minorEastAsia" w:eastAsiaTheme="minorEastAsia" w:cstheme="minorEastAsia"/>
          <w:lang w:val="en-US" w:eastAsia="zh-CN"/>
        </w:rPr>
        <w:t>用户</w:t>
      </w:r>
      <w:r>
        <w:rPr>
          <w:rFonts w:hint="eastAsia" w:asciiTheme="minorEastAsia" w:hAnsiTheme="minorEastAsia" w:eastAsiaTheme="minorEastAsia" w:cstheme="minorEastAsia"/>
        </w:rPr>
        <w:t>理解的提示。</w:t>
      </w:r>
    </w:p>
    <w:p w14:paraId="6A13FFE0">
      <w:pPr>
        <w:pStyle w:val="17"/>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该作品项目已完成云部署：</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"https://startracepaint.com/" </w:instrText>
      </w:r>
      <w:r>
        <w:rPr>
          <w:rFonts w:hint="eastAsia" w:asciiTheme="minorEastAsia" w:hAnsiTheme="minorEastAsia" w:eastAsiaTheme="minorEastAsia" w:cstheme="minorEastAsia"/>
        </w:rPr>
        <w:fldChar w:fldCharType="separate"/>
      </w:r>
      <w:r>
        <w:rPr>
          <w:rStyle w:val="11"/>
          <w:rFonts w:hint="eastAsia" w:asciiTheme="minorEastAsia" w:hAnsiTheme="minorEastAsia" w:eastAsiaTheme="minorEastAsia" w:cstheme="minorEastAsia"/>
        </w:rPr>
        <w:t>https://startracepaint.com/</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可在线体验。</w:t>
      </w:r>
    </w:p>
    <w:p w14:paraId="6C078ED0">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二、相关算法的搜集、理解与方法整合</w:t>
      </w:r>
    </w:p>
    <w:p w14:paraId="052264AD">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2.1 笔触式渲染的基础原理</w:t>
      </w:r>
    </w:p>
    <w:p w14:paraId="5A3F53DE">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Hertzmann</w:t>
      </w:r>
      <w:r>
        <w:rPr>
          <w:rFonts w:hint="eastAsia" w:asciiTheme="minorEastAsia" w:hAnsiTheme="minorEastAsia" w:eastAsiaTheme="minorEastAsia" w:cstheme="minorEastAsia"/>
          <w:lang w:val="en-US" w:eastAsia="zh-CN"/>
        </w:rPr>
        <w:t>于1998年</w:t>
      </w:r>
      <w:r>
        <w:rPr>
          <w:rFonts w:hint="eastAsia" w:asciiTheme="minorEastAsia" w:hAnsiTheme="minorEastAsia" w:eastAsiaTheme="minorEastAsia" w:cstheme="minorEastAsia"/>
        </w:rPr>
        <w:t>提出的多尺度曲线笔触方法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是本课题的重要基础文献</w:t>
      </w:r>
      <w:r>
        <w:rPr>
          <w:rFonts w:hint="eastAsia" w:asciiTheme="minorEastAsia" w:hAnsiTheme="minorEastAsia" w:eastAsiaTheme="minorEastAsia" w:cstheme="minorEastAsia"/>
          <w:lang w:val="en-US" w:eastAsia="zh-CN"/>
        </w:rPr>
        <w:t>与笔触序列拆解算法来源</w:t>
      </w:r>
      <w:r>
        <w:rPr>
          <w:rFonts w:hint="eastAsia" w:asciiTheme="minorEastAsia" w:hAnsiTheme="minorEastAsia" w:eastAsiaTheme="minorEastAsia" w:cstheme="minorEastAsia"/>
        </w:rPr>
        <w:t>[1]。该方法</w:t>
      </w:r>
      <w:r>
        <w:rPr>
          <w:rFonts w:hint="eastAsia" w:asciiTheme="minorEastAsia" w:hAnsiTheme="minorEastAsia" w:eastAsiaTheme="minorEastAsia" w:cstheme="minorEastAsia"/>
          <w:lang w:val="en-US" w:eastAsia="zh-CN"/>
        </w:rPr>
        <w:t>采</w:t>
      </w:r>
      <w:r>
        <w:rPr>
          <w:rFonts w:hint="eastAsia" w:asciiTheme="minorEastAsia" w:hAnsiTheme="minorEastAsia" w:eastAsiaTheme="minorEastAsia" w:cstheme="minorEastAsia"/>
        </w:rPr>
        <w:t>用</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较大的笔刷建立画面，再</w:t>
      </w:r>
      <w:r>
        <w:rPr>
          <w:rFonts w:hint="eastAsia" w:asciiTheme="minorEastAsia" w:hAnsiTheme="minorEastAsia" w:eastAsiaTheme="minorEastAsia" w:cstheme="minorEastAsia"/>
          <w:lang w:val="en-US" w:eastAsia="zh-CN"/>
        </w:rPr>
        <w:t>使用</w:t>
      </w:r>
      <w:r>
        <w:rPr>
          <w:rFonts w:hint="eastAsia" w:asciiTheme="minorEastAsia" w:hAnsiTheme="minorEastAsia" w:eastAsiaTheme="minorEastAsia" w:cstheme="minorEastAsia"/>
        </w:rPr>
        <w:t>逐渐缩小的笔刷修整与相应模糊参考图存在差异的区域</w:t>
      </w:r>
      <w:r>
        <w:rPr>
          <w:rFonts w:hint="eastAsia" w:asciiTheme="minorEastAsia" w:hAnsiTheme="minorEastAsia" w:eastAsiaTheme="minorEastAsia" w:cstheme="minorEastAsia"/>
          <w:lang w:val="en-US" w:eastAsia="zh-CN"/>
        </w:rPr>
        <w:t>的方法，将笔触</w:t>
      </w:r>
      <w:r>
        <w:rPr>
          <w:rFonts w:hint="eastAsia" w:asciiTheme="minorEastAsia" w:hAnsiTheme="minorEastAsia" w:eastAsiaTheme="minorEastAsia" w:cstheme="minorEastAsia"/>
        </w:rPr>
        <w:t>曲线沿图像梯度的垂直方向延伸，形成具有绘画感的笔迹。</w:t>
      </w:r>
      <w:r>
        <w:rPr>
          <w:rFonts w:hint="eastAsia" w:asciiTheme="minorEastAsia" w:hAnsiTheme="minorEastAsia" w:eastAsiaTheme="minorEastAsia" w:cstheme="minorEastAsia"/>
          <w:lang w:val="en-US" w:eastAsia="zh-CN"/>
        </w:rPr>
        <w:t>这篇</w:t>
      </w:r>
      <w:r>
        <w:rPr>
          <w:rFonts w:hint="eastAsia" w:asciiTheme="minorEastAsia" w:hAnsiTheme="minorEastAsia" w:eastAsiaTheme="minorEastAsia" w:cstheme="minorEastAsia"/>
        </w:rPr>
        <w:t>论文</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rPr>
        <w:t>把笔刷尺寸、曲率及颜色变化等组织为可调风格参数，为</w:t>
      </w:r>
      <w:r>
        <w:rPr>
          <w:rFonts w:hint="eastAsia" w:asciiTheme="minorEastAsia" w:hAnsiTheme="minorEastAsia" w:eastAsiaTheme="minorEastAsia" w:cstheme="minorEastAsia"/>
          <w:lang w:val="en-US" w:eastAsia="zh-CN"/>
        </w:rPr>
        <w:t>绘画应用中所需要的</w:t>
      </w:r>
      <w:r>
        <w:rPr>
          <w:rFonts w:hint="eastAsia" w:asciiTheme="minorEastAsia" w:hAnsiTheme="minorEastAsia" w:eastAsiaTheme="minorEastAsia" w:cstheme="minorEastAsia"/>
        </w:rPr>
        <w:t>“将图像表示为动作序列”和“通过参数形成不同笔触外观”</w:t>
      </w: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提供了方法参照。</w:t>
      </w:r>
    </w:p>
    <w:p w14:paraId="64A7ED6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在</w:t>
      </w:r>
      <w:r>
        <w:rPr>
          <w:rFonts w:hint="eastAsia" w:asciiTheme="minorEastAsia" w:hAnsiTheme="minorEastAsia" w:eastAsiaTheme="minorEastAsia" w:cstheme="minorEastAsia"/>
          <w:lang w:val="en-US" w:eastAsia="zh-CN"/>
        </w:rPr>
        <w:t>后续的</w:t>
      </w:r>
      <w:r>
        <w:rPr>
          <w:rFonts w:hint="eastAsia" w:asciiTheme="minorEastAsia" w:hAnsiTheme="minorEastAsia" w:eastAsiaTheme="minorEastAsia" w:cstheme="minorEastAsia"/>
        </w:rPr>
        <w:t>交互设计中，我重点区分了图像重建与人的绘画任务。</w:t>
      </w:r>
      <w:r>
        <w:rPr>
          <w:rFonts w:hint="eastAsia" w:asciiTheme="minorEastAsia" w:hAnsiTheme="minorEastAsia" w:eastAsiaTheme="minorEastAsia" w:cstheme="minorEastAsia"/>
          <w:lang w:val="en-US" w:eastAsia="zh-CN"/>
        </w:rPr>
        <w:t>传统算法中的</w:t>
      </w:r>
      <w:r>
        <w:rPr>
          <w:rFonts w:hint="eastAsia" w:asciiTheme="minorEastAsia" w:hAnsiTheme="minorEastAsia" w:eastAsiaTheme="minorEastAsia" w:cstheme="minorEastAsia"/>
        </w:rPr>
        <w:t>自动渲染主要关心生成图像，</w:t>
      </w:r>
      <w:r>
        <w:rPr>
          <w:rFonts w:hint="eastAsia" w:asciiTheme="minorEastAsia" w:hAnsiTheme="minorEastAsia" w:eastAsiaTheme="minorEastAsia" w:cstheme="minorEastAsia"/>
          <w:lang w:val="en-US" w:eastAsia="zh-CN"/>
        </w:rPr>
        <w:t>而针对用户的</w:t>
      </w:r>
      <w:r>
        <w:rPr>
          <w:rFonts w:hint="eastAsia" w:asciiTheme="minorEastAsia" w:hAnsiTheme="minorEastAsia" w:eastAsiaTheme="minorEastAsia" w:cstheme="minorEastAsia"/>
        </w:rPr>
        <w:t>逐笔指导还需要考虑笔数、寻找起点的难度、位置跳转与动作顺序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因而本项目以多尺度表达为基础，将有限</w:t>
      </w:r>
      <w:r>
        <w:rPr>
          <w:rFonts w:hint="eastAsia" w:asciiTheme="minorEastAsia" w:hAnsiTheme="minorEastAsia" w:eastAsiaTheme="minorEastAsia" w:cstheme="minorEastAsia"/>
          <w:lang w:val="en-US" w:eastAsia="zh-CN"/>
        </w:rPr>
        <w:t>的绘画笔触</w:t>
      </w:r>
      <w:r>
        <w:rPr>
          <w:rFonts w:hint="eastAsia" w:asciiTheme="minorEastAsia" w:hAnsiTheme="minorEastAsia" w:eastAsiaTheme="minorEastAsia" w:cstheme="minorEastAsia"/>
        </w:rPr>
        <w:t>动作预算、可预测的</w:t>
      </w:r>
      <w:r>
        <w:rPr>
          <w:rFonts w:hint="eastAsia" w:asciiTheme="minorEastAsia" w:hAnsiTheme="minorEastAsia" w:eastAsiaTheme="minorEastAsia" w:cstheme="minorEastAsia"/>
          <w:lang w:val="en-US" w:eastAsia="zh-CN"/>
        </w:rPr>
        <w:t>笔触</w:t>
      </w:r>
      <w:r>
        <w:rPr>
          <w:rFonts w:hint="eastAsia" w:asciiTheme="minorEastAsia" w:hAnsiTheme="minorEastAsia" w:eastAsiaTheme="minorEastAsia" w:cstheme="minorEastAsia"/>
        </w:rPr>
        <w:t>空间顺序以及每一步可显示的</w:t>
      </w:r>
      <w:r>
        <w:rPr>
          <w:rFonts w:hint="eastAsia" w:asciiTheme="minorEastAsia" w:hAnsiTheme="minorEastAsia" w:eastAsiaTheme="minorEastAsia" w:cstheme="minorEastAsia"/>
          <w:lang w:val="en-US" w:eastAsia="zh-CN"/>
        </w:rPr>
        <w:t>绘画</w:t>
      </w:r>
      <w:r>
        <w:rPr>
          <w:rFonts w:hint="eastAsia" w:asciiTheme="minorEastAsia" w:hAnsiTheme="minorEastAsia" w:eastAsiaTheme="minorEastAsia" w:cstheme="minorEastAsia"/>
        </w:rPr>
        <w:t>笔触参数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都</w:t>
      </w:r>
      <w:r>
        <w:rPr>
          <w:rFonts w:hint="eastAsia" w:asciiTheme="minorEastAsia" w:hAnsiTheme="minorEastAsia" w:eastAsiaTheme="minorEastAsia" w:cstheme="minorEastAsia"/>
        </w:rPr>
        <w:t>纳入实现目标。</w:t>
      </w:r>
    </w:p>
    <w:p w14:paraId="7EAA2980">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2.2 神经绘画研究的参照价值</w:t>
      </w:r>
    </w:p>
    <w:p w14:paraId="47665C37">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1998年，</w:t>
      </w:r>
      <w:r>
        <w:rPr>
          <w:rFonts w:hint="eastAsia" w:asciiTheme="minorEastAsia" w:hAnsiTheme="minorEastAsia" w:eastAsiaTheme="minorEastAsia" w:cstheme="minorEastAsia"/>
        </w:rPr>
        <w:t>Huang等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将绘画描述为连续笔触决策，通过神经渲染器和基于模型的强化学习生成笔触序列[2]；</w:t>
      </w:r>
      <w:r>
        <w:rPr>
          <w:rFonts w:hint="eastAsia" w:asciiTheme="minorEastAsia" w:hAnsiTheme="minorEastAsia" w:eastAsiaTheme="minorEastAsia" w:cstheme="minorEastAsia"/>
          <w:lang w:val="en-US" w:eastAsia="zh-CN"/>
        </w:rPr>
        <w:t>2021年，</w:t>
      </w:r>
      <w:r>
        <w:rPr>
          <w:rFonts w:hint="eastAsia" w:asciiTheme="minorEastAsia" w:hAnsiTheme="minorEastAsia" w:eastAsiaTheme="minorEastAsia" w:cstheme="minorEastAsia"/>
        </w:rPr>
        <w:t>Zou</w:t>
      </w:r>
      <w:r>
        <w:rPr>
          <w:rFonts w:hint="eastAsia" w:asciiTheme="minorEastAsia" w:hAnsiTheme="minorEastAsia" w:eastAsiaTheme="minorEastAsia" w:cstheme="minorEastAsia"/>
          <w:lang w:val="en-US" w:eastAsia="zh-CN"/>
        </w:rPr>
        <w:t>Z</w:t>
      </w:r>
      <w:r>
        <w:rPr>
          <w:rFonts w:hint="eastAsia" w:asciiTheme="minorEastAsia" w:hAnsiTheme="minorEastAsia" w:eastAsiaTheme="minorEastAsia" w:cstheme="minorEastAsia"/>
        </w:rPr>
        <w:t>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将参数化笔触渲染与图像相似度优化相结合，讨论神经渲染及参数搜索问题[3]；</w:t>
      </w:r>
      <w:r>
        <w:rPr>
          <w:rFonts w:hint="eastAsia" w:asciiTheme="minorEastAsia" w:hAnsiTheme="minorEastAsia" w:eastAsiaTheme="minorEastAsia" w:cstheme="minorEastAsia"/>
          <w:lang w:val="en-US" w:eastAsia="zh-CN"/>
        </w:rPr>
        <w:t>2023年，</w:t>
      </w:r>
      <w:r>
        <w:rPr>
          <w:rFonts w:hint="eastAsia" w:asciiTheme="minorEastAsia" w:hAnsiTheme="minorEastAsia" w:eastAsiaTheme="minorEastAsia" w:cstheme="minorEastAsia"/>
        </w:rPr>
        <w:t>HU T等</w:t>
      </w:r>
      <w:r>
        <w:rPr>
          <w:rFonts w:hint="eastAsia" w:asciiTheme="minorEastAsia" w:hAnsiTheme="minorEastAsia" w:eastAsiaTheme="minorEastAsia" w:cstheme="minorEastAsia"/>
          <w:lang w:val="en-US" w:eastAsia="zh-CN"/>
        </w:rPr>
        <w:t>研究者</w:t>
      </w:r>
      <w:r>
        <w:rPr>
          <w:rFonts w:hint="eastAsia" w:asciiTheme="minorEastAsia" w:hAnsiTheme="minorEastAsia" w:eastAsiaTheme="minorEastAsia" w:cstheme="minorEastAsia"/>
        </w:rPr>
        <w:t>进一步区分“在哪里画”和“画什么”，通过动态预测绘画区域组织重建过程[4]。这三类</w:t>
      </w:r>
      <w:r>
        <w:rPr>
          <w:rFonts w:hint="eastAsia" w:asciiTheme="minorEastAsia" w:hAnsiTheme="minorEastAsia" w:eastAsiaTheme="minorEastAsia" w:cstheme="minorEastAsia"/>
          <w:lang w:val="en-US" w:eastAsia="zh-CN"/>
        </w:rPr>
        <w:t>已有</w:t>
      </w:r>
      <w:r>
        <w:rPr>
          <w:rFonts w:hint="eastAsia" w:asciiTheme="minorEastAsia" w:hAnsiTheme="minorEastAsia" w:eastAsiaTheme="minorEastAsia" w:cstheme="minorEastAsia"/>
        </w:rPr>
        <w:t>研究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将用于</w:t>
      </w:r>
      <w:r>
        <w:rPr>
          <w:rFonts w:hint="eastAsia" w:asciiTheme="minorEastAsia" w:hAnsiTheme="minorEastAsia" w:eastAsiaTheme="minorEastAsia" w:cstheme="minorEastAsia"/>
        </w:rPr>
        <w:t>本课题</w:t>
      </w:r>
      <w:r>
        <w:rPr>
          <w:rFonts w:hint="eastAsia" w:asciiTheme="minorEastAsia" w:hAnsiTheme="minorEastAsia" w:eastAsiaTheme="minorEastAsia" w:cstheme="minorEastAsia"/>
          <w:lang w:val="en-US" w:eastAsia="zh-CN"/>
        </w:rPr>
        <w:t>中</w:t>
      </w:r>
      <w:r>
        <w:rPr>
          <w:rFonts w:hint="eastAsia" w:asciiTheme="minorEastAsia" w:hAnsiTheme="minorEastAsia" w:eastAsiaTheme="minorEastAsia" w:cstheme="minorEastAsia"/>
        </w:rPr>
        <w:t>理解有限笔触表达、参数优化反馈以及绘画区域组织之间的联系。</w:t>
      </w:r>
    </w:p>
    <w:p w14:paraId="2BBEC94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本课题的工作定位是</w:t>
      </w:r>
      <w:r>
        <w:rPr>
          <w:rFonts w:hint="eastAsia" w:asciiTheme="minorEastAsia" w:hAnsiTheme="minorEastAsia" w:eastAsiaTheme="minorEastAsia" w:cstheme="minorEastAsia"/>
          <w:b/>
          <w:bCs/>
        </w:rPr>
        <w:t>面向</w:t>
      </w:r>
      <w:r>
        <w:rPr>
          <w:rFonts w:hint="eastAsia" w:asciiTheme="minorEastAsia" w:hAnsiTheme="minorEastAsia" w:eastAsiaTheme="minorEastAsia" w:cstheme="minorEastAsia"/>
          <w:b/>
          <w:bCs/>
          <w:lang w:val="en-US" w:eastAsia="zh-CN"/>
        </w:rPr>
        <w:t>绘画初学者的笔触引导</w:t>
      </w:r>
      <w:r>
        <w:rPr>
          <w:rFonts w:hint="eastAsia" w:asciiTheme="minorEastAsia" w:hAnsiTheme="minorEastAsia" w:eastAsiaTheme="minorEastAsia" w:cstheme="minorEastAsia"/>
          <w:b/>
          <w:bCs/>
        </w:rPr>
        <w:t>交互需求的算法适配与系统设计</w:t>
      </w: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研究</w:t>
      </w:r>
      <w:r>
        <w:rPr>
          <w:rFonts w:hint="eastAsia" w:asciiTheme="minorEastAsia" w:hAnsiTheme="minorEastAsia" w:eastAsiaTheme="minorEastAsia" w:cstheme="minorEastAsia"/>
        </w:rPr>
        <w:t>项目对</w:t>
      </w:r>
      <w:r>
        <w:rPr>
          <w:rFonts w:hint="eastAsia" w:asciiTheme="minorEastAsia" w:hAnsiTheme="minorEastAsia" w:eastAsiaTheme="minorEastAsia" w:cstheme="minorEastAsia"/>
          <w:lang w:val="en-US" w:eastAsia="zh-CN"/>
        </w:rPr>
        <w:t>上述</w:t>
      </w:r>
      <w:r>
        <w:rPr>
          <w:rFonts w:hint="eastAsia" w:asciiTheme="minorEastAsia" w:hAnsiTheme="minorEastAsia" w:eastAsiaTheme="minorEastAsia" w:cstheme="minorEastAsia"/>
        </w:rPr>
        <w:t>研究采用方法层面</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综合参照：保留可回放的参数化动作、以重建误差评价候选笔触，并明确组织区域访问顺序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采用显式搜索和解析颜色拟合。</w:t>
      </w:r>
    </w:p>
    <w:p w14:paraId="4A5129A9">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2.3 方法选择与系统结构</w:t>
      </w:r>
    </w:p>
    <w:p w14:paraId="3EBD1B0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此项目研究</w:t>
      </w:r>
      <w:r>
        <w:rPr>
          <w:rFonts w:hint="eastAsia" w:asciiTheme="minorEastAsia" w:hAnsiTheme="minorEastAsia" w:eastAsiaTheme="minorEastAsia" w:cstheme="minorEastAsia"/>
        </w:rPr>
        <w:t>方法</w:t>
      </w:r>
      <w:r>
        <w:rPr>
          <w:rFonts w:hint="eastAsia" w:asciiTheme="minorEastAsia" w:hAnsiTheme="minorEastAsia" w:eastAsiaTheme="minorEastAsia" w:cstheme="minorEastAsia"/>
          <w:lang w:val="en-US" w:eastAsia="zh-CN"/>
        </w:rPr>
        <w:t>为，</w:t>
      </w:r>
      <w:r>
        <w:rPr>
          <w:rFonts w:hint="eastAsia" w:asciiTheme="minorEastAsia" w:hAnsiTheme="minorEastAsia" w:eastAsiaTheme="minorEastAsia" w:cstheme="minorEastAsia"/>
        </w:rPr>
        <w:t>把输入图像转成一组包含起止点、宽度、颜色及遍次信息的笔触，由画布模块按顺序显示和绘制。</w:t>
      </w:r>
      <w:r>
        <w:rPr>
          <w:rFonts w:hint="eastAsia" w:asciiTheme="minorEastAsia" w:hAnsiTheme="minorEastAsia" w:eastAsiaTheme="minorEastAsia" w:cstheme="minorEastAsia"/>
          <w:lang w:val="en-US" w:eastAsia="zh-CN"/>
        </w:rPr>
        <w:t>其中，</w:t>
      </w:r>
      <w:r>
        <w:rPr>
          <w:rFonts w:hint="eastAsia" w:asciiTheme="minorEastAsia" w:hAnsiTheme="minorEastAsia" w:eastAsiaTheme="minorEastAsia" w:cstheme="minorEastAsia"/>
        </w:rPr>
        <w:t xml:space="preserve">计算过程放在Web </w:t>
      </w:r>
      <w:r>
        <w:rPr>
          <w:rFonts w:hint="eastAsia" w:asciiTheme="minorEastAsia" w:hAnsiTheme="minorEastAsia" w:eastAsiaTheme="minorEastAsia" w:cstheme="minorEastAsia"/>
          <w:lang w:val="en-US" w:eastAsia="zh-CN"/>
        </w:rPr>
        <w:t>端</w:t>
      </w:r>
      <w:r>
        <w:rPr>
          <w:rFonts w:hint="eastAsia" w:asciiTheme="minorEastAsia" w:hAnsiTheme="minorEastAsia" w:eastAsiaTheme="minorEastAsia" w:cstheme="minorEastAsia"/>
        </w:rPr>
        <w:t>后台线程中，避免主要交互长时间被计算阻塞；研究模块则保存经过审核的参考图和计划，使同一批次的参与者使用一致材料。图1展示了从</w:t>
      </w:r>
      <w:r>
        <w:rPr>
          <w:rFonts w:hint="eastAsia" w:asciiTheme="minorEastAsia" w:hAnsiTheme="minorEastAsia" w:eastAsiaTheme="minorEastAsia" w:cstheme="minorEastAsia"/>
          <w:lang w:val="en-US" w:eastAsia="zh-CN"/>
        </w:rPr>
        <w:t>参考图像</w:t>
      </w:r>
      <w:r>
        <w:rPr>
          <w:rFonts w:hint="eastAsia" w:asciiTheme="minorEastAsia" w:hAnsiTheme="minorEastAsia" w:eastAsiaTheme="minorEastAsia" w:cstheme="minorEastAsia"/>
        </w:rPr>
        <w:t>输入到绘画指导、再到研究记录的结构。</w:t>
      </w:r>
    </w:p>
    <w:p w14:paraId="1BC08927">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939790" cy="3569970"/>
            <wp:effectExtent l="0" t="0" r="3810" b="11430"/>
            <wp:docPr id="2" name="Picture 2" descr="图1 图像输入、笔触规划、绘画交互与研究记录的系统结构。依据当前实现绘制；箭头表示模块间的数据与功能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图像输入、笔触规划、绘画交互与研究记录的系统结构。依据当前实现绘制；箭头表示模块间的数据与功能连接。"/>
                    <pic:cNvPicPr>
                      <a:picLocks noChangeAspect="1"/>
                    </pic:cNvPicPr>
                  </pic:nvPicPr>
                  <pic:blipFill>
                    <a:blip r:embed="rId15"/>
                    <a:stretch>
                      <a:fillRect/>
                    </a:stretch>
                  </pic:blipFill>
                  <pic:spPr>
                    <a:xfrm>
                      <a:off x="0" y="0"/>
                      <a:ext cx="5940000" cy="3570188"/>
                    </a:xfrm>
                    <a:prstGeom prst="rect">
                      <a:avLst/>
                    </a:prstGeom>
                  </pic:spPr>
                </pic:pic>
              </a:graphicData>
            </a:graphic>
          </wp:inline>
        </w:drawing>
      </w:r>
    </w:p>
    <w:p w14:paraId="30F8CCFF">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图1  图像输入、笔触规划、绘画交互与研究记录的系统结构</w:t>
      </w:r>
    </w:p>
    <w:p w14:paraId="448D8CFA">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三、</w:t>
      </w:r>
      <w:r>
        <w:rPr>
          <w:rFonts w:hint="eastAsia" w:asciiTheme="minorEastAsia" w:hAnsiTheme="minorEastAsia" w:eastAsiaTheme="minorEastAsia" w:cstheme="minorEastAsia"/>
          <w:lang w:val="en-US" w:eastAsia="zh-CN"/>
        </w:rPr>
        <w:t>笔触拆解序列</w:t>
      </w:r>
      <w:r>
        <w:rPr>
          <w:rFonts w:hint="eastAsia" w:asciiTheme="minorEastAsia" w:hAnsiTheme="minorEastAsia" w:eastAsiaTheme="minorEastAsia" w:cstheme="minorEastAsia"/>
        </w:rPr>
        <w:t>有序规划算法实现</w:t>
      </w:r>
    </w:p>
    <w:p w14:paraId="5CF04C9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w:t>
      </w:r>
      <w:r>
        <w:rPr>
          <w:rFonts w:hint="eastAsia" w:asciiTheme="minorEastAsia" w:hAnsiTheme="minorEastAsia" w:eastAsiaTheme="minorEastAsia" w:cstheme="minorEastAsia"/>
          <w:lang w:val="en-US" w:eastAsia="zh-CN"/>
        </w:rPr>
        <w:t>程序项目设计，是先</w:t>
      </w:r>
      <w:r>
        <w:rPr>
          <w:rFonts w:hint="eastAsia" w:asciiTheme="minorEastAsia" w:hAnsiTheme="minorEastAsia" w:eastAsiaTheme="minorEastAsia" w:cstheme="minorEastAsia"/>
        </w:rPr>
        <w:t>从白色画布开始重新组织整幅图像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系统每次只接受能够改善目标误差且路径有效的笔触</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绘画顺序分为五遍：大色块、中色块、形体、小笔触和细节。各遍分别采用固定宽度，整组宽度由大到小递减；每遍按网格逐行访问，从左上到右下推进，并在当前区域中选择仍需修整的位置。空间顺序是区域访问顺序，每一笔的端点</w:t>
      </w:r>
      <w:r>
        <w:rPr>
          <w:rFonts w:hint="eastAsia" w:asciiTheme="minorEastAsia" w:hAnsiTheme="minorEastAsia" w:eastAsiaTheme="minorEastAsia" w:cstheme="minorEastAsia"/>
          <w:lang w:val="en-US" w:eastAsia="zh-CN"/>
        </w:rPr>
        <w:t>尽量</w:t>
      </w:r>
      <w:r>
        <w:rPr>
          <w:rFonts w:hint="eastAsia" w:asciiTheme="minorEastAsia" w:hAnsiTheme="minorEastAsia" w:eastAsiaTheme="minorEastAsia" w:cstheme="minorEastAsia"/>
        </w:rPr>
        <w:t>沿一条对角线排列。笔触可以跨越网格边界，其颜色拟合与误差评价始终基于同一张共享画布，</w:t>
      </w:r>
      <w:r>
        <w:rPr>
          <w:rFonts w:hint="eastAsia" w:asciiTheme="minorEastAsia" w:hAnsiTheme="minorEastAsia" w:eastAsiaTheme="minorEastAsia" w:cstheme="minorEastAsia"/>
          <w:lang w:val="en-US" w:eastAsia="zh-CN"/>
        </w:rPr>
        <w:t>以</w:t>
      </w:r>
      <w:r>
        <w:rPr>
          <w:rFonts w:hint="eastAsia" w:asciiTheme="minorEastAsia" w:hAnsiTheme="minorEastAsia" w:eastAsiaTheme="minorEastAsia" w:cstheme="minorEastAsia"/>
        </w:rPr>
        <w:t>避免把各块分别绘制后再硬性拼接。</w:t>
      </w:r>
    </w:p>
    <w:p w14:paraId="6B5A85D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755AC699">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表1  五遍规划的尺度与预算设置</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71"/>
        <w:gridCol w:w="1871"/>
        <w:gridCol w:w="2891"/>
      </w:tblGrid>
      <w:tr w14:paraId="684254BF">
        <w:trPr>
          <w:cantSplit/>
          <w:tblHeader/>
          <w:jc w:val="center"/>
        </w:trPr>
        <w:tc>
          <w:tcPr>
            <w:tcW w:w="2721" w:type="dxa"/>
            <w:shd w:val="clear" w:color="auto" w:fill="ECEAFE"/>
          </w:tcPr>
          <w:p w14:paraId="506D368F">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遍次 / 用途</w:t>
            </w:r>
          </w:p>
        </w:tc>
        <w:tc>
          <w:tcPr>
            <w:tcW w:w="1871" w:type="dxa"/>
            <w:shd w:val="clear" w:color="auto" w:fill="ECEAFE"/>
          </w:tcPr>
          <w:p w14:paraId="3754CD27">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基准宽度</w:t>
            </w:r>
          </w:p>
        </w:tc>
        <w:tc>
          <w:tcPr>
            <w:tcW w:w="1871" w:type="dxa"/>
            <w:shd w:val="clear" w:color="auto" w:fill="ECEAFE"/>
          </w:tcPr>
          <w:p w14:paraId="7FE2455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网格</w:t>
            </w:r>
          </w:p>
        </w:tc>
        <w:tc>
          <w:tcPr>
            <w:tcW w:w="2891" w:type="dxa"/>
            <w:shd w:val="clear" w:color="auto" w:fill="ECEAFE"/>
          </w:tcPr>
          <w:p w14:paraId="5D954649">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1000预算下尝试次数</w:t>
            </w:r>
          </w:p>
        </w:tc>
      </w:tr>
      <w:tr w14:paraId="4A2FA376">
        <w:trPr>
          <w:cantSplit/>
          <w:jc w:val="center"/>
        </w:trPr>
        <w:tc>
          <w:tcPr>
            <w:tcW w:w="2721" w:type="dxa"/>
          </w:tcPr>
          <w:p w14:paraId="71BDA4A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 / 大色块</w:t>
            </w:r>
          </w:p>
        </w:tc>
        <w:tc>
          <w:tcPr>
            <w:tcW w:w="1871" w:type="dxa"/>
          </w:tcPr>
          <w:p w14:paraId="312A473E">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30</w:t>
            </w:r>
          </w:p>
        </w:tc>
        <w:tc>
          <w:tcPr>
            <w:tcW w:w="1871" w:type="dxa"/>
          </w:tcPr>
          <w:p w14:paraId="5FA5271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3</w:t>
            </w:r>
          </w:p>
        </w:tc>
        <w:tc>
          <w:tcPr>
            <w:tcW w:w="2891" w:type="dxa"/>
          </w:tcPr>
          <w:p w14:paraId="27289B3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60</w:t>
            </w:r>
          </w:p>
        </w:tc>
      </w:tr>
      <w:tr w14:paraId="16ED3115">
        <w:trPr>
          <w:cantSplit/>
          <w:jc w:val="center"/>
        </w:trPr>
        <w:tc>
          <w:tcPr>
            <w:tcW w:w="2721" w:type="dxa"/>
          </w:tcPr>
          <w:p w14:paraId="0FD02699">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 / 中色块</w:t>
            </w:r>
          </w:p>
        </w:tc>
        <w:tc>
          <w:tcPr>
            <w:tcW w:w="1871" w:type="dxa"/>
          </w:tcPr>
          <w:p w14:paraId="65F250B2">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16</w:t>
            </w:r>
          </w:p>
        </w:tc>
        <w:tc>
          <w:tcPr>
            <w:tcW w:w="1871" w:type="dxa"/>
          </w:tcPr>
          <w:p w14:paraId="6EEF1D86">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4</w:t>
            </w:r>
          </w:p>
        </w:tc>
        <w:tc>
          <w:tcPr>
            <w:tcW w:w="2891" w:type="dxa"/>
          </w:tcPr>
          <w:p w14:paraId="6D13F771">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120</w:t>
            </w:r>
          </w:p>
        </w:tc>
      </w:tr>
      <w:tr w14:paraId="5FC7D6EA">
        <w:trPr>
          <w:cantSplit/>
          <w:jc w:val="center"/>
        </w:trPr>
        <w:tc>
          <w:tcPr>
            <w:tcW w:w="2721" w:type="dxa"/>
          </w:tcPr>
          <w:p w14:paraId="45AEC61B">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形体</w:t>
            </w:r>
          </w:p>
        </w:tc>
        <w:tc>
          <w:tcPr>
            <w:tcW w:w="1871" w:type="dxa"/>
          </w:tcPr>
          <w:p w14:paraId="5B2A3283">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8</w:t>
            </w:r>
          </w:p>
        </w:tc>
        <w:tc>
          <w:tcPr>
            <w:tcW w:w="1871" w:type="dxa"/>
          </w:tcPr>
          <w:p w14:paraId="302E2C46">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5</w:t>
            </w:r>
          </w:p>
        </w:tc>
        <w:tc>
          <w:tcPr>
            <w:tcW w:w="2891" w:type="dxa"/>
          </w:tcPr>
          <w:p w14:paraId="2DF6BD0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220</w:t>
            </w:r>
          </w:p>
        </w:tc>
      </w:tr>
      <w:tr w14:paraId="450A0326">
        <w:trPr>
          <w:cantSplit/>
          <w:jc w:val="center"/>
        </w:trPr>
        <w:tc>
          <w:tcPr>
            <w:tcW w:w="2721" w:type="dxa"/>
          </w:tcPr>
          <w:p w14:paraId="6AE430AC">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小笔触</w:t>
            </w:r>
          </w:p>
        </w:tc>
        <w:tc>
          <w:tcPr>
            <w:tcW w:w="1871" w:type="dxa"/>
          </w:tcPr>
          <w:p w14:paraId="066FEE32">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w:t>
            </w:r>
          </w:p>
        </w:tc>
        <w:tc>
          <w:tcPr>
            <w:tcW w:w="1871" w:type="dxa"/>
          </w:tcPr>
          <w:p w14:paraId="6FDA9343">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 × 6</w:t>
            </w:r>
          </w:p>
        </w:tc>
        <w:tc>
          <w:tcPr>
            <w:tcW w:w="2891" w:type="dxa"/>
          </w:tcPr>
          <w:p w14:paraId="5452BBBA">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280</w:t>
            </w:r>
          </w:p>
        </w:tc>
      </w:tr>
      <w:tr w14:paraId="111DC1B3">
        <w:trPr>
          <w:cantSplit/>
          <w:jc w:val="center"/>
        </w:trPr>
        <w:tc>
          <w:tcPr>
            <w:tcW w:w="2721" w:type="dxa"/>
          </w:tcPr>
          <w:p w14:paraId="04006E94">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细节</w:t>
            </w:r>
          </w:p>
        </w:tc>
        <w:tc>
          <w:tcPr>
            <w:tcW w:w="1871" w:type="dxa"/>
          </w:tcPr>
          <w:p w14:paraId="39CB1424">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2.2</w:t>
            </w:r>
          </w:p>
        </w:tc>
        <w:tc>
          <w:tcPr>
            <w:tcW w:w="1871" w:type="dxa"/>
          </w:tcPr>
          <w:p w14:paraId="01E55E8D">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6 × 6</w:t>
            </w:r>
          </w:p>
        </w:tc>
        <w:tc>
          <w:tcPr>
            <w:tcW w:w="2891" w:type="dxa"/>
          </w:tcPr>
          <w:p w14:paraId="07D38AF5">
            <w:pPr>
              <w:pStyle w:val="2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320</w:t>
            </w:r>
          </w:p>
        </w:tc>
      </w:tr>
    </w:tbl>
    <w:p w14:paraId="32C6C101">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注：宽度按分析图短边200像素换算；无收益候选跳过，尝试次数不等于最终接受笔数。</w:t>
      </w:r>
    </w:p>
    <w:p w14:paraId="1D26A7FD">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表1的宽度以分析</w:t>
      </w:r>
      <w:r>
        <w:rPr>
          <w:rFonts w:hint="eastAsia" w:asciiTheme="minorEastAsia" w:hAnsiTheme="minorEastAsia" w:eastAsiaTheme="minorEastAsia" w:cstheme="minorEastAsia"/>
          <w:lang w:val="en-US" w:eastAsia="zh-CN"/>
        </w:rPr>
        <w:t>输入图片的</w:t>
      </w:r>
      <w:r>
        <w:rPr>
          <w:rFonts w:hint="eastAsia" w:asciiTheme="minorEastAsia" w:hAnsiTheme="minorEastAsia" w:eastAsiaTheme="minorEastAsia" w:cstheme="minorEastAsia"/>
        </w:rPr>
        <w:t>短边200像素为基准，再按实际尺寸换算。每遍的尝试次数按预算比例分配，区域内部则按当前加权残差分配数量：尚图2用莫奈《日出·印象》</w:t>
      </w:r>
      <w:r>
        <w:rPr>
          <w:rFonts w:hint="eastAsia" w:asciiTheme="minorEastAsia" w:hAnsiTheme="minorEastAsia" w:eastAsiaTheme="minorEastAsia" w:cstheme="minorEastAsia"/>
          <w:lang w:val="en-US" w:eastAsia="zh-CN"/>
        </w:rPr>
        <w:t>图片作为案例，算法将</w:t>
      </w:r>
      <w:r>
        <w:rPr>
          <w:rFonts w:hint="eastAsia" w:asciiTheme="minorEastAsia" w:hAnsiTheme="minorEastAsia" w:eastAsiaTheme="minorEastAsia" w:cstheme="minorEastAsia"/>
        </w:rPr>
        <w:t>同一份规划结果</w:t>
      </w:r>
      <w:r>
        <w:rPr>
          <w:rFonts w:hint="eastAsia" w:asciiTheme="minorEastAsia" w:hAnsiTheme="minorEastAsia" w:eastAsiaTheme="minorEastAsia" w:cstheme="minorEastAsia"/>
          <w:lang w:val="en-US" w:eastAsia="zh-CN"/>
        </w:rPr>
        <w:t>进行了</w:t>
      </w:r>
      <w:r>
        <w:rPr>
          <w:rFonts w:hint="eastAsia" w:asciiTheme="minorEastAsia" w:hAnsiTheme="minorEastAsia" w:eastAsiaTheme="minorEastAsia" w:cstheme="minorEastAsia"/>
        </w:rPr>
        <w:t>五遍的累积重建。</w:t>
      </w:r>
    </w:p>
    <w:p w14:paraId="7AA4DD5F">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905375" cy="4053205"/>
            <wp:effectExtent l="0" t="0" r="22225" b="10795"/>
            <wp:docPr id="3" name="Picture 3" descr="图2 莫奈《日出·印象》的五遍累积重建效果。原图为项目内参考作品；阶段图来自当前五遍规划方法的工程验证。均为算法模拟结果，非用户手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莫奈《日出·印象》的五遍累积重建效果。原图为项目内参考作品；阶段图来自当前五遍规划方法的工程验证。均为算法模拟结果，非用户手绘。"/>
                    <pic:cNvPicPr>
                      <a:picLocks noChangeAspect="1"/>
                    </pic:cNvPicPr>
                  </pic:nvPicPr>
                  <pic:blipFill>
                    <a:blip r:embed="rId16"/>
                    <a:stretch>
                      <a:fillRect/>
                    </a:stretch>
                  </pic:blipFill>
                  <pic:spPr>
                    <a:xfrm>
                      <a:off x="0" y="0"/>
                      <a:ext cx="4905375" cy="4053205"/>
                    </a:xfrm>
                    <a:prstGeom prst="rect">
                      <a:avLst/>
                    </a:prstGeom>
                  </pic:spPr>
                </pic:pic>
              </a:graphicData>
            </a:graphic>
          </wp:inline>
        </w:drawing>
      </w:r>
    </w:p>
    <w:p w14:paraId="52AE4DFB">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图2  莫奈《日出·印象》的五遍累积重建效果</w:t>
      </w:r>
    </w:p>
    <w:p w14:paraId="51F67626">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四、交互流程与UI设计建设</w:t>
      </w:r>
    </w:p>
    <w:p w14:paraId="1BB71529">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4.1 信息架构与创作入口</w:t>
      </w:r>
    </w:p>
    <w:p w14:paraId="590D47C2">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“星迹智绘”</w:t>
      </w:r>
      <w:r>
        <w:rPr>
          <w:rFonts w:hint="eastAsia" w:asciiTheme="minorEastAsia" w:hAnsiTheme="minorEastAsia" w:eastAsiaTheme="minorEastAsia" w:cstheme="minorEastAsia"/>
          <w:lang w:val="en-US" w:eastAsia="zh-CN"/>
        </w:rPr>
        <w:t>绘画程序</w:t>
      </w:r>
      <w:r>
        <w:rPr>
          <w:rFonts w:hint="eastAsia" w:asciiTheme="minorEastAsia" w:hAnsiTheme="minorEastAsia" w:eastAsiaTheme="minorEastAsia" w:cstheme="minorEastAsia"/>
        </w:rPr>
        <w:t>已经建立首页、选图、绘画、作品查看、产品介绍及研究测试等主要</w:t>
      </w: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页面。体验路径围绕“选择想画的图—获得有序笔触—亲手绘画—保存作品”组织；用户测试通过独立入口进入统一任务。首页突出“开始我的第一幅画”的主操作。产品介绍页面则承担完整功能说明、算法原理和文献来源展示。</w:t>
      </w:r>
    </w:p>
    <w:p w14:paraId="247E5C85">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3879215" cy="2694305"/>
            <wp:effectExtent l="0" t="0" r="6985" b="3175"/>
            <wp:docPr id="4" name="Picture 4" descr="图3 星迹智绘首页与主要创作入口。当前程序截图；首页的长介绍默认收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星迹智绘首页与主要创作入口。当前程序截图；首页的长介绍默认收起。"/>
                    <pic:cNvPicPr>
                      <a:picLocks noChangeAspect="1"/>
                    </pic:cNvPicPr>
                  </pic:nvPicPr>
                  <pic:blipFill>
                    <a:blip r:embed="rId17"/>
                    <a:stretch>
                      <a:fillRect/>
                    </a:stretch>
                  </pic:blipFill>
                  <pic:spPr>
                    <a:xfrm>
                      <a:off x="0" y="0"/>
                      <a:ext cx="3879215" cy="269430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859280" cy="2696210"/>
            <wp:effectExtent l="0" t="0" r="0" b="12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8"/>
                    <a:stretch>
                      <a:fillRect/>
                    </a:stretch>
                  </pic:blipFill>
                  <pic:spPr>
                    <a:xfrm>
                      <a:off x="0" y="0"/>
                      <a:ext cx="1859280" cy="2696210"/>
                    </a:xfrm>
                    <a:prstGeom prst="rect">
                      <a:avLst/>
                    </a:prstGeom>
                    <a:noFill/>
                    <a:ln>
                      <a:noFill/>
                    </a:ln>
                  </pic:spPr>
                </pic:pic>
              </a:graphicData>
            </a:graphic>
          </wp:inline>
        </w:drawing>
      </w:r>
    </w:p>
    <w:p w14:paraId="51E1EF28">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图3  星迹智绘首页与主要创作入口</w:t>
      </w:r>
    </w:p>
    <w:p w14:paraId="32D8287C">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注：当前程序截图；首页的长介绍默认收起。</w:t>
      </w:r>
    </w:p>
    <w:p w14:paraId="35D44C06">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参考图既可以来自作品库，也可以由用户本地选择或拖拽上传。当前支持20MB以下的JPG、PNG等浏览器可解码图像，并提供文件检查、预览和加载反馈。用户可以先检查拆解后的预期效果，再决定是否进入绘画。自由画布</w:t>
      </w:r>
      <w:r>
        <w:rPr>
          <w:rFonts w:hint="eastAsia" w:asciiTheme="minorEastAsia" w:hAnsiTheme="minorEastAsia" w:eastAsiaTheme="minorEastAsia" w:cstheme="minorEastAsia"/>
          <w:lang w:val="en-US" w:eastAsia="zh-CN"/>
        </w:rPr>
        <w:t>功能</w:t>
      </w:r>
      <w:r>
        <w:rPr>
          <w:rFonts w:hint="eastAsia" w:asciiTheme="minorEastAsia" w:hAnsiTheme="minorEastAsia" w:eastAsiaTheme="minorEastAsia" w:cstheme="minorEastAsia"/>
        </w:rPr>
        <w:t>允许</w:t>
      </w:r>
      <w:r>
        <w:rPr>
          <w:rFonts w:hint="eastAsia" w:asciiTheme="minorEastAsia" w:hAnsiTheme="minorEastAsia" w:eastAsiaTheme="minorEastAsia" w:cstheme="minorEastAsia"/>
          <w:lang w:val="en-US" w:eastAsia="zh-CN"/>
        </w:rPr>
        <w:t>用户</w:t>
      </w:r>
      <w:r>
        <w:rPr>
          <w:rFonts w:hint="eastAsia" w:asciiTheme="minorEastAsia" w:hAnsiTheme="minorEastAsia" w:eastAsiaTheme="minorEastAsia" w:cstheme="minorEastAsia"/>
        </w:rPr>
        <w:t>直接</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绘画，不要求先挑选主题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为不想跟随固定参考图的</w:t>
      </w:r>
      <w:r>
        <w:rPr>
          <w:rFonts w:hint="eastAsia" w:asciiTheme="minorEastAsia" w:hAnsiTheme="minorEastAsia" w:eastAsiaTheme="minorEastAsia" w:cstheme="minorEastAsia"/>
          <w:lang w:val="en-US" w:eastAsia="zh-CN"/>
        </w:rPr>
        <w:t>绘画</w:t>
      </w:r>
      <w:r>
        <w:rPr>
          <w:rFonts w:hint="eastAsia" w:asciiTheme="minorEastAsia" w:hAnsiTheme="minorEastAsia" w:eastAsiaTheme="minorEastAsia" w:cstheme="minorEastAsia"/>
        </w:rPr>
        <w:t>使用者保留</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自主表达</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空间。</w:t>
      </w:r>
    </w:p>
    <w:p w14:paraId="05A64562">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2038350" cy="2217420"/>
            <wp:effectExtent l="0" t="0" r="3810" b="762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9"/>
                    <a:stretch>
                      <a:fillRect/>
                    </a:stretch>
                  </pic:blipFill>
                  <pic:spPr>
                    <a:xfrm>
                      <a:off x="0" y="0"/>
                      <a:ext cx="2038350" cy="221742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485900" cy="2216150"/>
            <wp:effectExtent l="0" t="0" r="7620" b="889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0"/>
                    <a:stretch>
                      <a:fillRect/>
                    </a:stretch>
                  </pic:blipFill>
                  <pic:spPr>
                    <a:xfrm>
                      <a:off x="0" y="0"/>
                      <a:ext cx="1485900" cy="221615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2414905" cy="2233930"/>
            <wp:effectExtent l="0" t="0" r="8255" b="635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2414905" cy="2233930"/>
                    </a:xfrm>
                    <a:prstGeom prst="rect">
                      <a:avLst/>
                    </a:prstGeom>
                    <a:noFill/>
                    <a:ln>
                      <a:noFill/>
                    </a:ln>
                  </pic:spPr>
                </pic:pic>
              </a:graphicData>
            </a:graphic>
          </wp:inline>
        </w:drawing>
      </w:r>
    </w:p>
    <w:p w14:paraId="5C69AF7E">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图4  图片上传</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精选临摹、自由画布</w:t>
      </w:r>
      <w:r>
        <w:rPr>
          <w:rFonts w:hint="eastAsia" w:asciiTheme="minorEastAsia" w:hAnsiTheme="minorEastAsia" w:eastAsiaTheme="minorEastAsia" w:cstheme="minorEastAsia"/>
        </w:rPr>
        <w:t>选择界面</w:t>
      </w:r>
    </w:p>
    <w:p w14:paraId="7C366F43">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注：当前程序截图；支持点击选图、拖拽上传和进入自由画布。</w:t>
      </w:r>
    </w:p>
    <w:p w14:paraId="6D65378A">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4.2 绘画中的提示、控制与反馈</w:t>
      </w:r>
    </w:p>
    <w:p w14:paraId="5A24367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绘画界面以画布为中心，当前笔触通过半透明区域、数字起终点和方向箭头表示。数字、圆圈、箭头和路线会随笔触尺寸同比缩放，减少细小笔触被大图标遮挡的情况。用户默认获得完整引导，也可在工具中选择适度提示或仅保留起点。进度与遍次说明共同告诉用户当前处于大色块建立还是细节修整阶段，使“下一笔”</w:t>
      </w:r>
      <w:r>
        <w:rPr>
          <w:rFonts w:hint="eastAsia" w:asciiTheme="minorEastAsia" w:hAnsiTheme="minorEastAsia" w:eastAsiaTheme="minorEastAsia" w:cstheme="minorEastAsia"/>
          <w:lang w:val="en-US" w:eastAsia="zh-CN"/>
        </w:rPr>
        <w:t>引导</w:t>
      </w:r>
      <w:r>
        <w:rPr>
          <w:rFonts w:hint="eastAsia" w:asciiTheme="minorEastAsia" w:hAnsiTheme="minorEastAsia" w:eastAsiaTheme="minorEastAsia" w:cstheme="minorEastAsia"/>
        </w:rPr>
        <w:t>与整幅画的形成过程建立联系。</w:t>
      </w:r>
    </w:p>
    <w:p w14:paraId="7B6EC9E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参考原图置于</w:t>
      </w:r>
      <w:r>
        <w:rPr>
          <w:rFonts w:hint="eastAsia" w:asciiTheme="minorEastAsia" w:hAnsiTheme="minorEastAsia" w:eastAsiaTheme="minorEastAsia" w:cstheme="minorEastAsia"/>
          <w:lang w:val="en-US" w:eastAsia="zh-CN"/>
        </w:rPr>
        <w:t>提示</w:t>
      </w:r>
      <w:r>
        <w:rPr>
          <w:rFonts w:hint="eastAsia" w:asciiTheme="minorEastAsia" w:hAnsiTheme="minorEastAsia" w:eastAsiaTheme="minorEastAsia" w:cstheme="minorEastAsia"/>
        </w:rPr>
        <w:t>面板中，按</w:t>
      </w:r>
      <w:r>
        <w:rPr>
          <w:rFonts w:hint="eastAsia" w:asciiTheme="minorEastAsia" w:hAnsiTheme="minorEastAsia" w:eastAsiaTheme="minorEastAsia" w:cstheme="minorEastAsia"/>
          <w:lang w:val="en-US" w:eastAsia="zh-CN"/>
        </w:rPr>
        <w:t>使用设备的</w:t>
      </w:r>
      <w:r>
        <w:rPr>
          <w:rFonts w:hint="eastAsia" w:asciiTheme="minorEastAsia" w:hAnsiTheme="minorEastAsia" w:eastAsiaTheme="minorEastAsia" w:cstheme="minorEastAsia"/>
        </w:rPr>
        <w:t>适配</w:t>
      </w:r>
      <w:r>
        <w:rPr>
          <w:rFonts w:hint="eastAsia" w:asciiTheme="minorEastAsia" w:hAnsiTheme="minorEastAsia" w:eastAsiaTheme="minorEastAsia" w:cstheme="minorEastAsia"/>
          <w:lang w:val="en-US" w:eastAsia="zh-CN"/>
        </w:rPr>
        <w:t>进行</w:t>
      </w:r>
      <w:r>
        <w:rPr>
          <w:rFonts w:hint="eastAsia" w:asciiTheme="minorEastAsia" w:hAnsiTheme="minorEastAsia" w:eastAsiaTheme="minorEastAsia" w:cstheme="minorEastAsia"/>
        </w:rPr>
        <w:t>显示，点击可以放大查看并恢复。面板可移动、锁定和收起为方圆图标，帮助使用者根据画布位置安排信息。底部工具栏把模式、画笔与常用操作集中呈现，按钮提供悬停文字提示，教程入口解释不同工具的作用。沿星迹模式支持撤销，使误操作具备可恢复性，也让用户可以重新尝试当前动作。</w:t>
      </w:r>
    </w:p>
    <w:p w14:paraId="35C449AA">
      <w:pPr>
        <w:pStyle w:val="19"/>
        <w:keepNext/>
        <w:spacing w:before="1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1508125" cy="1371600"/>
            <wp:effectExtent l="0" t="0" r="635"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2"/>
                    <a:stretch>
                      <a:fillRect/>
                    </a:stretch>
                  </pic:blipFill>
                  <pic:spPr>
                    <a:xfrm>
                      <a:off x="0" y="0"/>
                      <a:ext cx="1508125" cy="1371600"/>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964055" cy="1364615"/>
            <wp:effectExtent l="0" t="0" r="1905" b="6985"/>
            <wp:docPr id="6" name="Picture 6" descr="图5 沿星迹绘画、参考原图与可移动提示面板。当前程序截图；图中画布为绘画起始状态，紫色区域表示待执行笔触，非用户作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5 沿星迹绘画、参考原图与可移动提示面板。当前程序截图；图中画布为绘画起始状态，紫色区域表示待执行笔触，非用户作品。"/>
                    <pic:cNvPicPr>
                      <a:picLocks noChangeAspect="1"/>
                    </pic:cNvPicPr>
                  </pic:nvPicPr>
                  <pic:blipFill>
                    <a:blip r:embed="rId23"/>
                    <a:stretch>
                      <a:fillRect/>
                    </a:stretch>
                  </pic:blipFill>
                  <pic:spPr>
                    <a:xfrm>
                      <a:off x="0" y="0"/>
                      <a:ext cx="1964055" cy="1364615"/>
                    </a:xfrm>
                    <a:prstGeom prst="rect">
                      <a:avLst/>
                    </a:prstGeom>
                  </pic:spPr>
                </pic:pic>
              </a:graphicData>
            </a:graphic>
          </wp:inline>
        </w:drawing>
      </w:r>
      <w:r>
        <w:rPr>
          <w:rFonts w:hint="eastAsia" w:asciiTheme="minorEastAsia" w:hAnsiTheme="minorEastAsia" w:eastAsiaTheme="minorEastAsia" w:cstheme="minorEastAsia"/>
        </w:rPr>
        <w:drawing>
          <wp:inline distT="0" distB="0" distL="114300" distR="114300">
            <wp:extent cx="1464310" cy="1349375"/>
            <wp:effectExtent l="0" t="0" r="13970" b="698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4"/>
                    <a:stretch>
                      <a:fillRect/>
                    </a:stretch>
                  </pic:blipFill>
                  <pic:spPr>
                    <a:xfrm>
                      <a:off x="0" y="0"/>
                      <a:ext cx="1464310" cy="1349375"/>
                    </a:xfrm>
                    <a:prstGeom prst="rect">
                      <a:avLst/>
                    </a:prstGeom>
                    <a:noFill/>
                    <a:ln>
                      <a:noFill/>
                    </a:ln>
                  </pic:spPr>
                </pic:pic>
              </a:graphicData>
            </a:graphic>
          </wp:inline>
        </w:drawing>
      </w:r>
      <w:r>
        <w:rPr>
          <w:rFonts w:hint="eastAsia" w:asciiTheme="minorEastAsia" w:hAnsiTheme="minorEastAsia" w:eastAsiaTheme="minorEastAsia" w:cstheme="minorEastAsia"/>
        </w:rPr>
        <w:drawing>
          <wp:inline distT="0" distB="0" distL="114300" distR="114300">
            <wp:extent cx="1015365" cy="1380490"/>
            <wp:effectExtent l="0" t="0" r="5715"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5"/>
                    <a:stretch>
                      <a:fillRect/>
                    </a:stretch>
                  </pic:blipFill>
                  <pic:spPr>
                    <a:xfrm>
                      <a:off x="0" y="0"/>
                      <a:ext cx="1015365" cy="1380490"/>
                    </a:xfrm>
                    <a:prstGeom prst="rect">
                      <a:avLst/>
                    </a:prstGeom>
                    <a:noFill/>
                    <a:ln>
                      <a:noFill/>
                    </a:ln>
                  </pic:spPr>
                </pic:pic>
              </a:graphicData>
            </a:graphic>
          </wp:inline>
        </w:drawing>
      </w:r>
    </w:p>
    <w:p w14:paraId="25706CED">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图5  沿星迹绘画、参考原图与可移动提示面板</w:t>
      </w:r>
    </w:p>
    <w:p w14:paraId="7D0AE18A">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注：当前程序截图；图中画布为绘画起始状态，紫色区域表示待执行笔触。</w:t>
      </w:r>
    </w:p>
    <w:p w14:paraId="5560224C">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体验提供沿星迹、自动续画和自由星域三种使用方式。沿星迹强调按照当前提示动笔；自动续画用于观察序列怎样构成画面，逐笔间隔可在200毫秒至1秒之间调整，默认1秒，暂停后保持当前模式和进度；自由星域直接响应使用者的绘画手势。绘画过程中可调整笔宽、颜色和风格，笔宽数字用整数显示。</w:t>
      </w:r>
    </w:p>
    <w:p w14:paraId="01F0376C">
      <w:pPr>
        <w:pStyle w:val="16"/>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五、</w:t>
      </w:r>
      <w:r>
        <w:rPr>
          <w:rFonts w:hint="eastAsia" w:asciiTheme="minorEastAsia" w:hAnsiTheme="minorEastAsia" w:eastAsiaTheme="minorEastAsia" w:cstheme="minorEastAsia"/>
          <w:lang w:val="en-US" w:eastAsia="zh-CN"/>
        </w:rPr>
        <w:t>用户研究与用户测试</w:t>
      </w:r>
    </w:p>
    <w:p w14:paraId="6FFC6E95">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5.1 前后端与数据流程</w:t>
      </w:r>
    </w:p>
    <w:p w14:paraId="24A813E7">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程序以Next.js、React和TypeScript搭建页面与状态管理，浏览器Canvas承载参考图、引导和实际笔迹，Web </w:t>
      </w:r>
      <w:r>
        <w:rPr>
          <w:rFonts w:hint="eastAsia" w:asciiTheme="minorEastAsia" w:hAnsiTheme="minorEastAsia" w:eastAsiaTheme="minorEastAsia" w:cstheme="minorEastAsia"/>
          <w:lang w:val="en-US" w:eastAsia="zh-CN"/>
        </w:rPr>
        <w:t>端</w:t>
      </w:r>
      <w:r>
        <w:rPr>
          <w:rFonts w:hint="eastAsia" w:asciiTheme="minorEastAsia" w:hAnsiTheme="minorEastAsia" w:eastAsiaTheme="minorEastAsia" w:cstheme="minorEastAsia"/>
        </w:rPr>
        <w:t>运行较重的图像规划。服务端提供研究配置、入组、轮次记录、作品保存、评分和导出接口，使用持久化数据库及文件目录管理研究材料。算法模块与绘画操作分离，研究材料保存版本和哈希，便于核对某一份记录使用了哪张图片、哪套笔触计划和哪一版规则。</w:t>
      </w:r>
    </w:p>
    <w:p w14:paraId="47337C06">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普通体验与研究任务采用</w:t>
      </w:r>
      <w:r>
        <w:rPr>
          <w:rFonts w:hint="eastAsia" w:asciiTheme="minorEastAsia" w:hAnsiTheme="minorEastAsia" w:eastAsiaTheme="minorEastAsia" w:cstheme="minorEastAsia"/>
          <w:lang w:val="en-US" w:eastAsia="zh-CN"/>
        </w:rPr>
        <w:t>了</w:t>
      </w:r>
      <w:r>
        <w:rPr>
          <w:rFonts w:hint="eastAsia" w:asciiTheme="minorEastAsia" w:hAnsiTheme="minorEastAsia" w:eastAsiaTheme="minorEastAsia" w:cstheme="minorEastAsia"/>
        </w:rPr>
        <w:t>不同的使用边界。普通体验允许自行选图、切换风格与观察自动续画；研究任务由研究者统一设置材料、工具能力和时限。研究者工作台集中查看测试记录、材料状态和配对结果。</w:t>
      </w:r>
    </w:p>
    <w:p w14:paraId="5B2A5538">
      <w:pPr>
        <w:pStyle w:val="18"/>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5.2 用户</w:t>
      </w:r>
      <w:r>
        <w:rPr>
          <w:rFonts w:hint="eastAsia" w:asciiTheme="minorEastAsia" w:hAnsiTheme="minorEastAsia" w:eastAsiaTheme="minorEastAsia" w:cstheme="minorEastAsia"/>
          <w:lang w:val="en-US" w:eastAsia="zh-CN"/>
        </w:rPr>
        <w:t>研究</w:t>
      </w:r>
    </w:p>
    <w:p w14:paraId="70CBF059">
      <w:pPr>
        <w:pStyle w:val="23"/>
      </w:pPr>
      <w:r>
        <w:t>拟先开展6—8名成年绘画初学者的情境访谈与任务观察，并邀请2名具有基础绘画教学经验的教师讨论任务设计。初学者应未接受持续系统绘画训练，近三个月没有每周固定绘画练习。</w:t>
      </w:r>
    </w:p>
    <w:p w14:paraId="5DD22A49">
      <w:pPr>
        <w:pStyle w:val="23"/>
      </w:pPr>
      <w:r>
        <w:t>每位初学者先谈最近一次想画画、实际动笔或中途放弃的经历，再在普通数字画布上完成一项简短的看图绘画。研究者先观察其选择起点、概括形状、安排颜色和修改画面的过程，再体验现有引导并追问差异。为避免产品先入为主，访谈开头不宣传笔触拆解的优势。</w:t>
      </w:r>
    </w:p>
    <w:p w14:paraId="15E027CB">
      <w:pPr>
        <w:pStyle w:val="23"/>
      </w:pPr>
      <w:r>
        <w:t>观察记录区分三层信息：实际发生的动作、参与者给出的解释，以及研究者的推测。例如，“连续撤销三次”是行为，“我不知道花盆应画多大”是参与者解释，“缺少构图支架”才是待核对的研究者判断。停顿不能直接编码为困难；参与者也可能正在观察、比较或决定。录音、屏幕记录和作品使用分别征得同意，仅使用匿名编号整理材料。</w:t>
      </w:r>
    </w:p>
    <w:p w14:paraId="3DB534B8">
      <w:pPr>
        <w:pStyle w:val="23"/>
      </w:pPr>
    </w:p>
    <w:p w14:paraId="57CD7B3B">
      <w:pPr>
        <w:pStyle w:val="18"/>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rPr>
        <w:t>5.2 用户</w:t>
      </w:r>
      <w:r>
        <w:rPr>
          <w:rFonts w:hint="eastAsia" w:asciiTheme="minorEastAsia" w:hAnsiTheme="minorEastAsia" w:eastAsiaTheme="minorEastAsia" w:cstheme="minorEastAsia"/>
          <w:lang w:val="en-US" w:eastAsia="zh-CN"/>
        </w:rPr>
        <w:t>测试计划</w:t>
      </w:r>
    </w:p>
    <w:p w14:paraId="43369332">
      <w:pPr>
        <w:pStyle w:val="5"/>
        <w:keepNext w:val="0"/>
        <w:keepLines w:val="0"/>
        <w:widowControl/>
        <w:suppressLineNumbers w:val="0"/>
        <w:ind w:firstLine="425" w:firstLineChars="0"/>
      </w:pPr>
      <w:r>
        <w:t>本研究拟招募24名未接受系统绘画训练、无规律绘画习惯的成年参与者，采用“绘画工具×图片难度”的2×2受试者内实验设计，考察星迹智绘对绘画效率、作品完成度和使用体验的影响。</w:t>
      </w:r>
    </w:p>
    <w:p w14:paraId="3BFE3C38">
      <w:pPr>
        <w:pStyle w:val="5"/>
        <w:keepNext w:val="0"/>
        <w:keepLines w:val="0"/>
        <w:widowControl/>
        <w:suppressLineNumbers w:val="0"/>
        <w:ind w:firstLine="425" w:firstLineChars="0"/>
      </w:pPr>
      <w:r>
        <w:t>实验设置普通数字画布与星迹智绘两种绘画方式，以及简单、较难两档图片。每位参与者完成4次绘画，每次最多10分钟。两种方式使用相同设备和基础工具，均不允许自动代画，主要区别为是否提供绘画引导。</w:t>
      </w:r>
    </w:p>
    <w:p w14:paraId="4B3C4658">
      <w:pPr>
        <w:pStyle w:val="5"/>
        <w:keepNext w:val="0"/>
        <w:keepLines w:val="0"/>
        <w:widowControl/>
        <w:suppressLineNumbers w:val="0"/>
        <w:ind w:firstLine="425" w:firstLineChars="0"/>
      </w:pPr>
      <w:r>
        <w:t>参考图片覆盖生活用品、植物和食物三类，每类安排8名参与者。每类准备两档难度的平行图片，同一参与者不重复绘制同一张图片。通过平衡任务顺序及图片与工具的对应关系，减少练习、疲劳和材料差异的影响。</w:t>
      </w:r>
    </w:p>
    <w:p w14:paraId="0BF86E8B">
      <w:pPr>
        <w:pStyle w:val="5"/>
        <w:keepNext w:val="0"/>
        <w:keepLines w:val="0"/>
        <w:widowControl/>
        <w:suppressLineNumbers w:val="0"/>
        <w:ind w:firstLine="425" w:firstLineChars="0"/>
      </w:pPr>
      <w:r>
        <w:t>主要指标为作品完成度和达到基本完成标准所需时间。两名评分者依据主体辨识、结构完整、形体关系及色块呈现等统一细则独立盲评。通过定时保存的画面判断首次达标时间；超时未达标者单独记录，不能视为已完成或从分析中删除。</w:t>
      </w:r>
    </w:p>
    <w:p w14:paraId="0EAE4BF0">
      <w:pPr>
        <w:pStyle w:val="5"/>
        <w:keepNext w:val="0"/>
        <w:keepLines w:val="0"/>
        <w:widowControl/>
        <w:suppressLineNumbers w:val="0"/>
        <w:ind w:firstLine="425" w:firstLineChars="0"/>
      </w:pPr>
      <w:r>
        <w:t>每轮绘画后填写IMI量表，评价兴趣、胜任感、自主选择和压力；全部任务结束后，分别填写两种工具的SUS量表，并进行简短访谈，了解操作负担及使用工具记录日常物体的意愿。</w:t>
      </w:r>
    </w:p>
    <w:p w14:paraId="322D45F2">
      <w:pPr>
        <w:pStyle w:val="5"/>
        <w:keepNext w:val="0"/>
        <w:keepLines w:val="0"/>
        <w:widowControl/>
        <w:suppressLineNumbers w:val="0"/>
        <w:ind w:firstLine="425" w:firstLineChars="0"/>
      </w:pPr>
      <w:r>
        <w:t>正式实验前</w:t>
      </w:r>
      <w:r>
        <w:rPr>
          <w:rFonts w:hint="eastAsia"/>
          <w:lang w:val="en-US" w:eastAsia="zh-CN"/>
        </w:rPr>
        <w:t>计划</w:t>
      </w:r>
      <w:r>
        <w:t>另招募4—6人预试，检查图片难度、任务时限、问卷负担和评分细则。研究开始前完成知情同意及适用的伦理程序，参与者可随时退出，作品与数据匿名保存。</w:t>
      </w:r>
    </w:p>
    <w:p w14:paraId="5D94348A">
      <w:pPr>
        <w:pStyle w:val="5"/>
        <w:keepNext w:val="0"/>
        <w:keepLines w:val="0"/>
        <w:widowControl/>
        <w:suppressLineNumbers w:val="0"/>
        <w:ind w:firstLine="425" w:firstLineChars="0"/>
      </w:pPr>
      <w:r>
        <w:t>正式实验预计获得96幅作品，统计样本仍为24名参与者。采用重复测量分析比较工具、难度及其交互作用，报告效应量和置信区间。考虑样本规模，本研究定位为探索性评价，结论限定于所测试的题材与难度，不预先保证显著效果，也不据此推断适用于所有绘画场景。</w:t>
      </w:r>
    </w:p>
    <w:p w14:paraId="5D76A455">
      <w:pPr>
        <w:rPr>
          <w:rFonts w:hint="eastAsia" w:asciiTheme="minorEastAsia" w:hAnsiTheme="minorEastAsia" w:eastAsiaTheme="minorEastAsia" w:cstheme="minorEastAsia"/>
        </w:rPr>
      </w:pPr>
    </w:p>
    <w:p w14:paraId="4FD58A41">
      <w:pPr>
        <w:pStyle w:val="16"/>
        <w:rPr>
          <w:rFonts w:hint="eastAsia" w:asciiTheme="minorEastAsia" w:hAnsiTheme="minorEastAsia" w:eastAsiaTheme="minorEastAsia" w:cstheme="minorEastAsia"/>
        </w:rPr>
      </w:pPr>
      <w:r>
        <w:rPr>
          <w:rFonts w:hint="eastAsia" w:asciiTheme="minorEastAsia" w:hAnsiTheme="minorEastAsia" w:eastAsiaTheme="minorEastAsia" w:cstheme="minorEastAsia"/>
        </w:rPr>
        <w:t>六、阶段性成果与待验证问题</w:t>
      </w:r>
    </w:p>
    <w:p w14:paraId="7C6EC4E0">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本阶段已形成可运行的网页原型、独立的笔触规划模块、由粗到细的五遍序列、六种自由笔刷、交互教程与产品说明，以及覆盖研究执行和记录管理的前后端模块。文献阅读已转化为具体的方法选择、实现说明和参考来源；UI设计已从页面表达落实到可操作的上传、提示、撤销、模式切换和保存流程。这些成果使课题具备开展用户测试的条件，构成中期工作的主要完成内容。</w:t>
      </w:r>
    </w:p>
    <w:p w14:paraId="6042EAE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待验证的问题主要涉及任务负担与交互有效性。1000笔可改善部分图像的细节表达，但大量逐笔操作可能增加等待与重复动作；由粗到细的顺序更容易说明，却不保证每名用户都能理解局部笔触与原图之间的关系。参考图、画布、提示卡和工具栏的注意力分配也需要实际观察。后续将重点记录犹豫、误触、反复查看提示和提前结束的位置，以判断问题来自材料难度、算法动作还是界面组织。</w:t>
      </w:r>
    </w:p>
    <w:p w14:paraId="43EE52EF">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研究解释同样需要明确边界。同图重复绘画会产生记忆和熟悉效应，AB与BA平衡只能缓解，不能完全消除</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所以计划采用同等难度与同类型的近似图片进行</w:t>
      </w:r>
      <w:r>
        <w:rPr>
          <w:rFonts w:hint="eastAsia" w:asciiTheme="minorEastAsia" w:hAnsiTheme="minorEastAsia" w:eastAsiaTheme="minorEastAsia" w:cstheme="minorEastAsia"/>
        </w:rPr>
        <w:t>；单次自评意愿不能证明长期习惯形成；更快结束也可能源于提前放弃。分析速度时必须结合完成度、结束原因及作品内容，分析满意度时要注意亲手创作感与系统帮助之间的关系。论文将把这些限制纳入讨论，并保留与预期不一致的结果。</w:t>
      </w:r>
    </w:p>
    <w:p w14:paraId="46DBA838">
      <w:pPr>
        <w:pStyle w:val="16"/>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七、下一阶段</w:t>
      </w:r>
      <w:r>
        <w:rPr>
          <w:rFonts w:hint="eastAsia" w:asciiTheme="minorEastAsia" w:hAnsiTheme="minorEastAsia" w:eastAsiaTheme="minorEastAsia" w:cstheme="minorEastAsia"/>
          <w:lang w:val="en-US" w:eastAsia="zh-CN"/>
        </w:rPr>
        <w:t>计划</w:t>
      </w:r>
    </w:p>
    <w:p w14:paraId="49F593A1">
      <w:pPr>
        <w:pStyle w:val="19"/>
        <w:keepNext/>
        <w:rPr>
          <w:rFonts w:hint="eastAsia" w:asciiTheme="minorEastAsia" w:hAnsiTheme="minorEastAsia" w:eastAsiaTheme="minorEastAsia" w:cstheme="minorEastAsia"/>
        </w:rPr>
      </w:pPr>
      <w:r>
        <w:rPr>
          <w:rFonts w:hint="eastAsia" w:asciiTheme="minorEastAsia" w:hAnsiTheme="minorEastAsia" w:eastAsiaTheme="minorEastAsia" w:cstheme="minorEastAsia"/>
        </w:rPr>
        <w:t>表</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 xml:space="preserve">  下一阶段执行安排与阶段交付</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2948"/>
        <w:gridCol w:w="4649"/>
      </w:tblGrid>
      <w:tr w14:paraId="7515939B">
        <w:trPr>
          <w:cantSplit/>
          <w:tblHeader/>
          <w:jc w:val="center"/>
        </w:trPr>
        <w:tc>
          <w:tcPr>
            <w:tcW w:w="1757" w:type="dxa"/>
            <w:shd w:val="clear" w:color="auto" w:fill="ECEAFE"/>
          </w:tcPr>
          <w:p w14:paraId="614F03B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顺序</w:t>
            </w:r>
          </w:p>
        </w:tc>
        <w:tc>
          <w:tcPr>
            <w:tcW w:w="2948" w:type="dxa"/>
            <w:shd w:val="clear" w:color="auto" w:fill="ECEAFE"/>
          </w:tcPr>
          <w:p w14:paraId="02F97A6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主要工作</w:t>
            </w:r>
          </w:p>
        </w:tc>
        <w:tc>
          <w:tcPr>
            <w:tcW w:w="4649" w:type="dxa"/>
            <w:shd w:val="clear" w:color="auto" w:fill="ECEAFE"/>
          </w:tcPr>
          <w:p w14:paraId="7AB74085">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rPr>
              <w:t>完成标志</w:t>
            </w:r>
          </w:p>
        </w:tc>
      </w:tr>
      <w:tr w14:paraId="304F4E81">
        <w:trPr>
          <w:cantSplit/>
          <w:jc w:val="center"/>
        </w:trPr>
        <w:tc>
          <w:tcPr>
            <w:tcW w:w="1757" w:type="dxa"/>
          </w:tcPr>
          <w:p w14:paraId="3CAAAFA3">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1 / 预试准备</w:t>
            </w:r>
          </w:p>
        </w:tc>
        <w:tc>
          <w:tcPr>
            <w:tcW w:w="2948" w:type="dxa"/>
          </w:tcPr>
          <w:p w14:paraId="6FA6473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核对研究说明、候选材料、设备与评分清单</w:t>
            </w:r>
          </w:p>
        </w:tc>
        <w:tc>
          <w:tcPr>
            <w:tcW w:w="4649" w:type="dxa"/>
          </w:tcPr>
          <w:p w14:paraId="386F55DE">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形成可执行的统一说明与材料包。</w:t>
            </w:r>
          </w:p>
        </w:tc>
      </w:tr>
      <w:tr w14:paraId="329A978B">
        <w:trPr>
          <w:cantSplit/>
          <w:jc w:val="center"/>
        </w:trPr>
        <w:tc>
          <w:tcPr>
            <w:tcW w:w="1757" w:type="dxa"/>
          </w:tcPr>
          <w:p w14:paraId="31DDE0B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2 / 六人预试</w:t>
            </w:r>
          </w:p>
        </w:tc>
        <w:tc>
          <w:tcPr>
            <w:tcW w:w="2948" w:type="dxa"/>
          </w:tcPr>
          <w:p w14:paraId="3657E88B">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观察五步流程、任务负担与数据完整性</w:t>
            </w:r>
          </w:p>
        </w:tc>
        <w:tc>
          <w:tcPr>
            <w:tcW w:w="4649" w:type="dxa"/>
          </w:tcPr>
          <w:p w14:paraId="7178B7E5">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记录问题、访谈及每项修正依据。</w:t>
            </w:r>
          </w:p>
        </w:tc>
      </w:tr>
      <w:tr w14:paraId="0977C2EB">
        <w:trPr>
          <w:cantSplit/>
          <w:jc w:val="center"/>
        </w:trPr>
        <w:tc>
          <w:tcPr>
            <w:tcW w:w="1757" w:type="dxa"/>
          </w:tcPr>
          <w:p w14:paraId="7FE055B1">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3 / 交互优化与复验</w:t>
            </w:r>
          </w:p>
        </w:tc>
        <w:tc>
          <w:tcPr>
            <w:tcW w:w="2948" w:type="dxa"/>
          </w:tcPr>
          <w:p w14:paraId="58F941C6">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优化提示、遮挡、按钮语义与任务节奏</w:t>
            </w:r>
          </w:p>
        </w:tc>
        <w:tc>
          <w:tcPr>
            <w:tcW w:w="4649" w:type="dxa"/>
          </w:tcPr>
          <w:p w14:paraId="0EC3262B">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复验通过，固定正式版本与协议。</w:t>
            </w:r>
          </w:p>
        </w:tc>
      </w:tr>
      <w:tr w14:paraId="707C5A99">
        <w:trPr>
          <w:cantSplit/>
          <w:jc w:val="center"/>
        </w:trPr>
        <w:tc>
          <w:tcPr>
            <w:tcW w:w="1757" w:type="dxa"/>
          </w:tcPr>
          <w:p w14:paraId="5603D341">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4 / 正式对比实验</w:t>
            </w:r>
          </w:p>
        </w:tc>
        <w:tc>
          <w:tcPr>
            <w:tcW w:w="2948" w:type="dxa"/>
          </w:tcPr>
          <w:p w14:paraId="5F4C83F8">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获取拟定24份有效配对记录</w:t>
            </w:r>
          </w:p>
        </w:tc>
        <w:tc>
          <w:tcPr>
            <w:tcW w:w="4649" w:type="dxa"/>
          </w:tcPr>
          <w:p w14:paraId="40214685">
            <w:pPr>
              <w:pStyle w:val="20"/>
              <w:keepNext/>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完成两轮作品、问卷与双人评分核对。</w:t>
            </w:r>
          </w:p>
        </w:tc>
      </w:tr>
      <w:tr w14:paraId="7F48B69A">
        <w:trPr>
          <w:cantSplit/>
          <w:jc w:val="center"/>
        </w:trPr>
        <w:tc>
          <w:tcPr>
            <w:tcW w:w="1757" w:type="dxa"/>
          </w:tcPr>
          <w:p w14:paraId="44220A94">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5 / 分析和论文完善</w:t>
            </w:r>
          </w:p>
        </w:tc>
        <w:tc>
          <w:tcPr>
            <w:tcW w:w="2948" w:type="dxa"/>
          </w:tcPr>
          <w:p w14:paraId="4A6CB505">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配对分析、访谈解释、设计总结</w:t>
            </w:r>
          </w:p>
        </w:tc>
        <w:tc>
          <w:tcPr>
            <w:tcW w:w="4649" w:type="dxa"/>
          </w:tcPr>
          <w:p w14:paraId="7E68D95A">
            <w:pPr>
              <w:pStyle w:val="20"/>
              <w:keepNext w:val="0"/>
              <w:spacing w:before="80" w:after="80"/>
              <w:rPr>
                <w:rFonts w:hint="eastAsia" w:asciiTheme="minorEastAsia" w:hAnsiTheme="minorEastAsia" w:eastAsiaTheme="minorEastAsia" w:cstheme="minorEastAsia"/>
              </w:rPr>
            </w:pPr>
            <w:r>
              <w:rPr>
                <w:rFonts w:hint="eastAsia" w:asciiTheme="minorEastAsia" w:hAnsiTheme="minorEastAsia" w:eastAsiaTheme="minorEastAsia" w:cstheme="minorEastAsia"/>
                <w:b w:val="0"/>
              </w:rPr>
              <w:t>完成结果与讨论，报告局限和适用范围。</w:t>
            </w:r>
          </w:p>
        </w:tc>
      </w:tr>
    </w:tbl>
    <w:p w14:paraId="175CA99E">
      <w:pPr>
        <w:pStyle w:val="20"/>
        <w:rPr>
          <w:rFonts w:hint="eastAsia" w:asciiTheme="minorEastAsia" w:hAnsiTheme="minorEastAsia" w:eastAsiaTheme="minorEastAsia" w:cstheme="minorEastAsia"/>
        </w:rPr>
      </w:pPr>
      <w:r>
        <w:rPr>
          <w:rFonts w:hint="eastAsia" w:asciiTheme="minorEastAsia" w:hAnsiTheme="minorEastAsia" w:eastAsiaTheme="minorEastAsia" w:cstheme="minorEastAsia"/>
        </w:rPr>
        <w:t>注：采用相对阶段安排；具体日程在预试组织与导师确认后确定。</w:t>
      </w:r>
    </w:p>
    <w:p w14:paraId="2A17A236">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7.1 开展预试并优化交互</w:t>
      </w:r>
    </w:p>
    <w:p w14:paraId="277BEA6C">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下一阶段首先执行6名</w:t>
      </w:r>
      <w:r>
        <w:rPr>
          <w:rFonts w:hint="eastAsia" w:asciiTheme="minorEastAsia" w:hAnsiTheme="minorEastAsia" w:eastAsiaTheme="minorEastAsia" w:cstheme="minorEastAsia"/>
          <w:lang w:val="en-US" w:eastAsia="zh-CN"/>
        </w:rPr>
        <w:t>绘画初学者的</w:t>
      </w:r>
      <w:r>
        <w:rPr>
          <w:rFonts w:hint="eastAsia" w:asciiTheme="minorEastAsia" w:hAnsiTheme="minorEastAsia" w:eastAsiaTheme="minorEastAsia" w:cstheme="minorEastAsia"/>
        </w:rPr>
        <w:t>参与者的预试。预试重点是确认用户能否理解说明、进入练习、独立开始绘画、使用提示并提交作品，以及同一材料在两条件下的任务负担是否合理。研究者将观察关键犹豫点、记录口头反馈，并核查日志、问卷和作品是否配对完整。预试数据用于发现设计和测</w:t>
      </w:r>
      <w:bookmarkStart w:id="8" w:name="_GoBack"/>
      <w:bookmarkEnd w:id="8"/>
      <w:r>
        <w:rPr>
          <w:rFonts w:hint="eastAsia" w:asciiTheme="minorEastAsia" w:hAnsiTheme="minorEastAsia" w:eastAsiaTheme="minorEastAsia" w:cstheme="minorEastAsia"/>
        </w:rPr>
        <w:t>量问题，不与正式数据直接混合用于证明假设。</w:t>
      </w:r>
    </w:p>
    <w:p w14:paraId="1341A624">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预试结果，优先优化与核心任务有关的交互：控制提示信息量、调整面板遮挡与工具触达、明确开始和结束含义、改善细小笔触的可辨识性，并检查撤销是否符合用户预期。材料与笔触预算也根据真实操作时间和完成情况共同确定；优化后进行复验，再冻结正式材料、算法计划、界面、问卷和评分规则，使条件之间保持可比。</w:t>
      </w:r>
    </w:p>
    <w:p w14:paraId="17DDF58B">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7.2 执行正式对比实验与结果分析</w:t>
      </w:r>
    </w:p>
    <w:p w14:paraId="4343FB53">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正式研究拟取得24名参与者的有效配对记录，参与者使用统一设备和输入方式，</w:t>
      </w:r>
      <w:r>
        <w:rPr>
          <w:rFonts w:hint="eastAsia" w:asciiTheme="minorEastAsia" w:hAnsiTheme="minorEastAsia" w:eastAsiaTheme="minorEastAsia" w:cstheme="minorEastAsia"/>
          <w:lang w:val="en-US" w:eastAsia="zh-CN"/>
        </w:rPr>
        <w:t>采用类似难度和类型类型的图片进行测试，</w:t>
      </w:r>
      <w:r>
        <w:rPr>
          <w:rFonts w:hint="eastAsia" w:asciiTheme="minorEastAsia" w:hAnsiTheme="minorEastAsia" w:eastAsiaTheme="minorEastAsia" w:cstheme="minorEastAsia"/>
        </w:rPr>
        <w:t>遵循平衡顺序与一致时限。研究者按照统一说明执行，不在某一条件额外提供绘画帮助；口头访谈重点询问哪种方式更容易开始、何时最想停止，以及哪幅作品更有“自己画出来”的感受。</w:t>
      </w:r>
    </w:p>
    <w:p w14:paraId="63E0329E">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分析以作品完成度与再次绘画意愿为主要指标，启动等待、任务耗时、停顿、担忧和满足感作为辅助解释。当前平台提供配对差值、方向统计和双侧精确符号检验，并对两项主要指标进行Holm校正。正式分析前将明确缺失记录、超时、退出和技术故障的处理，报告差异及不确定性，避免只选择有利指标。作品评分尽量隐藏条件信息，并检查两位评分者的分歧；界面风格仍可能暴露条件时，将如实说明盲评限制。</w:t>
      </w:r>
    </w:p>
    <w:p w14:paraId="739C73C8">
      <w:pPr>
        <w:pStyle w:val="18"/>
        <w:rPr>
          <w:rFonts w:hint="eastAsia" w:asciiTheme="minorEastAsia" w:hAnsiTheme="minorEastAsia" w:eastAsiaTheme="minorEastAsia" w:cstheme="minorEastAsia"/>
        </w:rPr>
      </w:pPr>
      <w:r>
        <w:rPr>
          <w:rFonts w:hint="eastAsia" w:asciiTheme="minorEastAsia" w:hAnsiTheme="minorEastAsia" w:eastAsiaTheme="minorEastAsia" w:cstheme="minorEastAsia"/>
        </w:rPr>
        <w:t>7.3 完成论文写作与设计总结</w:t>
      </w:r>
    </w:p>
    <w:p w14:paraId="4ED07AE5">
      <w:pPr>
        <w:pStyle w:val="17"/>
        <w:rPr>
          <w:rFonts w:hint="eastAsia" w:asciiTheme="minorEastAsia" w:hAnsiTheme="minorEastAsia" w:eastAsiaTheme="minorEastAsia" w:cstheme="minorEastAsia"/>
        </w:rPr>
      </w:pPr>
      <w:r>
        <w:rPr>
          <w:rFonts w:hint="eastAsia" w:asciiTheme="minorEastAsia" w:hAnsiTheme="minorEastAsia" w:eastAsiaTheme="minorEastAsia" w:cstheme="minorEastAsia"/>
        </w:rPr>
        <w:t>论文写作与实验执行并行推进。现阶段可以完成研究背景、相关方法、算法</w:t>
      </w:r>
      <w:r>
        <w:rPr>
          <w:rFonts w:hint="eastAsia" w:asciiTheme="minorEastAsia" w:hAnsiTheme="minorEastAsia" w:eastAsiaTheme="minorEastAsia" w:cstheme="minorEastAsia"/>
          <w:lang w:val="en-US" w:eastAsia="zh-CN"/>
        </w:rPr>
        <w:t>应用</w:t>
      </w:r>
      <w:r>
        <w:rPr>
          <w:rFonts w:hint="eastAsia" w:asciiTheme="minorEastAsia" w:hAnsiTheme="minorEastAsia" w:eastAsiaTheme="minorEastAsia" w:cstheme="minorEastAsia"/>
        </w:rPr>
        <w:t>、交互设计与系统建设章节；实验结束后补充用户表现、访谈、讨论和设计建议。最终论证围绕“有序笔触引导怎样帮助</w:t>
      </w:r>
      <w:r>
        <w:rPr>
          <w:rFonts w:hint="eastAsia" w:asciiTheme="minorEastAsia" w:hAnsiTheme="minorEastAsia" w:eastAsiaTheme="minorEastAsia" w:cstheme="minorEastAsia"/>
          <w:lang w:val="en-US" w:eastAsia="zh-CN"/>
        </w:rPr>
        <w:t>绘画初学者用户</w:t>
      </w:r>
      <w:r>
        <w:rPr>
          <w:rFonts w:hint="eastAsia" w:asciiTheme="minorEastAsia" w:hAnsiTheme="minorEastAsia" w:eastAsiaTheme="minorEastAsia" w:cstheme="minorEastAsia"/>
        </w:rPr>
        <w:t>开始并推进绘画”展开，将软件功能、过程证据和主观体验联系起来，研究将据此总结适用情境、局限和后续改进方向。</w:t>
      </w:r>
    </w:p>
    <w:p w14:paraId="2DE2FCDA">
      <w:pPr>
        <w:pStyle w:val="16"/>
        <w:pageBreakBefore/>
      </w:pPr>
      <w:r>
        <w:t>参考文献</w:t>
      </w:r>
    </w:p>
    <w:p w14:paraId="291D4D8A">
      <w:pPr>
        <w:pStyle w:val="21"/>
        <w:keepNext/>
      </w:pPr>
      <w:r>
        <w:t>[1] HERTZMANN A. Painterly Rendering with Curved Brush Strokes of Multiple Sizes[C]//Proceedings of SIGGRAPH 1998. 1998: 453–460. DOI: 10.1145/280814.280951.</w:t>
      </w:r>
    </w:p>
    <w:p w14:paraId="5E9EA052">
      <w:pPr>
        <w:pStyle w:val="20"/>
      </w:pPr>
      <w:r>
        <w:t>原文 / 来源：</w:t>
      </w:r>
      <w:r>
        <w:fldChar w:fldCharType="begin"/>
      </w:r>
      <w:r>
        <w:instrText xml:space="preserve"> HYPERLINK "https://mrl.cs.nyu.edu/publications/painterly98/" \h </w:instrText>
      </w:r>
      <w:r>
        <w:fldChar w:fldCharType="separate"/>
      </w:r>
      <w:r>
        <w:rPr>
          <w:color w:val="3755A0"/>
          <w:sz w:val="19"/>
        </w:rPr>
        <w:t>https://mrl.cs.nyu.edu/publications/painterly98/</w:t>
      </w:r>
      <w:r>
        <w:rPr>
          <w:color w:val="3755A0"/>
          <w:sz w:val="19"/>
        </w:rPr>
        <w:fldChar w:fldCharType="end"/>
      </w:r>
    </w:p>
    <w:p w14:paraId="2DF65890">
      <w:pPr>
        <w:pStyle w:val="21"/>
        <w:keepNext/>
      </w:pPr>
      <w:r>
        <w:t>[2] HUANG Z, HENG W, ZHOU S. Learning to Paint With Model-Based Deep Reinforcement Learning[C]//Proceedings of ICCV. 2019: 8709–8718. DOI: 10.1109/ICCV.2019.00880.</w:t>
      </w:r>
    </w:p>
    <w:p w14:paraId="00022CC9">
      <w:pPr>
        <w:pStyle w:val="20"/>
      </w:pPr>
      <w:r>
        <w:t>原文 / 来源：</w:t>
      </w:r>
      <w:r>
        <w:fldChar w:fldCharType="begin"/>
      </w:r>
      <w:r>
        <w:instrText xml:space="preserve"> HYPERLINK "https://arxiv.org/abs/1903.04411" \h </w:instrText>
      </w:r>
      <w:r>
        <w:fldChar w:fldCharType="separate"/>
      </w:r>
      <w:r>
        <w:rPr>
          <w:color w:val="3755A0"/>
          <w:sz w:val="19"/>
        </w:rPr>
        <w:t>https://arxiv.org/abs/1903.04411</w:t>
      </w:r>
      <w:r>
        <w:rPr>
          <w:color w:val="3755A0"/>
          <w:sz w:val="19"/>
        </w:rPr>
        <w:fldChar w:fldCharType="end"/>
      </w:r>
    </w:p>
    <w:p w14:paraId="44640FB2">
      <w:pPr>
        <w:pStyle w:val="21"/>
        <w:keepNext/>
      </w:pPr>
      <w:r>
        <w:t>[3] ZOU Z, SHI T, QIU S, et al. Stylized Neural Painting[C]//Proceedings of CVPR. 2021: 15689–15698. DOI: 10.1109/CVPR46437.2021.01543.</w:t>
      </w:r>
    </w:p>
    <w:p w14:paraId="69FB4843">
      <w:pPr>
        <w:pStyle w:val="20"/>
      </w:pPr>
      <w:r>
        <w:t>原文 / 来源：</w:t>
      </w:r>
      <w:r>
        <w:fldChar w:fldCharType="begin"/>
      </w:r>
      <w:r>
        <w:instrText xml:space="preserve"> HYPERLINK "https://openaccess.thecvf.com/content/CVPR2021/html/Zou_Stylized_Neural_Painting_CVPR_2021_paper.html" \h </w:instrText>
      </w:r>
      <w:r>
        <w:fldChar w:fldCharType="separate"/>
      </w:r>
      <w:r>
        <w:rPr>
          <w:color w:val="3755A0"/>
          <w:sz w:val="19"/>
        </w:rPr>
        <w:t>https://openaccess.thecvf.com/content/CVPR2021/html/Zou_Stylized_Neural_Painting_CVPR_2021_paper.html</w:t>
      </w:r>
      <w:r>
        <w:rPr>
          <w:color w:val="3755A0"/>
          <w:sz w:val="19"/>
        </w:rPr>
        <w:fldChar w:fldCharType="end"/>
      </w:r>
    </w:p>
    <w:p w14:paraId="40DF2262">
      <w:pPr>
        <w:pStyle w:val="21"/>
        <w:keepNext/>
      </w:pPr>
      <w:r>
        <w:t>[4] HU T, YI R, ZHU H, et al. Stroke-based Neural Painting and Stylization with Dynamically Predicted Painting Region[C]//Proceedings of ACM Multimedia. 2023. DOI: 10.1145/3581783.3611766.</w:t>
      </w:r>
    </w:p>
    <w:p w14:paraId="58DF1F52">
      <w:pPr>
        <w:pStyle w:val="20"/>
      </w:pPr>
      <w:r>
        <w:t>原文 / 来源：</w:t>
      </w:r>
      <w:r>
        <w:fldChar w:fldCharType="begin"/>
      </w:r>
      <w:r>
        <w:instrText xml:space="preserve"> HYPERLINK "https://arxiv.org/abs/2309.03504" \h </w:instrText>
      </w:r>
      <w:r>
        <w:fldChar w:fldCharType="separate"/>
      </w:r>
      <w:r>
        <w:rPr>
          <w:color w:val="3755A0"/>
          <w:sz w:val="19"/>
        </w:rPr>
        <w:t>https://arxiv.org/abs/2309.03504</w:t>
      </w:r>
      <w:r>
        <w:rPr>
          <w:color w:val="3755A0"/>
          <w:sz w:val="19"/>
        </w:rPr>
        <w:fldChar w:fldCharType="end"/>
      </w:r>
    </w:p>
    <w:p w14:paraId="12D103D9">
      <w:pPr>
        <w:pStyle w:val="21"/>
        <w:keepNext/>
      </w:pPr>
      <w:r>
        <w:t>[5] NATIONAL GALLERY. Claude Monet: The Water-Lily Pond[EB/OL]. [2026-09-16].</w:t>
      </w:r>
    </w:p>
    <w:p w14:paraId="5BB419CE">
      <w:pPr>
        <w:pStyle w:val="20"/>
      </w:pPr>
      <w:r>
        <w:t>原文 / 来源：</w:t>
      </w:r>
      <w:r>
        <w:fldChar w:fldCharType="begin"/>
      </w:r>
      <w:r>
        <w:instrText xml:space="preserve"> HYPERLINK "https://www.nationalgallery.org.uk/paintings/claude-monet-the-water-lily-pond" \h </w:instrText>
      </w:r>
      <w:r>
        <w:fldChar w:fldCharType="separate"/>
      </w:r>
      <w:r>
        <w:rPr>
          <w:color w:val="3755A0"/>
          <w:sz w:val="19"/>
        </w:rPr>
        <w:t>https://www.nationalgallery.org.uk/paintings/claude-monet-the-water-lily-pond</w:t>
      </w:r>
      <w:r>
        <w:rPr>
          <w:color w:val="3755A0"/>
          <w:sz w:val="19"/>
        </w:rPr>
        <w:fldChar w:fldCharType="end"/>
      </w:r>
    </w:p>
    <w:p w14:paraId="37A2B1D2">
      <w:pPr>
        <w:pStyle w:val="21"/>
        <w:keepNext/>
      </w:pPr>
      <w:r>
        <w:t>[6] VAN GOGH MUSEUM. Unravel Van Gogh: Thick Brushstrokes[EB/OL]. [2026-09-16].</w:t>
      </w:r>
    </w:p>
    <w:p w14:paraId="626EE684">
      <w:pPr>
        <w:pStyle w:val="20"/>
      </w:pPr>
      <w:r>
        <w:t>原文 / 来源：</w:t>
      </w:r>
      <w:r>
        <w:fldChar w:fldCharType="begin"/>
      </w:r>
      <w:r>
        <w:instrText xml:space="preserve"> HYPERLINK "https://ontrafel.vangogh.nl/en/story/29/thick-brushstrokes/" \h </w:instrText>
      </w:r>
      <w:r>
        <w:fldChar w:fldCharType="separate"/>
      </w:r>
      <w:r>
        <w:rPr>
          <w:color w:val="3755A0"/>
          <w:sz w:val="19"/>
        </w:rPr>
        <w:t>https://ontrafel.vangogh.nl/en/story/29/thick-brushstrokes/</w:t>
      </w:r>
      <w:r>
        <w:rPr>
          <w:color w:val="3755A0"/>
          <w:sz w:val="19"/>
        </w:rPr>
        <w:fldChar w:fldCharType="end"/>
      </w:r>
    </w:p>
    <w:p w14:paraId="6C2977E9">
      <w:pPr>
        <w:pStyle w:val="21"/>
        <w:keepNext/>
      </w:pPr>
      <w:r>
        <w:t>[7] NATIONAL GALLERY. Paul Gauguin: Harvest, Le Pouldu[EB/OL]. [2026-09-16].</w:t>
      </w:r>
    </w:p>
    <w:p w14:paraId="55B05B0C">
      <w:pPr>
        <w:pStyle w:val="20"/>
      </w:pPr>
      <w:r>
        <w:t>原文 / 来源：</w:t>
      </w:r>
      <w:r>
        <w:fldChar w:fldCharType="begin"/>
      </w:r>
      <w:r>
        <w:instrText xml:space="preserve"> HYPERLINK "https://www.nationalgallery.org.uk/paintings/paul-gauguin-harvest-le-pouldu" \h </w:instrText>
      </w:r>
      <w:r>
        <w:fldChar w:fldCharType="separate"/>
      </w:r>
      <w:r>
        <w:rPr>
          <w:color w:val="3755A0"/>
          <w:sz w:val="19"/>
        </w:rPr>
        <w:t>https://www.nationalgallery.org.uk/paintings/paul-gauguin-harvest-le-pouldu</w:t>
      </w:r>
      <w:r>
        <w:rPr>
          <w:color w:val="3755A0"/>
          <w:sz w:val="19"/>
        </w:rPr>
        <w:fldChar w:fldCharType="end"/>
      </w:r>
    </w:p>
    <w:p w14:paraId="175461D2">
      <w:pPr>
        <w:pStyle w:val="21"/>
        <w:keepNext/>
      </w:pPr>
      <w:r>
        <w:t>[8] NATIONAL GALLERY. Rembrandt: The Late Works—A Resource for Science Teachers, What Is Paint?[EB/OL]. [2026-09-16].</w:t>
      </w:r>
    </w:p>
    <w:p w14:paraId="2914008D">
      <w:pPr>
        <w:pStyle w:val="20"/>
      </w:pPr>
      <w:r>
        <w:t>原文 / 来源：</w:t>
      </w:r>
      <w:r>
        <w:fldChar w:fldCharType="begin"/>
      </w:r>
      <w:r>
        <w:instrText xml:space="preserve"> HYPERLINK "https://www.nationalgallery.org.uk/learning/teachers-notes/rembrandt-the-late-works-a-resource-for-science-teachers?viewPage=3" \h </w:instrText>
      </w:r>
      <w:r>
        <w:fldChar w:fldCharType="separate"/>
      </w:r>
      <w:r>
        <w:rPr>
          <w:color w:val="3755A0"/>
          <w:sz w:val="19"/>
        </w:rPr>
        <w:t>https://www.nationalgallery.org.uk/learning/teachers-notes/rembrandt-the-late-works-a-resource-for-science-teachers?viewPage=3</w:t>
      </w:r>
      <w:r>
        <w:rPr>
          <w:color w:val="3755A0"/>
          <w:sz w:val="19"/>
        </w:rPr>
        <w:fldChar w:fldCharType="end"/>
      </w:r>
    </w:p>
    <w:p w14:paraId="590C2776">
      <w:pPr>
        <w:pStyle w:val="21"/>
        <w:keepNext/>
      </w:pPr>
      <w:r>
        <w:t>[9] THE METROPOLITAN MUSEUM OF ART. Pablo Picasso (1881–1973)[EB/OL]. [2026-09-16].</w:t>
      </w:r>
    </w:p>
    <w:p w14:paraId="545B98BC">
      <w:pPr>
        <w:pStyle w:val="20"/>
      </w:pPr>
      <w:r>
        <w:t>原文 / 来源：</w:t>
      </w:r>
      <w:r>
        <w:fldChar w:fldCharType="begin"/>
      </w:r>
      <w:r>
        <w:instrText xml:space="preserve"> HYPERLINK "https://www.metmuseum.org/essays/pablo-picasso-1881-1973" \h </w:instrText>
      </w:r>
      <w:r>
        <w:fldChar w:fldCharType="separate"/>
      </w:r>
      <w:r>
        <w:rPr>
          <w:color w:val="3755A0"/>
          <w:sz w:val="19"/>
        </w:rPr>
        <w:t>https://www.metmuseum.org/essays/pablo-picasso-1881-1973</w:t>
      </w:r>
      <w:r>
        <w:rPr>
          <w:color w:val="3755A0"/>
          <w:sz w:val="19"/>
        </w:rPr>
        <w:fldChar w:fldCharType="end"/>
      </w:r>
    </w:p>
    <w:p w14:paraId="3BCF5E3B">
      <w:pPr>
        <w:pStyle w:val="21"/>
        <w:keepNext/>
      </w:pPr>
      <w:r>
        <w:t>[10] CENTENO S A, MAHON D. A Technical Study of John Singer Sargent’s Portrait of Madame Pierre Gautreau[J]. Metropolitan Museum Journal, 2005, 40: 121–129.</w:t>
      </w:r>
    </w:p>
    <w:p w14:paraId="08DD1403">
      <w:pPr>
        <w:pStyle w:val="20"/>
      </w:pPr>
      <w:r>
        <w:t>原文 / 来源：</w:t>
      </w:r>
      <w:r>
        <w:fldChar w:fldCharType="begin"/>
      </w:r>
      <w:r>
        <w:instrText xml:space="preserve"> HYPERLINK "https://www.metmuseum.org/met-publications/technical-study-sargents-madame-pierre-gautreau-the-metropolitan-museum-journal-v-40-2005" \h </w:instrText>
      </w:r>
      <w:r>
        <w:fldChar w:fldCharType="separate"/>
      </w:r>
      <w:r>
        <w:rPr>
          <w:color w:val="3755A0"/>
          <w:sz w:val="19"/>
        </w:rPr>
        <w:t>https://www.metmuseum.org/met-publications/technical-study-sargents-madame-pierre-gautreau-the-metropolitan-museum-journal-v-40-2005</w:t>
      </w:r>
      <w:r>
        <w:rPr>
          <w:color w:val="3755A0"/>
          <w:sz w:val="19"/>
        </w:rPr>
        <w:fldChar w:fldCharType="end"/>
      </w:r>
    </w:p>
    <w:p w14:paraId="67ADC13D">
      <w:pPr>
        <w:pStyle w:val="16"/>
        <w:pageBreakBefore/>
        <w:rPr>
          <w:rFonts w:hint="eastAsia" w:asciiTheme="minorEastAsia" w:hAnsiTheme="minorEastAsia" w:eastAsiaTheme="minorEastAsia" w:cstheme="minorEastAsia"/>
        </w:rPr>
      </w:pPr>
      <w:r>
        <w:rPr>
          <w:rFonts w:ascii="Times New Roman" w:hAnsi="Times New Roman" w:eastAsia="宋体"/>
          <w:lang w:val="en-US"/>
        </w:rPr>
        <w:t>英文版正文 / English Version of the Report</w:t>
      </w:r>
    </w:p>
    <w:p w14:paraId="63941DD9">
      <w:pPr>
        <w:snapToGrid w:val="0"/>
        <w:ind w:firstLine="480" w:firstLineChars="200"/>
        <w:jc w:val="left"/>
        <w:rPr>
          <w:rFonts w:eastAsia="华文楷体"/>
          <w:sz w:val="24"/>
        </w:rPr>
      </w:pPr>
    </w:p>
    <w:p w14:paraId="1567A3F8">
      <w:pPr>
        <w:snapToGrid w:val="0"/>
        <w:ind w:firstLine="480" w:firstLineChars="200"/>
        <w:jc w:val="left"/>
        <w:rPr>
          <w:rFonts w:eastAsia="华文楷体"/>
          <w:sz w:val="24"/>
        </w:rPr>
      </w:pPr>
    </w:p>
    <w:p w14:paraId="0AFB4784">
      <w:pPr>
        <w:snapToGrid w:val="0"/>
        <w:ind w:firstLine="480" w:firstLineChars="200"/>
        <w:jc w:val="left"/>
        <w:rPr>
          <w:rFonts w:eastAsia="华文楷体"/>
          <w:sz w:val="24"/>
        </w:rPr>
      </w:pPr>
    </w:p>
    <w:p w14:paraId="50AECF46">
      <w:pPr>
        <w:snapToGrid w:val="0"/>
        <w:ind w:firstLine="480" w:firstLineChars="200"/>
        <w:jc w:val="left"/>
        <w:rPr>
          <w:rFonts w:eastAsia="华文楷体"/>
          <w:sz w:val="24"/>
        </w:rPr>
      </w:pPr>
    </w:p>
    <w:p w14:paraId="49767C6F">
      <w:pPr>
        <w:snapToGrid w:val="0"/>
        <w:ind w:firstLine="480" w:firstLineChars="200"/>
        <w:jc w:val="left"/>
        <w:rPr>
          <w:rFonts w:eastAsia="华文楷体"/>
          <w:sz w:val="24"/>
        </w:rPr>
      </w:pPr>
    </w:p>
    <w:p w14:paraId="4AAAC829">
      <w:pPr>
        <w:snapToGrid w:val="0"/>
        <w:jc w:val="left"/>
        <w:rPr>
          <w:rFonts w:eastAsia="华文楷体"/>
          <w:sz w:val="24"/>
        </w:rPr>
      </w:pPr>
    </w:p>
    <w:p w14:paraId="551CC058">
      <w:pPr>
        <w:snapToGrid w:val="0"/>
        <w:jc w:val="left"/>
        <w:rPr>
          <w:rFonts w:eastAsia="华文楷体"/>
          <w:sz w:val="24"/>
        </w:rPr>
      </w:pPr>
    </w:p>
    <w:p w14:paraId="47393346">
      <w:pPr>
        <w:snapToGrid w:val="0"/>
        <w:jc w:val="left"/>
        <w:rPr>
          <w:rFonts w:eastAsia="华文楷体"/>
          <w:sz w:val="24"/>
        </w:rPr>
      </w:pPr>
    </w:p>
    <w:p w14:paraId="2B559151">
      <w:pPr>
        <w:snapToGrid w:val="0"/>
        <w:jc w:val="left"/>
        <w:rPr>
          <w:rFonts w:eastAsia="华文楷体"/>
          <w:sz w:val="24"/>
        </w:rPr>
      </w:pPr>
    </w:p>
    <w:p w14:paraId="04ABA769">
      <w:pPr>
        <w:snapToGrid w:val="0"/>
        <w:jc w:val="left"/>
        <w:rPr>
          <w:rFonts w:eastAsia="华文楷体"/>
          <w:sz w:val="24"/>
        </w:rPr>
      </w:pPr>
    </w:p>
    <w:p w14:paraId="5784AE0A">
      <w:pPr>
        <w:pageBreakBefore/>
        <w:numPr>
          <w:ilvl w:val="0"/>
          <w:numId w:val="2"/>
        </w:numPr>
        <w:adjustRightInd/>
        <w:spacing w:before="240" w:after="240" w:line="240" w:lineRule="auto"/>
        <w:textAlignment w:val="auto"/>
        <w:rPr>
          <w:rFonts w:eastAsia="仿宋_GB2312"/>
          <w:sz w:val="24"/>
        </w:rPr>
      </w:pPr>
      <w:r>
        <w:rPr>
          <w:rFonts w:hint="eastAsia" w:eastAsia="仿宋_GB2312"/>
          <w:b/>
          <w:sz w:val="24"/>
        </w:rPr>
        <w:t xml:space="preserve">成果清单 </w:t>
      </w:r>
      <w:r>
        <w:rPr>
          <w:rFonts w:eastAsia="仿宋_GB2312"/>
          <w:b/>
          <w:sz w:val="24"/>
        </w:rPr>
        <w:t>List of Achievements</w:t>
      </w:r>
      <w:r>
        <w:rPr>
          <w:rFonts w:hint="eastAsia" w:eastAsia="仿宋_GB2312"/>
          <w:b/>
          <w:sz w:val="24"/>
        </w:rPr>
        <w:t>。</w:t>
      </w:r>
      <w:r>
        <w:rPr>
          <w:rFonts w:hint="eastAsia" w:eastAsia="仿宋_GB2312"/>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仿宋_GB2312"/>
          <w:sz w:val="24"/>
        </w:rPr>
        <w:t xml:space="preserve">international academic </w:t>
      </w:r>
      <w:r>
        <w:rPr>
          <w:rFonts w:hint="eastAsia" w:eastAsia="仿宋_GB2312"/>
          <w:sz w:val="24"/>
        </w:rPr>
        <w:t xml:space="preserve">conference </w:t>
      </w:r>
      <w:r>
        <w:rPr>
          <w:rFonts w:eastAsia="仿宋_GB2312"/>
          <w:sz w:val="24"/>
        </w:rPr>
        <w:t xml:space="preserve">talks/presentations, monographs, etc.) since your thesis proposal. Information on author list, title, journal name, volume, number, and pages shall be complete. </w:t>
      </w:r>
    </w:p>
    <w:p w14:paraId="6CBD119C">
      <w:pPr>
        <w:snapToGrid w:val="0"/>
        <w:ind w:firstLine="480" w:firstLineChars="200"/>
        <w:jc w:val="left"/>
        <w:rPr>
          <w:rFonts w:eastAsia="华文楷体"/>
          <w:sz w:val="24"/>
        </w:rPr>
      </w:pPr>
      <w:permStart w:id="15" w:edGrp="everyone"/>
      <w:r>
        <w:rPr>
          <w:rFonts w:hint="eastAsia" w:eastAsia="华文楷体"/>
          <w:sz w:val="24"/>
          <w:lang w:val="en-US" w:eastAsia="zh-CN"/>
        </w:rPr>
        <w:t>作品项目云部署体验地址：</w:t>
      </w:r>
      <w:r>
        <w:rPr>
          <w:rFonts w:hint="eastAsia" w:eastAsia="华文楷体"/>
          <w:sz w:val="24"/>
          <w:lang w:val="en-US" w:eastAsia="zh-CN"/>
        </w:rPr>
        <w:fldChar w:fldCharType="begin"/>
      </w:r>
      <w:r>
        <w:rPr>
          <w:rFonts w:hint="eastAsia" w:eastAsia="华文楷体"/>
          <w:sz w:val="24"/>
          <w:lang w:val="en-US" w:eastAsia="zh-CN"/>
        </w:rPr>
        <w:instrText xml:space="preserve"> HYPERLINK "https://startracepaint.com/" </w:instrText>
      </w:r>
      <w:r>
        <w:rPr>
          <w:rFonts w:hint="eastAsia" w:eastAsia="华文楷体"/>
          <w:sz w:val="24"/>
          <w:lang w:val="en-US" w:eastAsia="zh-CN"/>
        </w:rPr>
        <w:fldChar w:fldCharType="separate"/>
      </w:r>
      <w:r>
        <w:rPr>
          <w:rStyle w:val="11"/>
          <w:rFonts w:hint="eastAsia" w:eastAsia="华文楷体"/>
          <w:sz w:val="24"/>
          <w:lang w:val="en-US" w:eastAsia="zh-CN"/>
        </w:rPr>
        <w:t>https://startracepaint.com/</w:t>
      </w:r>
      <w:r>
        <w:rPr>
          <w:rFonts w:hint="eastAsia" w:eastAsia="华文楷体"/>
          <w:sz w:val="24"/>
          <w:lang w:val="en-US" w:eastAsia="zh-CN"/>
        </w:rPr>
        <w:fldChar w:fldCharType="end"/>
      </w:r>
    </w:p>
    <w:p w14:paraId="5F8832AB">
      <w:pPr>
        <w:snapToGrid w:val="0"/>
        <w:ind w:firstLine="480" w:firstLineChars="200"/>
        <w:jc w:val="left"/>
        <w:rPr>
          <w:rFonts w:eastAsia="华文楷体"/>
          <w:sz w:val="24"/>
        </w:rPr>
      </w:pPr>
    </w:p>
    <w:p w14:paraId="55061BBF">
      <w:pPr>
        <w:snapToGrid w:val="0"/>
        <w:ind w:firstLine="480" w:firstLineChars="200"/>
        <w:jc w:val="left"/>
        <w:rPr>
          <w:rFonts w:eastAsia="华文楷体"/>
          <w:sz w:val="24"/>
        </w:rPr>
      </w:pPr>
    </w:p>
    <w:p w14:paraId="58B6B86E">
      <w:pPr>
        <w:snapToGrid w:val="0"/>
        <w:ind w:firstLine="480" w:firstLineChars="200"/>
        <w:jc w:val="left"/>
        <w:rPr>
          <w:rFonts w:eastAsia="华文楷体"/>
          <w:sz w:val="24"/>
        </w:rPr>
      </w:pPr>
    </w:p>
    <w:permEnd w:id="15"/>
    <w:p w14:paraId="44F08121">
      <w:pPr>
        <w:snapToGrid w:val="0"/>
        <w:spacing w:before="120"/>
        <w:rPr>
          <w:rFonts w:ascii="仿宋_GB2312" w:eastAsia="仿宋_GB2312"/>
          <w:b/>
          <w:sz w:val="24"/>
        </w:rPr>
      </w:pPr>
    </w:p>
    <w:p w14:paraId="5443CD8D">
      <w:pPr>
        <w:snapToGrid w:val="0"/>
        <w:spacing w:before="120"/>
        <w:ind w:firstLine="482" w:firstLineChars="20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2" w:name="OLE_LINK22"/>
      <w:bookmarkStart w:id="3" w:name="OLE_LINK23"/>
      <w:r>
        <w:rPr>
          <w:rFonts w:hint="eastAsia" w:ascii="仿宋_GB2312" w:eastAsia="仿宋_GB2312"/>
          <w:b/>
          <w:sz w:val="24"/>
        </w:rPr>
        <w:t xml:space="preserve"> </w:t>
      </w:r>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2"/>
      <w:bookmarkEnd w:id="3"/>
      <w:r>
        <w:rPr>
          <w:rFonts w:eastAsia="仿宋_GB2312"/>
          <w:b/>
          <w:sz w:val="24"/>
        </w:rPr>
        <w:t xml:space="preserve"> </w:t>
      </w:r>
      <w:bookmarkStart w:id="4" w:name="OLE_LINK19"/>
      <w:bookmarkStart w:id="5" w:name="OLE_LINK18"/>
      <w:bookmarkStart w:id="6" w:name="OLE_LINK21"/>
      <w:bookmarkStart w:id="7" w:name="OLE_LINK20"/>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
      <w:bookmarkEnd w:id="5"/>
      <w:r>
        <w:rPr>
          <w:rFonts w:eastAsia="仿宋_GB2312"/>
          <w:b/>
          <w:sz w:val="24"/>
        </w:rPr>
        <w:t>.</w:t>
      </w:r>
      <w:bookmarkEnd w:id="6"/>
      <w:bookmarkEnd w:id="7"/>
    </w:p>
    <w:p w14:paraId="30147006">
      <w:pPr>
        <w:snapToGrid w:val="0"/>
        <w:spacing w:before="120"/>
        <w:rPr>
          <w:rFonts w:ascii="仿宋_GB2312" w:eastAsia="仿宋_GB2312"/>
          <w:b/>
          <w:sz w:val="24"/>
        </w:rPr>
      </w:pPr>
    </w:p>
    <w:p w14:paraId="54E96E9B">
      <w:pPr>
        <w:snapToGrid w:val="0"/>
        <w:spacing w:before="120"/>
        <w:rPr>
          <w:rFonts w:eastAsia="仿宋_GB2312"/>
          <w:b/>
          <w:sz w:val="24"/>
        </w:rPr>
      </w:pPr>
      <w:r>
        <w:rPr>
          <w:rFonts w:eastAsia="仿宋_GB2312"/>
          <w:b/>
          <w:sz w:val="24"/>
        </w:rPr>
        <w:t xml:space="preserve">学生签字/Signature of Student： </w:t>
      </w:r>
      <w:permStart w:id="16" w:edGrp="everyone"/>
      <w:r>
        <w:rPr>
          <w:rFonts w:eastAsia="仿宋_GB2312"/>
          <w:b/>
          <w:sz w:val="24"/>
        </w:rPr>
        <w:t xml:space="preserve">      </w:t>
      </w:r>
      <w:r>
        <w:drawing>
          <wp:inline distT="0" distB="0" distL="114300" distR="114300">
            <wp:extent cx="1013460" cy="553085"/>
            <wp:effectExtent l="0" t="0" r="2540"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6"/>
                    <a:stretch>
                      <a:fillRect/>
                    </a:stretch>
                  </pic:blipFill>
                  <pic:spPr>
                    <a:xfrm>
                      <a:off x="0" y="0"/>
                      <a:ext cx="1013460" cy="553085"/>
                    </a:xfrm>
                    <a:prstGeom prst="rect">
                      <a:avLst/>
                    </a:prstGeom>
                    <a:noFill/>
                    <a:ln>
                      <a:noFill/>
                    </a:ln>
                  </pic:spPr>
                </pic:pic>
              </a:graphicData>
            </a:graphic>
          </wp:inline>
        </w:drawing>
      </w:r>
      <w:r>
        <w:rPr>
          <w:rFonts w:eastAsia="仿宋_GB2312"/>
          <w:b/>
          <w:sz w:val="24"/>
        </w:rPr>
        <w:t xml:space="preserve">       </w:t>
      </w:r>
      <w:permEnd w:id="16"/>
      <w:r>
        <w:rPr>
          <w:rFonts w:eastAsia="仿宋_GB2312"/>
          <w:b/>
          <w:sz w:val="24"/>
        </w:rPr>
        <w:t xml:space="preserve">             </w:t>
      </w:r>
    </w:p>
    <w:p w14:paraId="37AB8065">
      <w:pPr>
        <w:snapToGrid w:val="0"/>
        <w:spacing w:before="120"/>
        <w:rPr>
          <w:rFonts w:eastAsia="仿宋_GB2312"/>
          <w:b/>
          <w:sz w:val="24"/>
        </w:rPr>
      </w:pPr>
      <w:r>
        <w:rPr>
          <w:rFonts w:eastAsia="仿宋_GB2312"/>
          <w:b/>
          <w:sz w:val="24"/>
        </w:rPr>
        <w:t>导师签字</w:t>
      </w:r>
      <w:r>
        <w:rPr>
          <w:rFonts w:ascii="Times New Roman" w:hAnsi="Times New Roman" w:cs="Times New Roman"/>
          <w:b/>
          <w:sz w:val="24"/>
        </w:rPr>
        <w:t xml:space="preserve">/Signature of Supervisor:  </w:t>
      </w:r>
      <w:permStart w:id="17" w:edGrp="everyone"/>
      <w:r>
        <w:rPr>
          <w:rFonts w:ascii="Times New Roman" w:hAnsi="Times New Roman" w:cs="Times New Roman"/>
          <w:b/>
          <w:sz w:val="24"/>
        </w:rPr>
        <w:t xml:space="preserve">    </w:t>
      </w:r>
      <w:r>
        <w:drawing>
          <wp:inline distT="0" distB="0" distL="114300" distR="114300">
            <wp:extent cx="1112520" cy="604520"/>
            <wp:effectExtent l="0" t="0" r="5080" b="508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7"/>
                    <a:stretch>
                      <a:fillRect/>
                    </a:stretch>
                  </pic:blipFill>
                  <pic:spPr>
                    <a:xfrm>
                      <a:off x="0" y="0"/>
                      <a:ext cx="1112520" cy="604520"/>
                    </a:xfrm>
                    <a:prstGeom prst="rect">
                      <a:avLst/>
                    </a:prstGeom>
                    <a:noFill/>
                    <a:ln>
                      <a:noFill/>
                    </a:ln>
                  </pic:spPr>
                </pic:pic>
              </a:graphicData>
            </a:graphic>
          </wp:inline>
        </w:drawing>
      </w:r>
      <w:r>
        <w:rPr>
          <w:rFonts w:ascii="Times New Roman" w:hAnsi="Times New Roman" w:cs="Times New Roman"/>
          <w:b/>
          <w:sz w:val="24"/>
        </w:rPr>
        <w:t xml:space="preserve">       </w:t>
      </w:r>
      <w:permEnd w:id="17"/>
      <w:r>
        <w:rPr>
          <w:rFonts w:ascii="Times New Roman" w:hAnsi="Times New Roman" w:cs="Times New Roman"/>
          <w:b/>
          <w:sz w:val="24"/>
        </w:rPr>
        <w:t xml:space="preserve">  </w:t>
      </w:r>
    </w:p>
    <w:p w14:paraId="3880217E">
      <w:pPr>
        <w:snapToGrid w:val="0"/>
        <w:spacing w:before="120"/>
        <w:rPr>
          <w:rFonts w:hint="eastAsia" w:ascii="宋体" w:hAnsi="宋体" w:eastAsia="仿宋_GB2312"/>
          <w:b/>
          <w:bCs/>
          <w:sz w:val="24"/>
          <w:lang w:val="en-US" w:eastAsia="zh-CN"/>
        </w:rPr>
      </w:pPr>
      <w:r>
        <w:rPr>
          <w:rFonts w:eastAsia="仿宋_GB2312"/>
          <w:b/>
          <w:sz w:val="24"/>
        </w:rPr>
        <w:t>日期/Date：</w:t>
      </w:r>
      <w:permStart w:id="18" w:edGrp="everyone"/>
      <w:r>
        <w:rPr>
          <w:rFonts w:eastAsia="仿宋_GB2312"/>
          <w:szCs w:val="21"/>
        </w:rPr>
        <w:t xml:space="preserve"> </w:t>
      </w:r>
      <w:r>
        <w:rPr>
          <w:rFonts w:eastAsia="仿宋_GB2312"/>
          <w:szCs w:val="21"/>
        </w:rPr>
        <w:fldChar w:fldCharType="begin"/>
      </w:r>
      <w:r>
        <w:rPr>
          <w:rFonts w:eastAsia="仿宋_GB2312"/>
          <w:szCs w:val="21"/>
        </w:rPr>
        <w:instrText xml:space="preserve"> DATE \@ "yyyy-MM-dd" </w:instrText>
      </w:r>
      <w:r>
        <w:rPr>
          <w:rFonts w:eastAsia="仿宋_GB2312"/>
          <w:szCs w:val="21"/>
        </w:rPr>
        <w:fldChar w:fldCharType="separate"/>
      </w:r>
      <w:r>
        <w:rPr>
          <w:rFonts w:eastAsia="仿宋_GB2312"/>
          <w:szCs w:val="21"/>
        </w:rPr>
        <w:t>2026-10-21</w:t>
      </w:r>
      <w:r>
        <w:rPr>
          <w:rFonts w:eastAsia="仿宋_GB2312"/>
          <w:szCs w:val="21"/>
        </w:rPr>
        <w:fldChar w:fldCharType="end"/>
      </w:r>
      <w:permEnd w:id="18"/>
    </w:p>
    <w:sectPr>
      <w:headerReference r:id="rId11" w:type="first"/>
      <w:footerReference r:id="rId12" w:type="first"/>
      <w:pgSz w:w="11907" w:h="16840"/>
      <w:pgMar w:top="1191" w:right="1134" w:bottom="851" w:left="1134" w:header="851" w:footer="567" w:gutter="0"/>
      <w:cols w:space="425"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华文仿宋">
    <w:panose1 w:val="02010600040101010101"/>
    <w:charset w:val="86"/>
    <w:family w:val="auto"/>
    <w:pitch w:val="default"/>
    <w:sig w:usb0="00000287" w:usb1="080F0000" w:usb2="00000000" w:usb3="00000000" w:csb0="0004009F" w:csb1="DFD7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300000000000000"/>
    <w:charset w:val="80"/>
    <w:family w:val="auto"/>
    <w:pitch w:val="default"/>
    <w:sig w:usb0="E00002FF" w:usb1="7AE7FFFF" w:usb2="00000012" w:usb3="00000000" w:csb0="0002000D" w:csb1="00000000"/>
  </w:font>
  <w:font w:name="华文楷体">
    <w:panose1 w:val="02010600040101010101"/>
    <w:charset w:val="86"/>
    <w:family w:val="auto"/>
    <w:pitch w:val="default"/>
    <w:sig w:usb0="80000287" w:usb1="280F3C52" w:usb2="00000016" w:usb3="00000000" w:csb0="0004001F"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F93AC">
    <w:pPr>
      <w:pStyle w:val="3"/>
      <w:jc w:val="center"/>
      <w:rPr>
        <w:b/>
        <w:sz w:val="20"/>
      </w:rPr>
    </w:pPr>
    <w:r>
      <w:rPr>
        <w:b/>
        <w:sz w:val="20"/>
      </w:rPr>
      <w:fldChar w:fldCharType="begin"/>
    </w:r>
    <w:r>
      <w:rPr>
        <w:b/>
        <w:sz w:val="20"/>
      </w:rPr>
      <w:instrText xml:space="preserve">PAGE   \* MERGEFORMAT</w:instrText>
    </w:r>
    <w:r>
      <w:rPr>
        <w:b/>
        <w:sz w:val="20"/>
      </w:rPr>
      <w:fldChar w:fldCharType="separate"/>
    </w:r>
    <w:r>
      <w:rPr>
        <w:b/>
        <w:sz w:val="20"/>
        <w:lang w:val="zh-CN"/>
      </w:rPr>
      <w:t>5</w:t>
    </w:r>
    <w:r>
      <w:rPr>
        <w:b/>
        <w:sz w:val="20"/>
      </w:rPr>
      <w:fldChar w:fldCharType="end"/>
    </w:r>
  </w:p>
  <w:p w14:paraId="7AB50F5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481F">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14:paraId="42F59FE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F08A">
    <w:pPr>
      <w:pStyle w:val="3"/>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r>
      <w:rPr>
        <w:lang w:val="zh-CN"/>
      </w:rPr>
      <w:t xml:space="preserve"> / </w:t>
    </w:r>
    <w:r>
      <w:rPr>
        <w:b/>
        <w:bCs/>
      </w:rPr>
      <w:fldChar w:fldCharType="begin"/>
    </w:r>
    <w:r>
      <w:rPr>
        <w:b/>
        <w:bCs/>
      </w:rPr>
      <w:instrText xml:space="preserve"> NUMPAGES   \* MERGEFORMAT </w:instrText>
    </w:r>
    <w:r>
      <w:rPr>
        <w:b/>
        <w:bCs/>
      </w:rPr>
      <w:fldChar w:fldCharType="separate"/>
    </w:r>
    <w:r>
      <w:rPr>
        <w:b/>
        <w:bCs/>
      </w:rPr>
      <w:t>2</w:t>
    </w:r>
    <w:r>
      <w:rPr>
        <w:b/>
        <w:bC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FBAD5">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0A74C93D">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3896">
    <w:pPr>
      <w:pStyle w:val="3"/>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NUMPAGES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AB547">
    <w:pPr>
      <w:pStyle w:val="3"/>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NUMPAGES   \* MERGEFORMAT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0FCFECA8"/>
    <w:rsid w:val="138E4DA7"/>
    <w:rsid w:val="21725332"/>
    <w:rsid w:val="2C6216DD"/>
    <w:rsid w:val="2CA3146B"/>
    <w:rsid w:val="2F946722"/>
    <w:rsid w:val="31204797"/>
    <w:rsid w:val="34086670"/>
    <w:rsid w:val="360A0E5E"/>
    <w:rsid w:val="37B37A77"/>
    <w:rsid w:val="38CB11E8"/>
    <w:rsid w:val="39577622"/>
    <w:rsid w:val="3EB5E60F"/>
    <w:rsid w:val="3FDF9FFF"/>
    <w:rsid w:val="47760D41"/>
    <w:rsid w:val="4A3A17DC"/>
    <w:rsid w:val="4C1703B2"/>
    <w:rsid w:val="5A6C4CE3"/>
    <w:rsid w:val="5B1660B9"/>
    <w:rsid w:val="5D5E0913"/>
    <w:rsid w:val="66FB2B28"/>
    <w:rsid w:val="68FFDD8F"/>
    <w:rsid w:val="704C78A9"/>
    <w:rsid w:val="77141D8A"/>
    <w:rsid w:val="7BFB9102"/>
    <w:rsid w:val="BEEB342E"/>
    <w:rsid w:val="BF5F0058"/>
    <w:rsid w:val="CE7D3A58"/>
    <w:rsid w:val="E9EF71FA"/>
    <w:rsid w:val="F7DF7AF2"/>
    <w:rsid w:val="F7FF5F26"/>
    <w:rsid w:val="FEFB1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2"/>
    <w:qFormat/>
    <w:uiPriority w:val="0"/>
    <w:pPr>
      <w:tabs>
        <w:tab w:val="center" w:pos="4153"/>
        <w:tab w:val="right" w:pos="8306"/>
      </w:tabs>
      <w:snapToGrid w:val="0"/>
      <w:spacing w:line="240" w:lineRule="atLeast"/>
      <w:jc w:val="left"/>
    </w:pPr>
    <w:rPr>
      <w:sz w:val="18"/>
    </w:rPr>
  </w:style>
  <w:style w:type="paragraph" w:styleId="4">
    <w:name w:val="header"/>
    <w:basedOn w:val="1"/>
    <w:link w:val="13"/>
    <w:qFormat/>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FollowedHyperlink"/>
    <w:basedOn w:val="8"/>
    <w:uiPriority w:val="0"/>
    <w:rPr>
      <w:color w:val="800080"/>
      <w:u w:val="single"/>
    </w:rPr>
  </w:style>
  <w:style w:type="character" w:styleId="11">
    <w:name w:val="Hyperlink"/>
    <w:qFormat/>
    <w:uiPriority w:val="0"/>
    <w:rPr>
      <w:color w:val="0000FF"/>
      <w:u w:val="single"/>
    </w:rPr>
  </w:style>
  <w:style w:type="character" w:customStyle="1" w:styleId="12">
    <w:name w:val="页脚 Char"/>
    <w:link w:val="3"/>
    <w:qFormat/>
    <w:uiPriority w:val="99"/>
    <w:rPr>
      <w:sz w:val="18"/>
    </w:rPr>
  </w:style>
  <w:style w:type="character" w:customStyle="1" w:styleId="13">
    <w:name w:val="页眉 Char"/>
    <w:link w:val="4"/>
    <w:qFormat/>
    <w:uiPriority w:val="0"/>
    <w:rPr>
      <w:sz w:val="18"/>
      <w:szCs w:val="18"/>
    </w:rPr>
  </w:style>
  <w:style w:type="paragraph" w:styleId="14">
    <w:name w:val="List Paragraph"/>
    <w:basedOn w:val="1"/>
    <w:qFormat/>
    <w:uiPriority w:val="34"/>
    <w:pPr>
      <w:adjustRightInd/>
      <w:spacing w:line="240" w:lineRule="auto"/>
      <w:ind w:firstLine="420" w:firstLineChars="200"/>
      <w:textAlignment w:val="auto"/>
    </w:pPr>
    <w:rPr>
      <w:kern w:val="2"/>
      <w:szCs w:val="24"/>
    </w:rPr>
  </w:style>
  <w:style w:type="character" w:styleId="15">
    <w:name w:val="Placeholder Text"/>
    <w:basedOn w:val="8"/>
    <w:semiHidden/>
    <w:qFormat/>
    <w:uiPriority w:val="99"/>
    <w:rPr>
      <w:color w:val="808080"/>
    </w:rPr>
  </w:style>
  <w:style w:type="paragraph" w:customStyle="1" w:styleId="16">
    <w:name w:val="MidtermHeading"/>
    <w:basedOn w:val="1"/>
    <w:qFormat/>
    <w:uiPriority w:val="0"/>
    <w:pPr>
      <w:keepNext/>
      <w:widowControl/>
      <w:snapToGrid w:val="0"/>
      <w:spacing w:before="200" w:after="140" w:line="276" w:lineRule="auto"/>
      <w:ind w:firstLine="0"/>
      <w:jc w:val="left"/>
    </w:pPr>
    <w:rPr>
      <w:rFonts w:ascii="Times New Roman" w:hAnsi="Times New Roman" w:eastAsia="黑体"/>
      <w:b/>
      <w:color w:val="000000"/>
      <w:sz w:val="28"/>
    </w:rPr>
  </w:style>
  <w:style w:type="paragraph" w:customStyle="1" w:styleId="17">
    <w:name w:val="MidtermBody"/>
    <w:basedOn w:val="1"/>
    <w:uiPriority w:val="0"/>
    <w:pPr>
      <w:keepNext w:val="0"/>
      <w:widowControl/>
      <w:snapToGrid w:val="0"/>
      <w:spacing w:before="0" w:after="100" w:line="336" w:lineRule="auto"/>
      <w:ind w:firstLine="480"/>
      <w:jc w:val="both"/>
    </w:pPr>
    <w:rPr>
      <w:rFonts w:ascii="Times New Roman" w:hAnsi="Times New Roman" w:eastAsia="宋体"/>
      <w:color w:val="000000"/>
      <w:sz w:val="24"/>
    </w:rPr>
  </w:style>
  <w:style w:type="paragraph" w:customStyle="1" w:styleId="18">
    <w:name w:val="MidtermSubheading"/>
    <w:basedOn w:val="1"/>
    <w:uiPriority w:val="0"/>
    <w:pPr>
      <w:keepNext/>
      <w:widowControl/>
      <w:snapToGrid w:val="0"/>
      <w:spacing w:before="200" w:after="140" w:line="276" w:lineRule="auto"/>
      <w:ind w:firstLine="0"/>
      <w:jc w:val="left"/>
    </w:pPr>
    <w:rPr>
      <w:rFonts w:ascii="Times New Roman" w:hAnsi="Times New Roman" w:eastAsia="黑体"/>
      <w:b/>
      <w:color w:val="000000"/>
      <w:sz w:val="24"/>
    </w:rPr>
  </w:style>
  <w:style w:type="paragraph" w:customStyle="1" w:styleId="19">
    <w:name w:val="MidtermCaption"/>
    <w:basedOn w:val="1"/>
    <w:qFormat/>
    <w:uiPriority w:val="0"/>
    <w:pPr>
      <w:keepNext w:val="0"/>
      <w:widowControl/>
      <w:snapToGrid w:val="0"/>
      <w:spacing w:before="0" w:after="100" w:line="276" w:lineRule="auto"/>
      <w:ind w:firstLine="0"/>
      <w:jc w:val="center"/>
    </w:pPr>
    <w:rPr>
      <w:rFonts w:ascii="Times New Roman" w:hAnsi="Times New Roman" w:eastAsia="宋体"/>
      <w:color w:val="000000"/>
      <w:sz w:val="21"/>
    </w:rPr>
  </w:style>
  <w:style w:type="paragraph" w:customStyle="1" w:styleId="20">
    <w:name w:val="MidtermNote"/>
    <w:basedOn w:val="1"/>
    <w:uiPriority w:val="0"/>
    <w:pPr>
      <w:keepNext w:val="0"/>
      <w:widowControl/>
      <w:snapToGrid w:val="0"/>
      <w:spacing w:before="0" w:after="100" w:line="276" w:lineRule="auto"/>
      <w:ind w:firstLine="0"/>
      <w:jc w:val="left"/>
    </w:pPr>
    <w:rPr>
      <w:rFonts w:ascii="Times New Roman" w:hAnsi="Times New Roman" w:eastAsia="宋体"/>
      <w:color w:val="000000"/>
      <w:sz w:val="20"/>
    </w:rPr>
  </w:style>
  <w:style w:type="paragraph" w:customStyle="1" w:styleId="21">
    <w:name w:val="MidtermReference"/>
    <w:basedOn w:val="1"/>
    <w:qFormat/>
    <w:uiPriority w:val="0"/>
    <w:pPr>
      <w:keepNext w:val="0"/>
      <w:widowControl/>
      <w:snapToGrid w:val="0"/>
      <w:spacing w:before="0" w:after="100" w:line="276" w:lineRule="auto"/>
      <w:ind w:firstLine="0"/>
      <w:jc w:val="both"/>
    </w:pPr>
    <w:rPr>
      <w:rFonts w:ascii="Times New Roman" w:hAnsi="Times New Roman" w:eastAsia="宋体"/>
      <w:color w:val="000000"/>
      <w:sz w:val="21"/>
    </w:rPr>
  </w:style>
  <w:style w:type="paragraph" w:customStyle="1" w:styleId="22">
    <w:name w:val="ReviewSubheading"/>
    <w:basedOn w:val="1"/>
    <w:uiPriority w:val="0"/>
    <w:pPr>
      <w:keepNext/>
      <w:keepLines/>
      <w:widowControl/>
      <w:spacing w:before="160" w:after="120" w:line="300" w:lineRule="auto"/>
      <w:outlineLvl w:val="1"/>
    </w:pPr>
    <w:rPr>
      <w:rFonts w:ascii="Times New Roman" w:hAnsi="Times New Roman" w:eastAsia="黑体"/>
      <w:b/>
      <w:color w:val="000000"/>
      <w:sz w:val="24"/>
    </w:rPr>
  </w:style>
  <w:style w:type="paragraph" w:customStyle="1" w:styleId="23">
    <w:name w:val="ReviewBodyCN"/>
    <w:basedOn w:val="1"/>
    <w:uiPriority w:val="0"/>
    <w:pPr>
      <w:widowControl/>
      <w:spacing w:before="0" w:after="100" w:line="300" w:lineRule="auto"/>
      <w:ind w:firstLine="480"/>
    </w:pPr>
    <w:rPr>
      <w:rFonts w:ascii="Times New Roman" w:hAnsi="Times New Roman" w:eastAsia="宋体"/>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glossaryDocument" Target="glossary/document.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14</Pages>
  <Words>11773</Words>
  <Characters>36662</Characters>
  <Lines>18</Lines>
  <Paragraphs>5</Paragraphs>
  <TotalTime>5</TotalTime>
  <ScaleCrop>false</ScaleCrop>
  <LinksUpToDate>false</LinksUpToDate>
  <CharactersWithSpaces>41283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2019-08-14T16:35:00Z</dcterms:created>
  <dc:creator>朱金霞</dc:creator>
  <cp:lastModifiedBy>haharrychen</cp:lastModifiedBy>
  <cp:lastPrinted>2004-10-28T09:21:00Z</cp:lastPrinted>
  <dcterms:modified xsi:type="dcterms:W3CDTF">2026-10-22T17:48:12Z</dcterms:modified>
  <dc:subject>过程管理-中期考核登记表</dc:subject>
  <dc:title>上海交通大学硕士学位研究生中期考核登记表</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eyJoZGlkIjoiZDQ4YjdiYTUyNWY2NDk3MzcwYjM2MTE2ODE2YmU3MWEiLCJ1c2VySWQiOiIxMTA1ODQ4NyJ9</vt:lpwstr>
  </property>
  <property fmtid="{D5CDD505-2E9C-101B-9397-08002B2CF9AE}" pid="3" name="KSOProductBuildVer">
    <vt:lpwstr>2052-12.1.24031.24031</vt:lpwstr>
  </property>
  <property fmtid="{D5CDD505-2E9C-101B-9397-08002B2CF9AE}" pid="4" name="ICV">
    <vt:lpwstr>BB20C585BBB1BE053F08AD6A84E4F55F_43</vt:lpwstr>
  </property>
</Properties>
</file>