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</w:rPr>
        <w:t>Task 3 - One Page Summary</w:t>
      </w:r>
    </w:p>
    <w:p>
      <w:pPr>
        <w:jc w:val="center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sz w:val="22"/>
        </w:rPr>
        <w:t>Jurisdiction-Aware Credit Deci</w:t>
      </w:r>
      <w:bookmarkStart w:id="0" w:name="_GoBack"/>
      <w:bookmarkEnd w:id="0"/>
      <w:r>
        <w:rPr>
          <w:rFonts w:hint="default" w:asciiTheme="minorAscii" w:hAnsiTheme="minorAscii"/>
          <w:b/>
          <w:sz w:val="22"/>
        </w:rPr>
        <w:t>sion Governance Monitor</w:t>
      </w:r>
    </w:p>
    <w:p>
      <w:pPr>
        <w:spacing w:after="10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This project designs a jurisdiction-aware governance monitor for Revolut's AI-assisted credit decisioning. It is built around one product principle: </w:t>
      </w:r>
      <w:r>
        <w:rPr>
          <w:rFonts w:hint="default" w:asciiTheme="minorAscii" w:hAnsiTheme="minorAscii"/>
          <w:b/>
        </w:rPr>
        <w:t>shared governance schema, not shared sensitive-data pipeline</w:t>
      </w:r>
      <w:r>
        <w:rPr>
          <w:rFonts w:hint="default" w:asciiTheme="minorAscii" w:hAnsiTheme="minorAscii"/>
        </w:rPr>
        <w:t>. The tool uses synthetic credit application data to show how the same credit decisioning problem produces different evidence outputs under US and EU regulatory choices.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8642"/>
      </w:tblGrid>
      <w:tr>
        <w:trPr>
          <w:jc w:val="center"/>
        </w:trPr>
        <w:tc>
          <w:tcPr>
            <w:tcW w:w="2376" w:type="dxa"/>
            <w:shd w:val="clear" w:color="auto" w:fill="D9EAF7"/>
          </w:tcPr>
          <w:p>
            <w:pPr>
              <w:spacing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sz w:val="17"/>
              </w:rPr>
              <w:t>Question</w:t>
            </w:r>
          </w:p>
        </w:tc>
        <w:tc>
          <w:tcPr>
            <w:tcW w:w="9504" w:type="dxa"/>
            <w:shd w:val="clear" w:color="auto" w:fill="D9EAF7"/>
          </w:tcPr>
          <w:p>
            <w:pPr>
              <w:spacing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sz w:val="17"/>
              </w:rPr>
              <w:t>Plain-language answer</w:t>
            </w:r>
          </w:p>
        </w:tc>
      </w:tr>
      <w:tr>
        <w:trPr>
          <w:jc w:val="center"/>
        </w:trPr>
        <w:tc>
          <w:tcPr>
            <w:tcW w:w="2376" w:type="dxa"/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b/>
                <w:color w:val="142B4E"/>
                <w:sz w:val="16"/>
              </w:rPr>
              <w:t>What the tool does</w:t>
            </w:r>
          </w:p>
        </w:tc>
        <w:tc>
          <w:tcPr>
            <w:tcW w:w="9504" w:type="dxa"/>
            <w:vAlign w:val="top"/>
          </w:tcPr>
          <w:p>
            <w:pPr>
              <w:spacing w:before="0"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sz w:val="16"/>
              </w:rPr>
              <w:t>It monitors AI-assisted credit decision outputs for explanation quality, proxy-risk signals, EU bias-testing metrics, drift and pre-deployment governance evidence, then generates jurisdiction-specific evidence packages.</w:t>
            </w:r>
          </w:p>
        </w:tc>
      </w:tr>
      <w:tr>
        <w:trPr>
          <w:jc w:val="center"/>
        </w:trPr>
        <w:tc>
          <w:tcPr>
            <w:tcW w:w="2376" w:type="dxa"/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b/>
                <w:color w:val="142B4E"/>
                <w:sz w:val="16"/>
              </w:rPr>
              <w:t>Why it is needed</w:t>
            </w:r>
          </w:p>
        </w:tc>
        <w:tc>
          <w:tcPr>
            <w:tcW w:w="9504" w:type="dxa"/>
            <w:vAlign w:val="top"/>
          </w:tcPr>
          <w:p>
            <w:pPr>
              <w:spacing w:before="0"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sz w:val="16"/>
              </w:rPr>
              <w:t>A spreadsheet can list rules, but it cannot enforce data-path separation, version rule changes, retain audit logs or route weak evidence to accountable owners. The jurisdiction choice changes data access, computation modules, evidence outputs and escalation owners; it is not just a report-template switch.</w:t>
            </w:r>
          </w:p>
        </w:tc>
      </w:tr>
      <w:tr>
        <w:trPr>
          <w:jc w:val="center"/>
        </w:trPr>
        <w:tc>
          <w:tcPr>
            <w:tcW w:w="2376" w:type="dxa"/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b/>
                <w:color w:val="142B4E"/>
                <w:sz w:val="16"/>
              </w:rPr>
              <w:t>How the US and EU differ</w:t>
            </w:r>
          </w:p>
        </w:tc>
        <w:tc>
          <w:tcPr>
            <w:tcW w:w="9504" w:type="dxa"/>
            <w:vAlign w:val="top"/>
          </w:tcPr>
          <w:p>
            <w:pPr>
              <w:spacing w:before="0"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sz w:val="16"/>
              </w:rPr>
              <w:t>US mode focuses on specific adverse-action reason quality, reason-code confidence and proxy-discrimination review. EU mode assumes creditworthiness AI is a high-risk AI use case and checks lifecycle governance evidence, controlled bias testing and post-deployment monitoring.</w:t>
            </w:r>
          </w:p>
        </w:tc>
      </w:tr>
      <w:tr>
        <w:trPr>
          <w:jc w:val="center"/>
        </w:trPr>
        <w:tc>
          <w:tcPr>
            <w:tcW w:w="2376" w:type="dxa"/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b/>
                <w:color w:val="142B4E"/>
                <w:sz w:val="16"/>
              </w:rPr>
              <w:t>What data it uses</w:t>
            </w:r>
          </w:p>
        </w:tc>
        <w:tc>
          <w:tcPr>
            <w:tcW w:w="9504" w:type="dxa"/>
            <w:vAlign w:val="top"/>
          </w:tcPr>
          <w:p>
            <w:pPr>
              <w:spacing w:before="0"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sz w:val="16"/>
              </w:rPr>
              <w:t>The prototype uses 1,400 synthetic applications: 700 US processed records and 700 EU audit records. The US processed dataset excludes age, gender_audit, age_band, protected_group_flag and audit_group. The EU audit dataset retains audit-only fields only in a segregated path for controlled bias testing.</w:t>
            </w:r>
          </w:p>
        </w:tc>
      </w:tr>
      <w:tr>
        <w:trPr>
          <w:jc w:val="center"/>
        </w:trPr>
        <w:tc>
          <w:tcPr>
            <w:tcW w:w="2376" w:type="dxa"/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b/>
                <w:color w:val="142B4E"/>
                <w:sz w:val="16"/>
              </w:rPr>
              <w:t>What it outputs</w:t>
            </w:r>
          </w:p>
        </w:tc>
        <w:tc>
          <w:tcPr>
            <w:tcW w:w="9504" w:type="dxa"/>
            <w:vAlign w:val="top"/>
          </w:tcPr>
          <w:p>
            <w:pPr>
              <w:spacing w:before="0"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sz w:val="16"/>
              </w:rPr>
              <w:t>US and EU evidence packages use a shared schema: jurisdiction, model version, rule version, risk signal, evidence generated, confidence level, owner, required action, deadline, escalation level and audit reference.</w:t>
            </w:r>
          </w:p>
        </w:tc>
      </w:tr>
      <w:tr>
        <w:trPr>
          <w:jc w:val="center"/>
        </w:trPr>
        <w:tc>
          <w:tcPr>
            <w:tcW w:w="2376" w:type="dxa"/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b/>
                <w:color w:val="142B4E"/>
                <w:sz w:val="16"/>
              </w:rPr>
              <w:t>How human oversight works</w:t>
            </w:r>
          </w:p>
        </w:tc>
        <w:tc>
          <w:tcPr>
            <w:tcW w:w="9504" w:type="dxa"/>
            <w:vAlign w:val="top"/>
          </w:tcPr>
          <w:p>
            <w:pPr>
              <w:spacing w:before="0"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sz w:val="16"/>
              </w:rPr>
              <w:t>Human review is risk-tiered. Minor signals create monitoring tickets; moderate issues trigger sampled review; severe governance gaps, sensitive-data leakage or configuration failures trigger model governance review or emergency suspension.</w:t>
            </w:r>
          </w:p>
        </w:tc>
      </w:tr>
      <w:tr>
        <w:trPr>
          <w:jc w:val="center"/>
        </w:trPr>
        <w:tc>
          <w:tcPr>
            <w:tcW w:w="2376" w:type="dxa"/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b/>
                <w:color w:val="142B4E"/>
                <w:sz w:val="16"/>
              </w:rPr>
              <w:t>What it deliberately does not do</w:t>
            </w:r>
          </w:p>
        </w:tc>
        <w:tc>
          <w:tcPr>
            <w:tcW w:w="9504" w:type="dxa"/>
            <w:vAlign w:val="top"/>
          </w:tcPr>
          <w:p>
            <w:pPr>
              <w:spacing w:before="0" w:after="0" w:line="240" w:lineRule="auto"/>
              <w:rPr>
                <w:rFonts w:hint="default" w:asciiTheme="minorAscii" w:hAnsiTheme="minorAscii"/>
              </w:rPr>
            </w:pPr>
            <w:r>
              <w:rPr>
                <w:rFonts w:hint="default" w:eastAsia="Aptos" w:asciiTheme="minorAscii" w:hAnsiTheme="minorAscii"/>
                <w:sz w:val="16"/>
              </w:rPr>
              <w:t>It does not make final lending decisions, issue legal opinions, certify EU AI Act conformity, automatically repair models or treat SHAP-style attribution as legally sufficient adverse-action reasons. The synthetic figures demonstrate workflow mechanics and are not empirical claims about Revolut customers.</w:t>
            </w:r>
          </w:p>
        </w:tc>
      </w:tr>
    </w:tbl>
    <w:p>
      <w:pPr>
        <w:spacing w:before="100"/>
        <w:jc w:val="center"/>
        <w:rPr>
          <w:rFonts w:hint="default" w:asciiTheme="minorAscii" w:hAnsiTheme="minorAscii"/>
        </w:rPr>
      </w:pPr>
    </w:p>
    <w:sectPr>
      <w:pgSz w:w="12240" w:h="15840"/>
      <w:pgMar w:top="648" w:right="792" w:bottom="648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兰亭黑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FE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python-docx</dc:creator>
  <dc:description>generated by python-docx</dc:description>
  <cp:lastModifiedBy>君泽</cp:lastModifiedBy>
  <dcterms:modified xsi:type="dcterms:W3CDTF">2026-05-22T20:48:42Z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9877E6FFE4BA7FB9AA50106A1CCE854C_42</vt:lpwstr>
  </property>
</Properties>
</file>