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35A9" w14:textId="6356B6ED" w:rsidR="004E5336" w:rsidRDefault="00CF01B4" w:rsidP="00CF01B4">
      <w:pPr>
        <w:jc w:val="center"/>
        <w:rPr>
          <w:b/>
          <w:bCs/>
          <w:lang w:val="es-ES"/>
        </w:rPr>
      </w:pPr>
      <w:r w:rsidRPr="00CF01B4">
        <w:rPr>
          <w:b/>
          <w:bCs/>
          <w:lang w:val="es-ES"/>
        </w:rPr>
        <w:t>PREDICCIÓN DE PORTABILIDAD NUMÉRICA MEDIANTE MODELOS DE MACHINE LEARNING PARA CLIENTES POSPAGO DE WINCALL (OPERADOR MÓVIL DE COLOMBIA).</w:t>
      </w:r>
    </w:p>
    <w:p w14:paraId="1491A199" w14:textId="77777777" w:rsidR="00A1687A" w:rsidRDefault="00A1687A" w:rsidP="00CF01B4">
      <w:pPr>
        <w:jc w:val="center"/>
        <w:rPr>
          <w:b/>
          <w:bCs/>
          <w:lang w:val="es-ES"/>
        </w:rPr>
      </w:pPr>
    </w:p>
    <w:p w14:paraId="2175B45A" w14:textId="77777777" w:rsidR="00A2388A" w:rsidRDefault="00A2388A" w:rsidP="00A2388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2388A">
        <w:rPr>
          <w:b/>
          <w:bCs/>
          <w:lang w:val="es-ES"/>
        </w:rPr>
        <w:t>RESUMEN</w:t>
      </w:r>
    </w:p>
    <w:p w14:paraId="4D19012C" w14:textId="77777777" w:rsidR="00A1687A" w:rsidRDefault="00A1687A" w:rsidP="00A2388A">
      <w:pPr>
        <w:pStyle w:val="Prrafodelista"/>
        <w:ind w:left="360"/>
        <w:rPr>
          <w:lang w:val="es-ES"/>
        </w:rPr>
      </w:pPr>
    </w:p>
    <w:p w14:paraId="62936910" w14:textId="7BE44406" w:rsidR="0057770B" w:rsidRDefault="00A1687A" w:rsidP="00CA500B">
      <w:pPr>
        <w:pStyle w:val="Prrafodelista"/>
        <w:ind w:left="0"/>
        <w:jc w:val="both"/>
        <w:rPr>
          <w:lang w:val="es-ES"/>
        </w:rPr>
      </w:pPr>
      <w:r w:rsidRPr="00CF01B4">
        <w:rPr>
          <w:lang w:val="es-ES"/>
        </w:rPr>
        <w:t>El sector de las telecomunicaciones en Colombia, al igual que en otros países, mantiene una competencia intensa</w:t>
      </w:r>
      <w:r w:rsidR="00E94E86">
        <w:rPr>
          <w:lang w:val="es-ES"/>
        </w:rPr>
        <w:t xml:space="preserve">, con un nivel de penetración </w:t>
      </w:r>
      <w:r w:rsidR="00AA57AB">
        <w:rPr>
          <w:lang w:val="es-ES"/>
        </w:rPr>
        <w:t xml:space="preserve">de servicios de telefonía móvil </w:t>
      </w:r>
      <w:r w:rsidR="00E94E86">
        <w:rPr>
          <w:lang w:val="es-ES"/>
        </w:rPr>
        <w:t>superior al 170%, según la CR</w:t>
      </w:r>
      <w:r w:rsidR="001C05EE">
        <w:rPr>
          <w:lang w:val="es-ES"/>
        </w:rPr>
        <w:t>C</w:t>
      </w:r>
      <w:r w:rsidR="00AA57AB">
        <w:rPr>
          <w:lang w:val="es-ES"/>
        </w:rPr>
        <w:t xml:space="preserve">, lo cual </w:t>
      </w:r>
      <w:r w:rsidR="0057770B">
        <w:rPr>
          <w:lang w:val="es-ES"/>
        </w:rPr>
        <w:t>implica que para crecer es necesario atraer clientes desde la competencia al tiempo que se conserva la base propia</w:t>
      </w:r>
      <w:r>
        <w:rPr>
          <w:lang w:val="es-ES"/>
        </w:rPr>
        <w:t xml:space="preserve">. </w:t>
      </w:r>
    </w:p>
    <w:p w14:paraId="44604B6F" w14:textId="77777777" w:rsidR="0057770B" w:rsidRDefault="0057770B" w:rsidP="0057770B">
      <w:pPr>
        <w:pStyle w:val="Prrafodelista"/>
        <w:ind w:left="360"/>
        <w:jc w:val="both"/>
        <w:rPr>
          <w:lang w:val="es-ES"/>
        </w:rPr>
      </w:pPr>
    </w:p>
    <w:p w14:paraId="5C85C4FA" w14:textId="44992FEF" w:rsidR="0057770B" w:rsidRPr="0057770B" w:rsidRDefault="00A1687A" w:rsidP="00CA500B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 xml:space="preserve">Wincall inició operaciones </w:t>
      </w:r>
      <w:r w:rsidR="001C05EE">
        <w:rPr>
          <w:lang w:val="es-ES"/>
        </w:rPr>
        <w:t xml:space="preserve">en Colombia </w:t>
      </w:r>
      <w:r>
        <w:rPr>
          <w:lang w:val="es-ES"/>
        </w:rPr>
        <w:t xml:space="preserve">en el año 2021 y, </w:t>
      </w:r>
      <w:r w:rsidR="0057770B">
        <w:rPr>
          <w:lang w:val="es-ES"/>
        </w:rPr>
        <w:t>a</w:t>
      </w:r>
      <w:r w:rsidR="00AA57AB">
        <w:rPr>
          <w:lang w:val="es-ES"/>
        </w:rPr>
        <w:t xml:space="preserve">l </w:t>
      </w:r>
      <w:r w:rsidR="0057770B">
        <w:rPr>
          <w:lang w:val="es-ES"/>
        </w:rPr>
        <w:t xml:space="preserve">ser el </w:t>
      </w:r>
      <w:r w:rsidR="00AA57AB">
        <w:rPr>
          <w:lang w:val="es-ES"/>
        </w:rPr>
        <w:t>cuarto operador</w:t>
      </w:r>
      <w:r w:rsidR="0057770B">
        <w:rPr>
          <w:lang w:val="es-ES"/>
        </w:rPr>
        <w:t xml:space="preserve"> móvil</w:t>
      </w:r>
      <w:r w:rsidR="001C05EE">
        <w:rPr>
          <w:lang w:val="es-ES"/>
        </w:rPr>
        <w:t>,</w:t>
      </w:r>
      <w:r w:rsidR="00AA57AB">
        <w:rPr>
          <w:lang w:val="es-ES"/>
        </w:rPr>
        <w:t xml:space="preserve"> con un 11% del mercado pospago</w:t>
      </w:r>
      <w:r w:rsidR="001C05EE">
        <w:rPr>
          <w:lang w:val="es-ES"/>
        </w:rPr>
        <w:t>,</w:t>
      </w:r>
      <w:r w:rsidR="00AA57AB">
        <w:rPr>
          <w:lang w:val="es-ES"/>
        </w:rPr>
        <w:t xml:space="preserve"> </w:t>
      </w:r>
      <w:r w:rsidR="001C05EE">
        <w:rPr>
          <w:lang w:val="es-ES"/>
        </w:rPr>
        <w:t>debe implementar estrategias efectivas en la retención de los clientes actuales.</w:t>
      </w:r>
      <w:r w:rsidR="00CA500B">
        <w:rPr>
          <w:lang w:val="es-ES"/>
        </w:rPr>
        <w:t xml:space="preserve"> </w:t>
      </w:r>
      <w:r w:rsidR="001C05EE">
        <w:rPr>
          <w:lang w:val="es-ES"/>
        </w:rPr>
        <w:t xml:space="preserve">El presente proyecto se enfoca en la implementación de modelos de machine learning que permitan identificar con una precisión superior al 80% los clientes que potencialmente abandonarán la compañía </w:t>
      </w:r>
      <w:r w:rsidR="001C05EE">
        <w:rPr>
          <w:lang w:val="es-ES"/>
        </w:rPr>
        <w:t>(churn)</w:t>
      </w:r>
      <w:r w:rsidR="001C05EE">
        <w:rPr>
          <w:lang w:val="es-ES"/>
        </w:rPr>
        <w:t xml:space="preserve"> utilizando las técnicas actuales de tratamiento de datos, selección de características, balanceo de clases y explicación de variables que permitan interpretar los resultados de los modelos utilizados</w:t>
      </w:r>
      <w:r w:rsidR="00CA500B">
        <w:rPr>
          <w:lang w:val="es-ES"/>
        </w:rPr>
        <w:t xml:space="preserve"> para la toma de mejores decisiones</w:t>
      </w:r>
      <w:r w:rsidR="001C05EE">
        <w:rPr>
          <w:lang w:val="es-ES"/>
        </w:rPr>
        <w:t>.</w:t>
      </w:r>
    </w:p>
    <w:p w14:paraId="743E1FF6" w14:textId="77777777" w:rsidR="0057770B" w:rsidRPr="0057770B" w:rsidRDefault="0057770B" w:rsidP="0057770B">
      <w:pPr>
        <w:pStyle w:val="Prrafodelista"/>
        <w:ind w:left="360"/>
        <w:jc w:val="both"/>
        <w:rPr>
          <w:lang w:val="es-ES"/>
        </w:rPr>
      </w:pPr>
    </w:p>
    <w:p w14:paraId="0FE01405" w14:textId="7057FA5B" w:rsidR="00A1687A" w:rsidRPr="00A1687A" w:rsidRDefault="00A1687A" w:rsidP="00CA500B">
      <w:pPr>
        <w:pStyle w:val="Prrafodelista"/>
        <w:ind w:left="0"/>
        <w:rPr>
          <w:lang w:val="es-ES"/>
        </w:rPr>
      </w:pPr>
      <w:r w:rsidRPr="00A1687A">
        <w:rPr>
          <w:lang w:val="es-ES"/>
        </w:rPr>
        <w:t>Palabras clave: churn, portabilidad de clientes, machine learning, modelos de predicción</w:t>
      </w:r>
      <w:r>
        <w:rPr>
          <w:lang w:val="es-ES"/>
        </w:rPr>
        <w:t>, comunicaciones móviles, telecomunicaciones</w:t>
      </w:r>
      <w:r w:rsidRPr="00A1687A">
        <w:rPr>
          <w:lang w:val="es-ES"/>
        </w:rPr>
        <w:t>.</w:t>
      </w:r>
    </w:p>
    <w:p w14:paraId="3E30FBE5" w14:textId="77777777" w:rsidR="00A1687A" w:rsidRDefault="00A1687A" w:rsidP="00A2388A">
      <w:pPr>
        <w:pStyle w:val="Prrafodelista"/>
        <w:ind w:left="360"/>
        <w:rPr>
          <w:b/>
          <w:bCs/>
          <w:lang w:val="es-ES"/>
        </w:rPr>
      </w:pPr>
    </w:p>
    <w:p w14:paraId="599FAEA9" w14:textId="373FB0FD" w:rsidR="00CF01B4" w:rsidRPr="00A2388A" w:rsidRDefault="00CF01B4" w:rsidP="00A2388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2388A">
        <w:rPr>
          <w:b/>
          <w:bCs/>
          <w:lang w:val="es-ES"/>
        </w:rPr>
        <w:t>INTRODUCCIÓN</w:t>
      </w:r>
    </w:p>
    <w:p w14:paraId="5DFC80FB" w14:textId="55C17168" w:rsidR="00CF01B4" w:rsidRPr="00CF01B4" w:rsidRDefault="00CF01B4" w:rsidP="00CF01B4">
      <w:pPr>
        <w:jc w:val="both"/>
      </w:pPr>
      <w:r w:rsidRPr="00CF01B4">
        <w:rPr>
          <w:lang w:val="es-ES"/>
        </w:rPr>
        <w:t>En servicios de comunicación móvil, los clientes tienden a cambiar frecuentemente de operador debido al bajo costo financiero asociado a este trámite (Ribeiro et al., 2024).</w:t>
      </w:r>
    </w:p>
    <w:p w14:paraId="3AECF321" w14:textId="77777777" w:rsidR="00CF01B4" w:rsidRPr="00CF01B4" w:rsidRDefault="00CF01B4" w:rsidP="00CF01B4">
      <w:pPr>
        <w:jc w:val="both"/>
      </w:pPr>
      <w:r w:rsidRPr="00CF01B4">
        <w:t xml:space="preserve">Las investigaciones han probado que es cinco veces más barato conservar clientes existentes que adquirir uno nuevo, principalmente por la escala de la inversión en publicidad y promoción que se requiere, </w:t>
      </w:r>
      <w:r w:rsidRPr="00CF01B4">
        <w:rPr>
          <w:lang w:val="es-ES"/>
        </w:rPr>
        <w:t>por lo que la retención de clientes se ha vuelto muy importante para impulsar la rentabilidad y la sostenibilidad (</w:t>
      </w:r>
      <w:r w:rsidRPr="00CF01B4">
        <w:t>Mohaimin et al., 2025; Thangeda et al., 2024).</w:t>
      </w:r>
    </w:p>
    <w:p w14:paraId="326B611A" w14:textId="23F74FEC" w:rsidR="00D278E2" w:rsidRDefault="003E556C" w:rsidP="00CF01B4">
      <w:pPr>
        <w:jc w:val="both"/>
        <w:rPr>
          <w:lang w:val="es-ES"/>
        </w:rPr>
      </w:pPr>
      <w:r>
        <w:t>Actualmente, las</w:t>
      </w:r>
      <w:r w:rsidR="00CF01B4" w:rsidRPr="00CF01B4">
        <w:t xml:space="preserve"> compañías (de telecomunicaciones) son conscientes de que sus bases de datos de clientes existentes son su mejor activo, más aún, en el segmento de subscripciones pospago (Melian et al., 2022).</w:t>
      </w:r>
      <w:r w:rsidR="00CF01B4" w:rsidRPr="00CF01B4">
        <w:rPr>
          <w:lang w:val="es-ES"/>
        </w:rPr>
        <w:t xml:space="preserve"> </w:t>
      </w:r>
      <w:r w:rsidR="00D278E2">
        <w:rPr>
          <w:lang w:val="es-ES"/>
        </w:rPr>
        <w:t xml:space="preserve">La predicción de la portabilidad de los clientes está ganando popularidad entre la comunidad de investigación </w:t>
      </w:r>
      <w:r w:rsidR="00D278E2" w:rsidRPr="00D278E2">
        <w:rPr>
          <w:lang w:val="es-ES"/>
        </w:rPr>
        <w:t>y es un paradigma poderoso que respalda las decisiones operativas basadas en datos</w:t>
      </w:r>
      <w:r w:rsidR="00D278E2">
        <w:rPr>
          <w:lang w:val="es-ES"/>
        </w:rPr>
        <w:t>.</w:t>
      </w:r>
      <w:r>
        <w:rPr>
          <w:lang w:val="es-ES"/>
        </w:rPr>
        <w:t xml:space="preserve"> Esta predicción y análisis con modelos de machine learning se basa en métricas de desempeño tales como la precisión, recall, f1-score y accuracy </w:t>
      </w:r>
      <w:r>
        <w:rPr>
          <w:lang w:val="es-ES"/>
        </w:rPr>
        <w:t>(</w:t>
      </w:r>
      <w:r w:rsidRPr="00D278E2">
        <w:t>Agasti</w:t>
      </w:r>
      <w:r>
        <w:t xml:space="preserve"> et al., 2024</w:t>
      </w:r>
      <w:r>
        <w:rPr>
          <w:lang w:val="es-ES"/>
        </w:rPr>
        <w:t>)</w:t>
      </w:r>
      <w:r>
        <w:rPr>
          <w:lang w:val="es-ES"/>
        </w:rPr>
        <w:t>.</w:t>
      </w:r>
    </w:p>
    <w:p w14:paraId="73CF9E11" w14:textId="78666E3E" w:rsidR="005C2F5F" w:rsidRDefault="009C61DF" w:rsidP="00CF01B4">
      <w:pPr>
        <w:jc w:val="both"/>
        <w:rPr>
          <w:lang w:val="es-ES"/>
        </w:rPr>
      </w:pPr>
      <w:r>
        <w:rPr>
          <w:lang w:val="es-ES"/>
        </w:rPr>
        <w:t>Recientemente se compararon</w:t>
      </w:r>
      <w:r w:rsidR="005C2F5F">
        <w:rPr>
          <w:lang w:val="es-ES"/>
        </w:rPr>
        <w:t xml:space="preserve"> varios métodos de machine learning para la predicción de portabilidad que incluyen Regresión Lineal, Naïve Bayes, SVM, Decision Trees, Random Forest, XGBoost</w:t>
      </w:r>
      <w:r>
        <w:rPr>
          <w:lang w:val="es-ES"/>
        </w:rPr>
        <w:t xml:space="preserve">, CatBoost, adaBoost, y extra tree classifier. Los resultados experimentales mostraron que los algoritmos ensamblados fueron los modelos más exactos, logrando un AUC del 84% y </w:t>
      </w:r>
      <w:r>
        <w:rPr>
          <w:lang w:val="es-ES"/>
        </w:rPr>
        <w:lastRenderedPageBreak/>
        <w:t>sobresaliendo en métricas mencionadas (</w:t>
      </w:r>
      <w:r w:rsidRPr="009C61DF">
        <w:t xml:space="preserve">accuracy, precision, recall, </w:t>
      </w:r>
      <w:r>
        <w:t>y</w:t>
      </w:r>
      <w:r w:rsidRPr="009C61DF">
        <w:t xml:space="preserve"> F1</w:t>
      </w:r>
      <w:r>
        <w:t>-</w:t>
      </w:r>
      <w:r w:rsidRPr="009C61DF">
        <w:t>score</w:t>
      </w:r>
      <w:r>
        <w:t>) (</w:t>
      </w:r>
      <w:r w:rsidRPr="00B90EB9">
        <w:t>Asif</w:t>
      </w:r>
      <w:r w:rsidRPr="009C61DF">
        <w:t xml:space="preserve"> </w:t>
      </w:r>
      <w:r>
        <w:t>et al</w:t>
      </w:r>
      <w:r w:rsidRPr="009C61DF">
        <w:t>.</w:t>
      </w:r>
      <w:r>
        <w:t>, 2025).</w:t>
      </w:r>
    </w:p>
    <w:p w14:paraId="2A874FD0" w14:textId="4DC3973B" w:rsidR="002E3123" w:rsidRPr="00CF01B4" w:rsidRDefault="00A2388A" w:rsidP="002E3123">
      <w:pPr>
        <w:jc w:val="both"/>
      </w:pPr>
      <w:r>
        <w:rPr>
          <w:b/>
          <w:bCs/>
          <w:lang w:val="es-ES"/>
        </w:rPr>
        <w:t>2</w:t>
      </w:r>
      <w:r w:rsidR="002E3123" w:rsidRPr="00CF01B4">
        <w:rPr>
          <w:b/>
          <w:bCs/>
          <w:lang w:val="es-ES"/>
        </w:rPr>
        <w:t>.1 DESCRIPCIÓN DEL PROBLEMA</w:t>
      </w:r>
    </w:p>
    <w:p w14:paraId="240DA90B" w14:textId="77777777" w:rsidR="002E3123" w:rsidRDefault="002E3123" w:rsidP="002E3123">
      <w:pPr>
        <w:jc w:val="both"/>
        <w:rPr>
          <w:lang w:val="es-ES"/>
        </w:rPr>
      </w:pPr>
      <w:r w:rsidRPr="00CF01B4">
        <w:rPr>
          <w:lang w:val="es-ES"/>
        </w:rPr>
        <w:t>Con el fin de estimular la competencia, en Colombia, la Ley 1341 de 2009 y la Resolución CRC 2355 de 2010, hicieron posible que, a partir del 29 de julio de 2011, fuera una realidad la portabilidad numérica, que no es otra cosa que el derecho de un cliente a cambiarse de operador conservando el número de su línea telefónica.</w:t>
      </w:r>
    </w:p>
    <w:p w14:paraId="55124B33" w14:textId="21FAD950" w:rsidR="00CF01B4" w:rsidRDefault="00CF01B4" w:rsidP="00CF01B4">
      <w:pPr>
        <w:jc w:val="both"/>
        <w:rPr>
          <w:i/>
          <w:iCs/>
          <w:lang w:val="es-ES"/>
        </w:rPr>
      </w:pPr>
      <w:r w:rsidRPr="00CF01B4">
        <w:rPr>
          <w:lang w:val="es-ES"/>
        </w:rPr>
        <w:t xml:space="preserve">De acuerdo </w:t>
      </w:r>
      <w:r w:rsidR="008723CE">
        <w:rPr>
          <w:lang w:val="es-ES"/>
        </w:rPr>
        <w:t xml:space="preserve">con </w:t>
      </w:r>
      <w:r w:rsidR="008723CE" w:rsidRPr="008723CE">
        <w:t>(</w:t>
      </w:r>
      <w:r w:rsidR="008723CE">
        <w:t>Comisión de Regulación de Comunicaciones</w:t>
      </w:r>
      <w:r w:rsidR="008723CE" w:rsidRPr="008723CE">
        <w:t xml:space="preserve"> [</w:t>
      </w:r>
      <w:r w:rsidR="008723CE">
        <w:t>CRC</w:t>
      </w:r>
      <w:r w:rsidR="008723CE" w:rsidRPr="008723CE">
        <w:t>], 20</w:t>
      </w:r>
      <w:r w:rsidR="008723CE">
        <w:t>25)</w:t>
      </w:r>
      <w:r w:rsidRPr="00CF01B4">
        <w:rPr>
          <w:lang w:val="es-ES"/>
        </w:rPr>
        <w:t>, para el segundo trimestre de 2025 se evidenció que, para los Operadores Móviles de Red (OMR), en cuanto a resultados netos, es decir, la diferencia entre la cantidad de clientes que llegan a un operador menos la cantidad de quienes se van a la competencia, los resultados fueron los siguientes: “</w:t>
      </w:r>
      <w:r w:rsidRPr="00CF01B4">
        <w:rPr>
          <w:i/>
          <w:iCs/>
          <w:lang w:val="es-ES"/>
        </w:rPr>
        <w:t>en primer lugar, se ubica Movistar con un resultado neto positivo 182,4 mil operaciones netas entre abril y junio de 2025; Claro obtuvo un resultado neto positivo de 122,9 mil operaciones equivalente a una variación negativa de 5,3% frente al mismo periodo del año anterior. De otro lado, Wincall y Tigo presentaron valores netos negativos de la siguiente manera: Wincall obtuvo resultado neto de -110,4 mil operaciones de portación, mientras que Tigo registró un resultado neto negativo de -175,9 mil”.</w:t>
      </w:r>
    </w:p>
    <w:p w14:paraId="6F084C51" w14:textId="0A3B1824" w:rsidR="00A2388A" w:rsidRPr="00CF01B4" w:rsidRDefault="00A2388A" w:rsidP="00CF01B4">
      <w:pPr>
        <w:jc w:val="both"/>
      </w:pPr>
      <w:r w:rsidRPr="00CF01B4">
        <w:drawing>
          <wp:inline distT="0" distB="0" distL="0" distR="0" wp14:anchorId="1819C8EA" wp14:editId="682B34E5">
            <wp:extent cx="5612130" cy="3450590"/>
            <wp:effectExtent l="0" t="0" r="7620" b="0"/>
            <wp:docPr id="11" name="Imagen 10" descr="Gráfico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B393C64-9071-0D90-5B9C-B0E3049C10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Gráfico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CB393C64-9071-0D90-5B9C-B0E3049C10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3941" w14:textId="771BDFA1" w:rsidR="00C3180B" w:rsidRDefault="00CF01B4" w:rsidP="00CF01B4">
      <w:pPr>
        <w:jc w:val="both"/>
        <w:rPr>
          <w:lang w:val="es-ES"/>
        </w:rPr>
      </w:pPr>
      <w:r w:rsidRPr="00CF01B4">
        <w:rPr>
          <w:lang w:val="es-ES"/>
        </w:rPr>
        <w:t>Aun</w:t>
      </w:r>
      <w:r w:rsidRPr="00CF01B4">
        <w:rPr>
          <w:lang w:val="es-ES"/>
        </w:rPr>
        <w:t xml:space="preserve"> cuando hay una mejoría en el resultado neto de Wincall con respecto a los dos trimestres finales de 2024, en los cuales fue el operador móvil con mayor resultado neto negativo, el hecho de ser el cuarto operador móvil con un 7,8% del mercado, frente a Claro (45,17%), Movistar (23,58%), Tigo (17,02%) y otros (6,43%), le obliga a establecer una estrategia que le permita reducir la cantidad de clientes que migran a la competencia. Una de las alternativas, que es el objetivo del presente trabajo, consiste en implementar un modelo de machine </w:t>
      </w:r>
      <w:r w:rsidRPr="00CF01B4">
        <w:rPr>
          <w:lang w:val="es-ES"/>
        </w:rPr>
        <w:lastRenderedPageBreak/>
        <w:t>learning que permita predecir la probabilidad de migración de los clientes pospag</w:t>
      </w:r>
      <w:r w:rsidR="00A2388A">
        <w:rPr>
          <w:lang w:val="es-ES"/>
        </w:rPr>
        <w:t>o</w:t>
      </w:r>
      <w:r w:rsidR="001D78E0">
        <w:rPr>
          <w:lang w:val="es-ES"/>
        </w:rPr>
        <w:t xml:space="preserve"> incorporando </w:t>
      </w:r>
      <w:r w:rsidR="00A2388A">
        <w:rPr>
          <w:lang w:val="es-ES"/>
        </w:rPr>
        <w:t>técnicas recientes referente</w:t>
      </w:r>
      <w:r w:rsidR="0050612A">
        <w:rPr>
          <w:lang w:val="es-ES"/>
        </w:rPr>
        <w:t>s</w:t>
      </w:r>
      <w:r w:rsidR="00A2388A">
        <w:rPr>
          <w:lang w:val="es-ES"/>
        </w:rPr>
        <w:t xml:space="preserve"> al balanceo de clases</w:t>
      </w:r>
      <w:r w:rsidR="0050612A">
        <w:rPr>
          <w:lang w:val="es-ES"/>
        </w:rPr>
        <w:t xml:space="preserve"> (</w:t>
      </w:r>
      <w:r w:rsidR="0050612A" w:rsidRPr="0050612A">
        <w:t>SMOTE-IPF</w:t>
      </w:r>
      <w:r w:rsidR="0050612A">
        <w:t>, ART, AWGAN, ADASYN)</w:t>
      </w:r>
      <w:r w:rsidR="00A2388A">
        <w:rPr>
          <w:lang w:val="es-ES"/>
        </w:rPr>
        <w:t>, un problema típico de la industria de telecomunicaciones; de selección de características y de interpretación de los resultados</w:t>
      </w:r>
      <w:r w:rsidR="0050612A">
        <w:rPr>
          <w:lang w:val="es-ES"/>
        </w:rPr>
        <w:t xml:space="preserve"> </w:t>
      </w:r>
      <w:r w:rsidR="001D78E0">
        <w:rPr>
          <w:lang w:val="es-ES"/>
        </w:rPr>
        <w:t xml:space="preserve">tales como </w:t>
      </w:r>
      <w:r w:rsidR="0050612A">
        <w:rPr>
          <w:lang w:val="es-ES"/>
        </w:rPr>
        <w:t>SHAP</w:t>
      </w:r>
      <w:r w:rsidR="001D78E0">
        <w:rPr>
          <w:lang w:val="es-ES"/>
        </w:rPr>
        <w:t>,</w:t>
      </w:r>
      <w:r w:rsidR="0050612A">
        <w:rPr>
          <w:lang w:val="es-ES"/>
        </w:rPr>
        <w:t xml:space="preserve"> LIME</w:t>
      </w:r>
      <w:r w:rsidR="001D78E0">
        <w:rPr>
          <w:lang w:val="es-ES"/>
        </w:rPr>
        <w:t xml:space="preserve"> y </w:t>
      </w:r>
      <w:r w:rsidR="001D78E0" w:rsidRPr="001D78E0">
        <w:t>Gain/Weight/Cover</w:t>
      </w:r>
      <w:r w:rsidR="00A2388A">
        <w:rPr>
          <w:lang w:val="es-ES"/>
        </w:rPr>
        <w:t>.</w:t>
      </w:r>
    </w:p>
    <w:p w14:paraId="32327787" w14:textId="0E524271" w:rsidR="00B90EB9" w:rsidRDefault="00A2388A" w:rsidP="00CF01B4">
      <w:pPr>
        <w:jc w:val="both"/>
        <w:rPr>
          <w:lang w:val="es-ES"/>
        </w:rPr>
      </w:pPr>
      <w:r>
        <w:rPr>
          <w:lang w:val="es-ES"/>
        </w:rPr>
        <w:t>Las</w:t>
      </w:r>
      <w:r w:rsidR="00CF01B4" w:rsidRPr="00CF01B4">
        <w:rPr>
          <w:lang w:val="es-ES"/>
        </w:rPr>
        <w:t xml:space="preserve"> variables relacionadas con la calidad del servicio (número de quejas), comportamiento de pago (monto facturado), características del plan (antigüedad, servicios ilimitados) y consumo de servicios (telefonía, datos y sms) y compra de servicios adicionales</w:t>
      </w:r>
      <w:r>
        <w:rPr>
          <w:lang w:val="es-ES"/>
        </w:rPr>
        <w:t xml:space="preserve"> serán tenidas en cuenta en el presente estudio.</w:t>
      </w:r>
    </w:p>
    <w:p w14:paraId="2C042125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61DE89B0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251DC5B3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72BD042D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7B96AE39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3CC52DAB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081730F8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2AE974C4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52F6E142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19C6B1B8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74334FC3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4BCABB81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6DB4ED68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3BF90873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5482D4DF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79E59B9C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39BFE88B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1064BDDA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7BF737F5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3FA465C2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64E313E1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6FC75633" w14:textId="77777777" w:rsidR="00A64BEF" w:rsidRDefault="00A64BEF" w:rsidP="00CF01B4">
      <w:pPr>
        <w:jc w:val="both"/>
        <w:rPr>
          <w:b/>
          <w:bCs/>
          <w:lang w:val="es-ES"/>
        </w:rPr>
      </w:pPr>
    </w:p>
    <w:p w14:paraId="2326E221" w14:textId="0EECC311" w:rsidR="00B90EB9" w:rsidRDefault="00B90EB9" w:rsidP="00CF01B4">
      <w:pPr>
        <w:jc w:val="both"/>
        <w:rPr>
          <w:b/>
          <w:bCs/>
          <w:lang w:val="es-ES"/>
        </w:rPr>
      </w:pPr>
      <w:r w:rsidRPr="00B90EB9">
        <w:rPr>
          <w:b/>
          <w:bCs/>
          <w:lang w:val="es-ES"/>
        </w:rPr>
        <w:lastRenderedPageBreak/>
        <w:t>REFERENCIAS</w:t>
      </w:r>
    </w:p>
    <w:p w14:paraId="45B5D17F" w14:textId="0441B422" w:rsidR="008723CE" w:rsidRPr="009C61DF" w:rsidRDefault="00E3425F" w:rsidP="00B90EB9">
      <w:pPr>
        <w:jc w:val="both"/>
        <w:rPr>
          <w:lang w:val="en-US"/>
        </w:rPr>
      </w:pPr>
      <w:r w:rsidRPr="009C61DF">
        <w:t>Comisión de Regulación de Comunicaciones</w:t>
      </w:r>
      <w:r w:rsidRPr="009C61DF">
        <w:t>. (</w:t>
      </w:r>
      <w:r w:rsidRPr="009C61DF">
        <w:t>2</w:t>
      </w:r>
      <w:r w:rsidRPr="009C61DF">
        <w:t xml:space="preserve">1 de </w:t>
      </w:r>
      <w:r w:rsidRPr="009C61DF">
        <w:t>agosto</w:t>
      </w:r>
      <w:r w:rsidRPr="009C61DF">
        <w:t xml:space="preserve"> de 20</w:t>
      </w:r>
      <w:r w:rsidRPr="009C61DF">
        <w:t>25</w:t>
      </w:r>
      <w:r w:rsidRPr="009C61DF">
        <w:t>). </w:t>
      </w:r>
      <w:r w:rsidRPr="009C61DF">
        <w:rPr>
          <w:i/>
          <w:iCs/>
        </w:rPr>
        <w:t>Data Flash 2025-011 - Portabilidad Numérica Móvil</w:t>
      </w:r>
      <w:r w:rsidRPr="009C61DF">
        <w:t>. Ministerio de Tecnologías de la Información y Comunicaciones.</w:t>
      </w:r>
      <w:r w:rsidR="008723CE" w:rsidRPr="009C61DF">
        <w:t xml:space="preserve"> </w:t>
      </w:r>
      <w:hyperlink r:id="rId6" w:history="1">
        <w:r w:rsidR="008723CE" w:rsidRPr="009C61DF">
          <w:rPr>
            <w:rStyle w:val="Hipervnculo"/>
            <w:lang w:val="en-US"/>
          </w:rPr>
          <w:t>https://postdata.gov.co/dataflash/data-flash-2025-011-portabilidad-numerica-movil</w:t>
        </w:r>
      </w:hyperlink>
    </w:p>
    <w:p w14:paraId="4CF51186" w14:textId="66BA0783" w:rsidR="00D278E2" w:rsidRPr="00B90EB9" w:rsidRDefault="00B90EB9" w:rsidP="00B90EB9">
      <w:pPr>
        <w:jc w:val="both"/>
        <w:rPr>
          <w:lang w:val="en-US"/>
        </w:rPr>
      </w:pPr>
      <w:r w:rsidRPr="00B90EB9">
        <w:rPr>
          <w:lang w:val="en-US"/>
        </w:rPr>
        <w:t xml:space="preserve">Asif, Daniyal, Muhammad Shoaib Arif, y Aiman Mukheimer. </w:t>
      </w:r>
      <w:r w:rsidRPr="00B90EB9">
        <w:rPr>
          <w:i/>
          <w:iCs/>
          <w:lang w:val="en-US"/>
        </w:rPr>
        <w:t>A Data-Driven Approach with Explainable Artificial Intelligence for Customer Churn Prediction in the Telecommunications Industry</w:t>
      </w:r>
      <w:r w:rsidRPr="00B90EB9">
        <w:rPr>
          <w:lang w:val="en-US"/>
        </w:rPr>
        <w:t xml:space="preserve">. Results in Engineering 26 (junio de 2025): 104629. </w:t>
      </w:r>
      <w:hyperlink r:id="rId7" w:history="1">
        <w:r w:rsidRPr="00B90EB9">
          <w:rPr>
            <w:rStyle w:val="Hipervnculo"/>
            <w:lang w:val="en-US"/>
          </w:rPr>
          <w:t>https://doi.org/10.1016/j.rineng.2025.104629</w:t>
        </w:r>
      </w:hyperlink>
      <w:r w:rsidRPr="00B90EB9">
        <w:rPr>
          <w:lang w:val="en-US"/>
        </w:rPr>
        <w:t>.</w:t>
      </w:r>
    </w:p>
    <w:p w14:paraId="1E5DB313" w14:textId="0140F1CF" w:rsidR="00B90EB9" w:rsidRPr="00B90EB9" w:rsidRDefault="00B90EB9" w:rsidP="00B90EB9">
      <w:pPr>
        <w:jc w:val="both"/>
        <w:rPr>
          <w:lang w:val="en-US"/>
        </w:rPr>
      </w:pPr>
      <w:r w:rsidRPr="00B90EB9">
        <w:t xml:space="preserve">Ribeiro, Hugo, Belém Barbosa, António Carrizo Moreira, y Ricardo Gouveia Rodrigues. </w:t>
      </w:r>
      <w:r w:rsidRPr="00B90EB9">
        <w:rPr>
          <w:i/>
          <w:iCs/>
          <w:lang w:val="en-US"/>
        </w:rPr>
        <w:t>Determinants of Churn in Telecommunication Services: A Systematic Literature Review</w:t>
      </w:r>
      <w:r w:rsidRPr="00B90EB9">
        <w:rPr>
          <w:lang w:val="en-US"/>
        </w:rPr>
        <w:t xml:space="preserve">. Management Review Quarterly 74, n.o 3 (2024): 1327-64. </w:t>
      </w:r>
      <w:hyperlink r:id="rId8" w:history="1">
        <w:r w:rsidRPr="00B90EB9">
          <w:rPr>
            <w:rStyle w:val="Hipervnculo"/>
            <w:lang w:val="en-US"/>
          </w:rPr>
          <w:t>https://doi.org/10.1007/s11301-023-00335-7</w:t>
        </w:r>
      </w:hyperlink>
      <w:r w:rsidRPr="00B90EB9">
        <w:rPr>
          <w:lang w:val="en-US"/>
        </w:rPr>
        <w:t>.</w:t>
      </w:r>
    </w:p>
    <w:p w14:paraId="5083DEEF" w14:textId="33401B29" w:rsidR="00B90EB9" w:rsidRPr="00B90EB9" w:rsidRDefault="00B90EB9" w:rsidP="00B90EB9">
      <w:pPr>
        <w:jc w:val="both"/>
        <w:rPr>
          <w:lang w:val="en-US"/>
        </w:rPr>
      </w:pPr>
      <w:r w:rsidRPr="00B90EB9">
        <w:rPr>
          <w:lang w:val="en-US"/>
        </w:rPr>
        <w:t xml:space="preserve">Mohaimin, Md Rashed, Bimol Chandra Das, Rabeya Akter, et al. </w:t>
      </w:r>
      <w:r w:rsidRPr="00B90EB9">
        <w:rPr>
          <w:i/>
          <w:iCs/>
          <w:lang w:val="en-US"/>
        </w:rPr>
        <w:t>Predictive Analytics for Telecom Customer Churn: Enhancing Retention Strategies in the US Market</w:t>
      </w:r>
      <w:r w:rsidRPr="00B90EB9">
        <w:rPr>
          <w:lang w:val="en-US"/>
        </w:rPr>
        <w:t xml:space="preserve">. Journal of Computer Science and Technology Studies 7, n.o 1 (2025): 30-45. </w:t>
      </w:r>
      <w:hyperlink r:id="rId9" w:history="1">
        <w:r w:rsidRPr="00B90EB9">
          <w:rPr>
            <w:rStyle w:val="Hipervnculo"/>
            <w:lang w:val="en-US"/>
          </w:rPr>
          <w:t>https://doi.org/10.32996/jcsts.2025.7.1.3</w:t>
        </w:r>
      </w:hyperlink>
      <w:r w:rsidRPr="00B90EB9">
        <w:rPr>
          <w:lang w:val="en-US"/>
        </w:rPr>
        <w:t>.</w:t>
      </w:r>
    </w:p>
    <w:p w14:paraId="277F52EF" w14:textId="2AC6D052" w:rsidR="00B90EB9" w:rsidRPr="00B90EB9" w:rsidRDefault="00B90EB9" w:rsidP="00B90EB9">
      <w:pPr>
        <w:jc w:val="both"/>
        <w:rPr>
          <w:lang w:val="en-US"/>
        </w:rPr>
      </w:pPr>
      <w:r w:rsidRPr="00B90EB9">
        <w:t xml:space="preserve">Melian, Denisa Maria, Andreea Dumitrache, Stelian Stancu, y Alexandra Nastu. </w:t>
      </w:r>
      <w:r w:rsidRPr="00B90EB9">
        <w:rPr>
          <w:i/>
          <w:iCs/>
          <w:lang w:val="en-US"/>
        </w:rPr>
        <w:t>Customer Churn Prediction in Telecommunication Industry. A Data Analysis Techniques Approach</w:t>
      </w:r>
      <w:r w:rsidRPr="00B90EB9">
        <w:rPr>
          <w:lang w:val="en-US"/>
        </w:rPr>
        <w:t>. Postmodern Openings 13, n.º 1 Sup1 (2022): 78-104. https://doi.org/10.18662/po/13.1Sup1/415.</w:t>
      </w:r>
    </w:p>
    <w:p w14:paraId="5A9D65E7" w14:textId="3AFCC65A" w:rsidR="00B90EB9" w:rsidRPr="00B90EB9" w:rsidRDefault="00B90EB9" w:rsidP="00B90EB9">
      <w:pPr>
        <w:jc w:val="both"/>
        <w:rPr>
          <w:lang w:val="en-US"/>
        </w:rPr>
      </w:pPr>
      <w:r w:rsidRPr="00B90EB9">
        <w:t xml:space="preserve">Thangeda, Rahul, Niraj Kumar, y Ritanjali Majhi. </w:t>
      </w:r>
      <w:r w:rsidRPr="00B90EB9">
        <w:rPr>
          <w:i/>
          <w:iCs/>
          <w:lang w:val="en-US"/>
        </w:rPr>
        <w:t>A Neural Network-Based Predictive Decision Model for Customer Retention in the Telecommunication Sector</w:t>
      </w:r>
      <w:r w:rsidRPr="00B90EB9">
        <w:rPr>
          <w:lang w:val="en-US"/>
        </w:rPr>
        <w:t xml:space="preserve">. Technological Forecasting and Social Change 202 (mayo de 2024): 123250. </w:t>
      </w:r>
      <w:hyperlink r:id="rId10" w:history="1">
        <w:r w:rsidRPr="00B90EB9">
          <w:rPr>
            <w:rStyle w:val="Hipervnculo"/>
            <w:lang w:val="en-US"/>
          </w:rPr>
          <w:t>https://doi.org/10.1016/j.techfore.2024.123250</w:t>
        </w:r>
      </w:hyperlink>
      <w:r w:rsidRPr="00B90EB9">
        <w:rPr>
          <w:lang w:val="en-US"/>
        </w:rPr>
        <w:t>.</w:t>
      </w:r>
    </w:p>
    <w:p w14:paraId="705FDC8E" w14:textId="77777777" w:rsidR="00D278E2" w:rsidRPr="00D278E2" w:rsidRDefault="00D278E2" w:rsidP="00D278E2">
      <w:pPr>
        <w:jc w:val="both"/>
      </w:pPr>
      <w:r w:rsidRPr="00D278E2">
        <w:t xml:space="preserve">Agasti, Biswa Ranjan, y Susanta Satpathy. </w:t>
      </w:r>
      <w:r w:rsidRPr="00D278E2">
        <w:rPr>
          <w:lang w:val="en-US"/>
        </w:rPr>
        <w:t xml:space="preserve">«Predicting Customer Churn in Telecommunication Sector Using Naïve Bayes Algorithm». </w:t>
      </w:r>
      <w:r w:rsidRPr="00D278E2">
        <w:rPr>
          <w:i/>
          <w:iCs/>
          <w:lang w:val="en-US"/>
        </w:rPr>
        <w:t>Indonesian Journal of Electrical Engineering and Computer Science</w:t>
      </w:r>
      <w:r w:rsidRPr="00D278E2">
        <w:rPr>
          <w:lang w:val="en-US"/>
        </w:rPr>
        <w:t xml:space="preserve"> 35, n.</w:t>
      </w:r>
      <w:r w:rsidRPr="00D278E2">
        <w:rPr>
          <w:vertAlign w:val="superscript"/>
          <w:lang w:val="en-US"/>
        </w:rPr>
        <w:t>o</w:t>
      </w:r>
      <w:r w:rsidRPr="00D278E2">
        <w:rPr>
          <w:lang w:val="en-US"/>
        </w:rPr>
        <w:t xml:space="preserve"> 3 (2024): 1610. </w:t>
      </w:r>
      <w:hyperlink r:id="rId11" w:history="1">
        <w:r w:rsidRPr="00D278E2">
          <w:rPr>
            <w:rStyle w:val="Hipervnculo"/>
          </w:rPr>
          <w:t>https://doi.org/10.11591/ijeecs.v35.i3.pp1610-1617</w:t>
        </w:r>
      </w:hyperlink>
      <w:r w:rsidRPr="00D278E2">
        <w:t>.</w:t>
      </w:r>
    </w:p>
    <w:p w14:paraId="6BCB3425" w14:textId="77777777" w:rsidR="00D278E2" w:rsidRPr="00D278E2" w:rsidRDefault="00D278E2" w:rsidP="00CF01B4">
      <w:pPr>
        <w:jc w:val="both"/>
        <w:rPr>
          <w:lang w:val="en-US"/>
        </w:rPr>
      </w:pPr>
    </w:p>
    <w:sectPr w:rsidR="00D278E2" w:rsidRPr="00D27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C3A"/>
    <w:multiLevelType w:val="hybridMultilevel"/>
    <w:tmpl w:val="354C28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446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B4"/>
    <w:rsid w:val="001C05EE"/>
    <w:rsid w:val="001C750E"/>
    <w:rsid w:val="001D78E0"/>
    <w:rsid w:val="002E3123"/>
    <w:rsid w:val="003E556C"/>
    <w:rsid w:val="004E5336"/>
    <w:rsid w:val="0050612A"/>
    <w:rsid w:val="0057770B"/>
    <w:rsid w:val="005C2F5F"/>
    <w:rsid w:val="008723CE"/>
    <w:rsid w:val="009C61DF"/>
    <w:rsid w:val="00A1687A"/>
    <w:rsid w:val="00A2388A"/>
    <w:rsid w:val="00A64BEF"/>
    <w:rsid w:val="00AA57AB"/>
    <w:rsid w:val="00B14368"/>
    <w:rsid w:val="00B90EB9"/>
    <w:rsid w:val="00C3180B"/>
    <w:rsid w:val="00CA500B"/>
    <w:rsid w:val="00CF01B4"/>
    <w:rsid w:val="00D278E2"/>
    <w:rsid w:val="00E3425F"/>
    <w:rsid w:val="00E67B84"/>
    <w:rsid w:val="00E94E86"/>
    <w:rsid w:val="00ED5BA4"/>
    <w:rsid w:val="00F1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C2CF"/>
  <w15:chartTrackingRefBased/>
  <w15:docId w15:val="{1C4B51DB-F799-4764-9280-D584CF78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01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01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01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01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01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01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01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01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01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01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01B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90EB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EB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78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78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301-023-00335-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rineng.2025.1046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data.gov.co/dataflash/data-flash-2025-011-portabilidad-numerica-movil" TargetMode="External"/><Relationship Id="rId11" Type="http://schemas.openxmlformats.org/officeDocument/2006/relationships/hyperlink" Target="https://doi.org/10.11591/ijeecs.v35.i3.pp1610-161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i.org/10.1016/j.techfore.2024.123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2996/jcsts.2025.7.1.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1170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Jair Gonzalez Neita</dc:creator>
  <cp:keywords/>
  <dc:description/>
  <cp:lastModifiedBy>Harry Jair Gonzalez Neita</cp:lastModifiedBy>
  <cp:revision>2</cp:revision>
  <dcterms:created xsi:type="dcterms:W3CDTF">2025-09-19T01:10:00Z</dcterms:created>
  <dcterms:modified xsi:type="dcterms:W3CDTF">2025-09-19T04:32:00Z</dcterms:modified>
</cp:coreProperties>
</file>